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val="0"/>
        <w:bidi w:val="0"/>
        <w:adjustRightInd/>
        <w:snapToGrid/>
        <w:spacing w:before="157" w:beforeLines="50" w:beforeAutospacing="0" w:after="157" w:afterLines="50" w:afterAutospacing="0"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海南省</w:t>
      </w:r>
      <w:r>
        <w:rPr>
          <w:rFonts w:hint="eastAsia" w:ascii="方正小标宋简体" w:hAnsi="方正小标宋简体" w:eastAsia="方正小标宋简体" w:cs="方正小标宋简体"/>
          <w:b w:val="0"/>
          <w:bCs/>
          <w:color w:val="auto"/>
          <w:sz w:val="44"/>
          <w:szCs w:val="44"/>
          <w:lang w:val="en-US" w:eastAsia="zh-CN"/>
        </w:rPr>
        <w:t>医疗卫生信用信息</w:t>
      </w:r>
      <w:r>
        <w:rPr>
          <w:rFonts w:hint="eastAsia" w:ascii="方正小标宋简体" w:hAnsi="方正小标宋简体" w:eastAsia="方正小标宋简体" w:cs="方正小标宋简体"/>
          <w:b w:val="0"/>
          <w:bCs/>
          <w:color w:val="auto"/>
          <w:sz w:val="44"/>
          <w:szCs w:val="44"/>
        </w:rPr>
        <w:t>管理办法（试行）</w:t>
      </w:r>
    </w:p>
    <w:p>
      <w:pPr>
        <w:pageBreakBefore w:val="0"/>
        <w:kinsoku/>
        <w:wordWrap/>
        <w:overflowPunct/>
        <w:topLinePunct w:val="0"/>
        <w:bidi w:val="0"/>
        <w:adjustRightInd/>
        <w:snapToGrid/>
        <w:spacing w:beforeAutospacing="0" w:afterAutospacing="0" w:line="560" w:lineRule="exact"/>
        <w:jc w:val="center"/>
        <w:textAlignment w:val="auto"/>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（征求意见）</w:t>
      </w:r>
    </w:p>
    <w:p>
      <w:pPr>
        <w:pStyle w:val="2"/>
        <w:keepNext/>
        <w:keepLines/>
        <w:pageBreakBefore w:val="0"/>
        <w:widowControl w:val="0"/>
        <w:kinsoku/>
        <w:wordWrap/>
        <w:overflowPunct/>
        <w:topLinePunct w:val="0"/>
        <w:autoSpaceDE/>
        <w:autoSpaceDN w:val="0"/>
        <w:bidi w:val="0"/>
        <w:adjustRightInd/>
        <w:snapToGrid/>
        <w:spacing w:before="157" w:beforeLines="50" w:beforeAutospacing="0" w:after="157" w:afterLines="50" w:afterAutospacing="0" w:line="560" w:lineRule="exact"/>
        <w:ind w:left="0" w:leftChars="0" w:firstLine="0" w:firstLineChars="0"/>
        <w:jc w:val="center"/>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第一章</w:t>
      </w:r>
      <w:r>
        <w:rPr>
          <w:rFonts w:hint="eastAsia" w:ascii="仿宋" w:hAnsi="仿宋" w:eastAsia="仿宋" w:cs="仿宋"/>
          <w:b/>
          <w:bCs w:val="0"/>
          <w:color w:val="auto"/>
          <w:sz w:val="32"/>
          <w:szCs w:val="32"/>
          <w:lang w:val="en-US" w:eastAsia="zh-CN"/>
        </w:rPr>
        <w:t xml:space="preserve"> </w:t>
      </w:r>
      <w:r>
        <w:rPr>
          <w:rFonts w:hint="eastAsia" w:ascii="仿宋" w:hAnsi="仿宋" w:eastAsia="仿宋" w:cs="仿宋"/>
          <w:b/>
          <w:bCs w:val="0"/>
          <w:color w:val="auto"/>
          <w:sz w:val="32"/>
          <w:szCs w:val="32"/>
        </w:rPr>
        <w:t>总则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bidi="ar"/>
        </w:rPr>
        <w:t>第一条【目的依据】</w:t>
      </w:r>
      <w:r>
        <w:rPr>
          <w:rFonts w:hint="eastAsia" w:ascii="仿宋" w:hAnsi="仿宋" w:eastAsia="仿宋" w:cs="仿宋"/>
          <w:b w:val="0"/>
          <w:bCs w:val="0"/>
          <w:color w:val="auto"/>
          <w:sz w:val="32"/>
          <w:szCs w:val="32"/>
          <w:lang w:val="en-US" w:eastAsia="zh-CN"/>
        </w:rPr>
        <w:t>为规范和促进全省卫生健康领域信用管理，推进卫生健康领域信用体系建设，根据《国务院办公厅关于加快推进社会信用体系建设构建以信用为基础的新型监管机制的指导意见》（国办发〔2019〕35号）《国务院办公厅关于进一步完善失信约束制度构建诚信建设长效机制的指导意见》（国办发〔2019〕49号）《关于推进社会信用体系建设高质量发展促进形成新发展格局的意见》（中办发〔2022〕25号）《医疗卫生信用信息管理暂行办法》（国卫监督发〔2017〕58号）《海南自由贸易港社会信用条例》等法规，结合本省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outlineLvl w:val="1"/>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bidi="ar"/>
        </w:rPr>
        <w:t>第</w:t>
      </w:r>
      <w:r>
        <w:rPr>
          <w:rFonts w:hint="eastAsia" w:ascii="仿宋" w:hAnsi="仿宋" w:eastAsia="仿宋" w:cs="仿宋"/>
          <w:b/>
          <w:bCs/>
          <w:color w:val="auto"/>
          <w:sz w:val="32"/>
          <w:szCs w:val="32"/>
          <w:lang w:val="en-US" w:eastAsia="zh-CN" w:bidi="ar"/>
        </w:rPr>
        <w:t>二</w:t>
      </w:r>
      <w:r>
        <w:rPr>
          <w:rFonts w:hint="eastAsia" w:ascii="仿宋" w:hAnsi="仿宋" w:eastAsia="仿宋" w:cs="仿宋"/>
          <w:b/>
          <w:bCs/>
          <w:color w:val="auto"/>
          <w:sz w:val="32"/>
          <w:szCs w:val="32"/>
          <w:lang w:bidi="ar"/>
        </w:rPr>
        <w:t>条</w:t>
      </w:r>
      <w:r>
        <w:rPr>
          <w:rFonts w:hint="eastAsia" w:ascii="仿宋" w:hAnsi="仿宋" w:eastAsia="仿宋" w:cs="仿宋"/>
          <w:b/>
          <w:bCs w:val="0"/>
          <w:color w:val="auto"/>
          <w:sz w:val="32"/>
          <w:szCs w:val="32"/>
          <w:lang w:bidi="ar"/>
        </w:rPr>
        <w:t>【适用范围】</w:t>
      </w:r>
      <w:r>
        <w:rPr>
          <w:rFonts w:hint="eastAsia" w:ascii="仿宋" w:hAnsi="仿宋" w:eastAsia="仿宋" w:cs="仿宋"/>
          <w:b w:val="0"/>
          <w:bCs w:val="0"/>
          <w:color w:val="auto"/>
          <w:sz w:val="32"/>
          <w:szCs w:val="32"/>
          <w:lang w:val="en-US" w:eastAsia="zh-CN"/>
        </w:rPr>
        <w:t>本省行政区域内卫生健康信用管理，适用本办法。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outlineLvl w:val="1"/>
        <w:rPr>
          <w:rFonts w:hint="eastAsia" w:ascii="仿宋" w:hAnsi="仿宋" w:eastAsia="仿宋" w:cs="仿宋"/>
          <w:b w:val="0"/>
          <w:bCs w:val="0"/>
          <w:color w:val="auto"/>
          <w:sz w:val="32"/>
          <w:szCs w:val="32"/>
          <w:lang w:val="en-US" w:eastAsia="zh-CN"/>
        </w:rPr>
      </w:pPr>
      <w:bookmarkStart w:id="0" w:name="_Toc11432"/>
      <w:r>
        <w:rPr>
          <w:rFonts w:hint="eastAsia" w:ascii="仿宋" w:hAnsi="仿宋" w:eastAsia="仿宋" w:cs="仿宋"/>
          <w:b/>
          <w:bCs/>
          <w:color w:val="auto"/>
          <w:sz w:val="32"/>
          <w:szCs w:val="32"/>
          <w:lang w:val="en-US" w:eastAsia="zh-CN"/>
        </w:rPr>
        <w:t>第三条【信用管理】</w:t>
      </w:r>
      <w:bookmarkEnd w:id="0"/>
      <w:r>
        <w:rPr>
          <w:rFonts w:hint="eastAsia" w:ascii="仿宋" w:hAnsi="仿宋" w:eastAsia="仿宋" w:cs="仿宋"/>
          <w:b w:val="0"/>
          <w:bCs w:val="0"/>
          <w:color w:val="auto"/>
          <w:sz w:val="32"/>
          <w:szCs w:val="32"/>
          <w:lang w:val="en-US" w:eastAsia="zh-CN"/>
        </w:rPr>
        <w:t>本办法所称的信用信息，是指县级以上卫生健康行政部门在依法履行医疗卫生行政职责过程、提供服务过程中产生或者获取的反映自然人、法人和非法人组织（以下简称“信用主体”）信用状况的客观数据和资料。</w:t>
      </w:r>
    </w:p>
    <w:p>
      <w:pPr>
        <w:pageBreakBefore w:val="0"/>
        <w:kinsoku/>
        <w:wordWrap/>
        <w:overflowPunct/>
        <w:topLinePunct w:val="0"/>
        <w:autoSpaceDN w:val="0"/>
        <w:bidi w:val="0"/>
        <w:adjustRightInd/>
        <w:snapToGrid/>
        <w:spacing w:beforeAutospacing="0" w:afterAutospacing="0" w:line="560" w:lineRule="exact"/>
        <w:ind w:left="0" w:leftChars="0" w:firstLine="640" w:firstLineChars="200"/>
        <w:textAlignment w:val="auto"/>
        <w:outlineLvl w:val="1"/>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本办法所称的卫生健康信用管理，是指县级以上卫生健康行政部门以及依据法律、法规授权的具有管理公共事务职能的组织（以下简称“卫生健康行政部门和委托的机构”），对信用主体的进行信用信息采集、归集、共享、披露、更正、应用的管理活动。</w:t>
      </w:r>
    </w:p>
    <w:p>
      <w:pPr>
        <w:pageBreakBefore w:val="0"/>
        <w:kinsoku/>
        <w:wordWrap/>
        <w:overflowPunct/>
        <w:topLinePunct w:val="0"/>
        <w:autoSpaceDN w:val="0"/>
        <w:bidi w:val="0"/>
        <w:adjustRightInd/>
        <w:snapToGrid/>
        <w:spacing w:beforeAutospacing="0" w:afterAutospacing="0" w:line="560" w:lineRule="exact"/>
        <w:ind w:left="0" w:leftChars="0" w:firstLine="643" w:firstLineChars="200"/>
        <w:textAlignment w:val="auto"/>
        <w:outlineLvl w:val="1"/>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bidi="ar"/>
        </w:rPr>
        <w:t>第四条【信用平台】</w:t>
      </w:r>
      <w:r>
        <w:rPr>
          <w:rFonts w:hint="eastAsia" w:ascii="仿宋" w:hAnsi="仿宋" w:eastAsia="仿宋" w:cs="仿宋"/>
          <w:b w:val="0"/>
          <w:bCs w:val="0"/>
          <w:color w:val="auto"/>
          <w:sz w:val="32"/>
          <w:szCs w:val="32"/>
          <w:lang w:val="en-US" w:eastAsia="zh-CN"/>
        </w:rPr>
        <w:t>省级卫生健康行政部门负责建立卫生健康信用信息管理平台，围绕信用监管的全流程，整合卫生健康领域各类信用信息资源，设立信用主体的信用档案、信用评价、管理模块，实现信用信息的数字化采集、归集、共享、更正和应用。</w:t>
      </w:r>
    </w:p>
    <w:p>
      <w:pPr>
        <w:pageBreakBefore w:val="0"/>
        <w:kinsoku/>
        <w:wordWrap/>
        <w:overflowPunct/>
        <w:topLinePunct w:val="0"/>
        <w:autoSpaceDN w:val="0"/>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 w:val="0"/>
          <w:bCs w:val="0"/>
          <w:color w:val="auto"/>
          <w:sz w:val="32"/>
          <w:szCs w:val="32"/>
          <w:lang w:val="en-US" w:eastAsia="zh-CN"/>
        </w:rPr>
      </w:pPr>
      <w:r>
        <w:rPr>
          <w:rFonts w:hint="eastAsia" w:ascii="仿宋" w:hAnsi="仿宋" w:eastAsia="仿宋" w:cs="仿宋"/>
          <w:b/>
          <w:color w:val="auto"/>
          <w:sz w:val="32"/>
          <w:szCs w:val="32"/>
          <w:lang w:bidi="ar"/>
        </w:rPr>
        <w:t>第</w:t>
      </w:r>
      <w:r>
        <w:rPr>
          <w:rFonts w:hint="eastAsia" w:ascii="仿宋" w:hAnsi="仿宋" w:eastAsia="仿宋" w:cs="仿宋"/>
          <w:b/>
          <w:color w:val="auto"/>
          <w:sz w:val="32"/>
          <w:szCs w:val="32"/>
          <w:lang w:val="en-US" w:eastAsia="zh-CN" w:bidi="ar"/>
        </w:rPr>
        <w:t>五</w:t>
      </w:r>
      <w:r>
        <w:rPr>
          <w:rFonts w:hint="eastAsia" w:ascii="仿宋" w:hAnsi="仿宋" w:eastAsia="仿宋" w:cs="仿宋"/>
          <w:b/>
          <w:color w:val="auto"/>
          <w:sz w:val="32"/>
          <w:szCs w:val="32"/>
          <w:lang w:bidi="ar"/>
        </w:rPr>
        <w:t>条</w:t>
      </w:r>
      <w:r>
        <w:rPr>
          <w:rFonts w:hint="eastAsia" w:ascii="仿宋" w:hAnsi="仿宋" w:eastAsia="仿宋" w:cs="仿宋"/>
          <w:b/>
          <w:bCs/>
          <w:color w:val="auto"/>
          <w:sz w:val="32"/>
          <w:szCs w:val="32"/>
          <w:lang w:bidi="ar"/>
        </w:rPr>
        <w:t>【基本原则】</w:t>
      </w:r>
      <w:r>
        <w:rPr>
          <w:rFonts w:hint="eastAsia" w:ascii="仿宋" w:hAnsi="仿宋" w:eastAsia="仿宋" w:cs="仿宋"/>
          <w:b w:val="0"/>
          <w:bCs w:val="0"/>
          <w:color w:val="auto"/>
          <w:sz w:val="32"/>
          <w:szCs w:val="32"/>
          <w:lang w:val="en-US" w:eastAsia="zh-CN"/>
        </w:rPr>
        <w:t>卫生健康信用管理应当遵循分类推进、分级管理、安全合法、客观准确、及时有效、科学审慎的原则，维护信用主体合法权益，不得泄露国家秘密、商业秘密和个人隐私，不得侵犯公共安全、公共利益。</w:t>
      </w:r>
    </w:p>
    <w:p>
      <w:pPr>
        <w:pStyle w:val="2"/>
        <w:keepNext/>
        <w:keepLines/>
        <w:pageBreakBefore w:val="0"/>
        <w:widowControl w:val="0"/>
        <w:kinsoku/>
        <w:wordWrap/>
        <w:overflowPunct/>
        <w:topLinePunct w:val="0"/>
        <w:autoSpaceDE/>
        <w:autoSpaceDN w:val="0"/>
        <w:bidi w:val="0"/>
        <w:adjustRightInd/>
        <w:snapToGrid/>
        <w:spacing w:before="157" w:beforeLines="50" w:beforeAutospacing="0" w:after="157" w:afterLines="50" w:afterAutospacing="0" w:line="560" w:lineRule="exact"/>
        <w:ind w:left="0" w:leftChars="0" w:firstLine="0" w:firstLineChars="0"/>
        <w:jc w:val="center"/>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rPr>
        <w:t>第二章</w:t>
      </w:r>
      <w:r>
        <w:rPr>
          <w:rFonts w:hint="eastAsia" w:ascii="仿宋" w:hAnsi="仿宋" w:eastAsia="仿宋" w:cs="仿宋"/>
          <w:b/>
          <w:bCs w:val="0"/>
          <w:color w:val="auto"/>
          <w:sz w:val="32"/>
          <w:szCs w:val="32"/>
          <w:lang w:val="en-US" w:eastAsia="zh-CN"/>
        </w:rPr>
        <w:t xml:space="preserve"> </w:t>
      </w:r>
      <w:r>
        <w:rPr>
          <w:rFonts w:hint="eastAsia" w:ascii="仿宋" w:hAnsi="仿宋" w:eastAsia="仿宋" w:cs="仿宋"/>
          <w:b/>
          <w:bCs w:val="0"/>
          <w:color w:val="auto"/>
          <w:sz w:val="32"/>
          <w:szCs w:val="32"/>
        </w:rPr>
        <w:t>职责</w:t>
      </w:r>
      <w:r>
        <w:rPr>
          <w:rFonts w:hint="eastAsia" w:ascii="仿宋" w:hAnsi="仿宋" w:eastAsia="仿宋" w:cs="仿宋"/>
          <w:b/>
          <w:bCs w:val="0"/>
          <w:color w:val="auto"/>
          <w:sz w:val="32"/>
          <w:szCs w:val="32"/>
          <w:lang w:val="en-US" w:eastAsia="zh-CN"/>
        </w:rPr>
        <w:t>分工</w:t>
      </w:r>
    </w:p>
    <w:p>
      <w:pPr>
        <w:pageBreakBefore w:val="0"/>
        <w:kinsoku/>
        <w:wordWrap/>
        <w:overflowPunct/>
        <w:topLinePunct w:val="0"/>
        <w:autoSpaceDN w:val="0"/>
        <w:bidi w:val="0"/>
        <w:adjustRightInd/>
        <w:snapToGrid/>
        <w:spacing w:beforeAutospacing="0" w:afterAutospacing="0" w:line="560" w:lineRule="exact"/>
        <w:ind w:left="0" w:leftChars="0"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color w:val="auto"/>
          <w:sz w:val="32"/>
          <w:szCs w:val="32"/>
          <w:lang w:bidi="ar"/>
        </w:rPr>
        <w:t>第</w:t>
      </w:r>
      <w:r>
        <w:rPr>
          <w:rFonts w:hint="eastAsia" w:ascii="仿宋" w:hAnsi="仿宋" w:eastAsia="仿宋" w:cs="仿宋"/>
          <w:b/>
          <w:color w:val="auto"/>
          <w:sz w:val="32"/>
          <w:szCs w:val="32"/>
          <w:lang w:val="en-US" w:eastAsia="zh-CN" w:bidi="ar"/>
        </w:rPr>
        <w:t>六</w:t>
      </w:r>
      <w:r>
        <w:rPr>
          <w:rFonts w:hint="eastAsia" w:ascii="仿宋" w:hAnsi="仿宋" w:eastAsia="仿宋" w:cs="仿宋"/>
          <w:b/>
          <w:color w:val="auto"/>
          <w:sz w:val="32"/>
          <w:szCs w:val="32"/>
          <w:lang w:bidi="ar"/>
        </w:rPr>
        <w:t>条</w:t>
      </w:r>
      <w:r>
        <w:rPr>
          <w:rFonts w:hint="eastAsia" w:ascii="仿宋" w:hAnsi="仿宋" w:eastAsia="仿宋" w:cs="仿宋"/>
          <w:color w:val="auto"/>
          <w:sz w:val="32"/>
          <w:szCs w:val="32"/>
          <w:lang w:bidi="ar"/>
        </w:rPr>
        <w:t>【</w:t>
      </w:r>
      <w:r>
        <w:rPr>
          <w:rFonts w:hint="eastAsia" w:ascii="仿宋" w:hAnsi="仿宋" w:eastAsia="仿宋" w:cs="仿宋"/>
          <w:b/>
          <w:bCs/>
          <w:color w:val="auto"/>
          <w:sz w:val="32"/>
          <w:szCs w:val="32"/>
          <w:lang w:val="en-US" w:eastAsia="zh-CN" w:bidi="ar"/>
        </w:rPr>
        <w:t>信用工作牵头部门职责</w:t>
      </w:r>
      <w:r>
        <w:rPr>
          <w:rFonts w:hint="eastAsia" w:ascii="仿宋" w:hAnsi="仿宋" w:eastAsia="仿宋" w:cs="仿宋"/>
          <w:b/>
          <w:bCs/>
          <w:color w:val="auto"/>
          <w:sz w:val="32"/>
          <w:szCs w:val="32"/>
          <w:lang w:bidi="ar"/>
        </w:rPr>
        <w:t>】</w:t>
      </w:r>
      <w:r>
        <w:rPr>
          <w:rFonts w:hint="eastAsia" w:ascii="仿宋" w:hAnsi="仿宋" w:eastAsia="仿宋" w:cs="仿宋"/>
          <w:b w:val="0"/>
          <w:bCs w:val="0"/>
          <w:color w:val="auto"/>
          <w:sz w:val="32"/>
          <w:szCs w:val="32"/>
          <w:lang w:val="en-US" w:eastAsia="zh-CN" w:bidi="ar"/>
        </w:rPr>
        <w:t>海南</w:t>
      </w:r>
      <w:r>
        <w:rPr>
          <w:rFonts w:hint="eastAsia" w:ascii="仿宋" w:hAnsi="仿宋" w:eastAsia="仿宋" w:cs="仿宋"/>
          <w:b w:val="0"/>
          <w:bCs w:val="0"/>
          <w:color w:val="auto"/>
          <w:sz w:val="32"/>
          <w:szCs w:val="32"/>
          <w:lang w:val="en-US" w:eastAsia="zh-CN"/>
        </w:rPr>
        <w:t>省卫生健康委员会（以下简称“省卫健委”）信用工作牵头部门负责贯彻落实国家卫生健康委员会和省发展和改革委员会有关信用体系建设的工作部署;牵头组织制定信用相关的规章制度、标准规范并组织实施;与各主管部门建立常态化的沟通机制,促进各业务领域加快信用建设;适时开展信用培训、信用工作监督和检查。</w:t>
      </w:r>
    </w:p>
    <w:p>
      <w:pPr>
        <w:pStyle w:val="6"/>
        <w:pageBreakBefore w:val="0"/>
        <w:tabs>
          <w:tab w:val="left" w:pos="0"/>
        </w:tabs>
        <w:kinsoku/>
        <w:wordWrap/>
        <w:overflowPunct/>
        <w:topLinePunct w:val="0"/>
        <w:autoSpaceDE w:val="0"/>
        <w:autoSpaceDN w:val="0"/>
        <w:bidi w:val="0"/>
        <w:adjustRightInd/>
        <w:snapToGrid/>
        <w:spacing w:before="0" w:beforeAutospacing="0" w:after="0" w:afterAutospacing="0" w:line="560" w:lineRule="exact"/>
        <w:ind w:left="0" w:leftChars="0" w:firstLine="643" w:firstLineChars="200"/>
        <w:textAlignment w:val="auto"/>
        <w:outlineLvl w:val="1"/>
        <w:rPr>
          <w:rFonts w:hint="eastAsia" w:ascii="仿宋" w:hAnsi="仿宋" w:eastAsia="仿宋" w:cs="仿宋"/>
          <w:b w:val="0"/>
          <w:bCs w:val="0"/>
          <w:color w:val="auto"/>
          <w:sz w:val="32"/>
          <w:szCs w:val="32"/>
          <w:lang w:val="en-US" w:eastAsia="zh-CN"/>
        </w:rPr>
      </w:pPr>
      <w:r>
        <w:rPr>
          <w:rFonts w:hint="eastAsia" w:ascii="仿宋" w:hAnsi="仿宋" w:eastAsia="仿宋" w:cs="仿宋"/>
          <w:b/>
          <w:color w:val="auto"/>
          <w:sz w:val="32"/>
          <w:szCs w:val="32"/>
          <w:lang w:bidi="ar"/>
        </w:rPr>
        <w:t>第</w:t>
      </w:r>
      <w:r>
        <w:rPr>
          <w:rFonts w:hint="eastAsia" w:ascii="仿宋" w:hAnsi="仿宋" w:eastAsia="仿宋" w:cs="仿宋"/>
          <w:b/>
          <w:color w:val="auto"/>
          <w:sz w:val="32"/>
          <w:szCs w:val="32"/>
          <w:lang w:val="en-US" w:eastAsia="zh-CN" w:bidi="ar"/>
        </w:rPr>
        <w:t>七</w:t>
      </w:r>
      <w:r>
        <w:rPr>
          <w:rFonts w:hint="eastAsia" w:ascii="仿宋" w:hAnsi="仿宋" w:eastAsia="仿宋" w:cs="仿宋"/>
          <w:b/>
          <w:color w:val="auto"/>
          <w:sz w:val="32"/>
          <w:szCs w:val="32"/>
          <w:lang w:bidi="ar"/>
        </w:rPr>
        <w:t>条</w:t>
      </w:r>
      <w:r>
        <w:rPr>
          <w:rFonts w:hint="eastAsia" w:ascii="仿宋" w:hAnsi="仿宋" w:eastAsia="仿宋" w:cs="仿宋"/>
          <w:b/>
          <w:bCs w:val="0"/>
          <w:color w:val="auto"/>
          <w:sz w:val="32"/>
          <w:szCs w:val="32"/>
          <w:lang w:bidi="ar"/>
        </w:rPr>
        <w:t>【</w:t>
      </w:r>
      <w:r>
        <w:rPr>
          <w:rFonts w:hint="eastAsia" w:ascii="仿宋" w:hAnsi="仿宋" w:eastAsia="仿宋" w:cs="仿宋"/>
          <w:b/>
          <w:bCs w:val="0"/>
          <w:color w:val="auto"/>
          <w:sz w:val="32"/>
          <w:szCs w:val="32"/>
          <w:lang w:val="en-US" w:eastAsia="zh-CN" w:bidi="ar"/>
        </w:rPr>
        <w:t>处室单位职责</w:t>
      </w:r>
      <w:r>
        <w:rPr>
          <w:rFonts w:hint="eastAsia" w:ascii="仿宋" w:hAnsi="仿宋" w:eastAsia="仿宋" w:cs="仿宋"/>
          <w:b/>
          <w:bCs w:val="0"/>
          <w:color w:val="auto"/>
          <w:sz w:val="32"/>
          <w:szCs w:val="32"/>
          <w:lang w:bidi="ar"/>
        </w:rPr>
        <w:t>】</w:t>
      </w:r>
      <w:r>
        <w:rPr>
          <w:rFonts w:hint="eastAsia" w:ascii="仿宋" w:hAnsi="仿宋" w:eastAsia="仿宋" w:cs="仿宋"/>
          <w:b w:val="0"/>
          <w:bCs w:val="0"/>
          <w:color w:val="auto"/>
          <w:sz w:val="32"/>
          <w:szCs w:val="32"/>
          <w:lang w:val="en-US" w:eastAsia="zh-CN"/>
        </w:rPr>
        <w:t>省卫健委相关处室按照职责分别负责职责相关领域信用管理及诚信宣传工作；省卫健委下属有关单位拟定职能范围内的信用管理制度，按要求组织开展相关领域信用管理、分析与监测，负责相关省级信用平台的建设、运营和维护，以及信用数据归集、共享、公示等技术支持保障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 w:hAnsi="仿宋" w:eastAsia="仿宋" w:cs="仿宋"/>
          <w:b w:val="0"/>
          <w:bCs w:val="0"/>
          <w:color w:val="auto"/>
          <w:sz w:val="32"/>
          <w:szCs w:val="32"/>
          <w:lang w:val="en-US" w:eastAsia="zh-CN" w:bidi="ar"/>
        </w:rPr>
      </w:pPr>
      <w:r>
        <w:rPr>
          <w:rFonts w:hint="eastAsia" w:ascii="仿宋" w:hAnsi="仿宋" w:eastAsia="仿宋" w:cs="仿宋"/>
          <w:b/>
          <w:color w:val="auto"/>
          <w:sz w:val="32"/>
          <w:szCs w:val="32"/>
          <w:lang w:bidi="ar"/>
        </w:rPr>
        <w:t>第</w:t>
      </w:r>
      <w:r>
        <w:rPr>
          <w:rFonts w:hint="eastAsia" w:ascii="仿宋" w:hAnsi="仿宋" w:eastAsia="仿宋" w:cs="仿宋"/>
          <w:b/>
          <w:color w:val="auto"/>
          <w:sz w:val="32"/>
          <w:szCs w:val="32"/>
          <w:lang w:val="en-US" w:eastAsia="zh-CN" w:bidi="ar"/>
        </w:rPr>
        <w:t>八</w:t>
      </w:r>
      <w:r>
        <w:rPr>
          <w:rFonts w:hint="eastAsia" w:ascii="仿宋" w:hAnsi="仿宋" w:eastAsia="仿宋" w:cs="仿宋"/>
          <w:b/>
          <w:color w:val="auto"/>
          <w:sz w:val="32"/>
          <w:szCs w:val="32"/>
          <w:lang w:bidi="ar"/>
        </w:rPr>
        <w:t>条</w:t>
      </w:r>
      <w:r>
        <w:rPr>
          <w:rFonts w:hint="eastAsia" w:ascii="仿宋" w:hAnsi="仿宋" w:eastAsia="仿宋" w:cs="仿宋"/>
          <w:b/>
          <w:bCs w:val="0"/>
          <w:color w:val="auto"/>
          <w:sz w:val="32"/>
          <w:szCs w:val="32"/>
          <w:lang w:bidi="ar"/>
        </w:rPr>
        <w:t>【</w:t>
      </w:r>
      <w:r>
        <w:rPr>
          <w:rFonts w:hint="eastAsia" w:ascii="仿宋" w:hAnsi="仿宋" w:eastAsia="仿宋" w:cs="仿宋"/>
          <w:b/>
          <w:bCs w:val="0"/>
          <w:color w:val="auto"/>
          <w:sz w:val="32"/>
          <w:szCs w:val="32"/>
          <w:lang w:val="en-US" w:eastAsia="zh-CN" w:bidi="ar"/>
        </w:rPr>
        <w:t>市县级卫生健康行政部门职责</w:t>
      </w:r>
      <w:r>
        <w:rPr>
          <w:rFonts w:hint="eastAsia" w:ascii="仿宋" w:hAnsi="仿宋" w:eastAsia="仿宋" w:cs="仿宋"/>
          <w:b/>
          <w:bCs w:val="0"/>
          <w:color w:val="auto"/>
          <w:sz w:val="32"/>
          <w:szCs w:val="32"/>
          <w:lang w:bidi="ar"/>
        </w:rPr>
        <w:t>】</w:t>
      </w:r>
      <w:r>
        <w:rPr>
          <w:rFonts w:hint="eastAsia" w:ascii="仿宋" w:hAnsi="仿宋" w:eastAsia="仿宋" w:cs="仿宋"/>
          <w:b w:val="0"/>
          <w:bCs w:val="0"/>
          <w:color w:val="auto"/>
          <w:sz w:val="32"/>
          <w:szCs w:val="32"/>
          <w:lang w:val="en-US" w:eastAsia="zh-CN"/>
        </w:rPr>
        <w:t>各市、县（市、区）级卫生健康行政部门负责本行政区域内信用主体的信用信息认定、采集、报送和公开工作,组织实施信用承诺、信用评价、守信激励和失信惩戒、信用修复等工作,贯彻落实信用建设相关政策措施。具体工作可由其所属的职能部门承担。</w:t>
      </w:r>
    </w:p>
    <w:p>
      <w:pPr>
        <w:pStyle w:val="2"/>
        <w:keepNext/>
        <w:keepLines/>
        <w:pageBreakBefore w:val="0"/>
        <w:widowControl w:val="0"/>
        <w:kinsoku/>
        <w:wordWrap/>
        <w:overflowPunct/>
        <w:topLinePunct w:val="0"/>
        <w:autoSpaceDE/>
        <w:autoSpaceDN w:val="0"/>
        <w:bidi w:val="0"/>
        <w:adjustRightInd/>
        <w:snapToGrid/>
        <w:spacing w:before="157" w:beforeLines="50" w:beforeAutospacing="0" w:after="157" w:afterLines="50" w:afterAutospacing="0" w:line="560" w:lineRule="exact"/>
        <w:ind w:left="0" w:leftChars="0" w:firstLine="0" w:firstLineChars="0"/>
        <w:jc w:val="center"/>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第</w:t>
      </w:r>
      <w:r>
        <w:rPr>
          <w:rFonts w:hint="eastAsia" w:ascii="仿宋" w:hAnsi="仿宋" w:eastAsia="仿宋" w:cs="仿宋"/>
          <w:b/>
          <w:bCs w:val="0"/>
          <w:color w:val="auto"/>
          <w:sz w:val="32"/>
          <w:szCs w:val="32"/>
          <w:lang w:val="en-US" w:eastAsia="zh-CN"/>
        </w:rPr>
        <w:t>三</w:t>
      </w:r>
      <w:r>
        <w:rPr>
          <w:rFonts w:hint="eastAsia" w:ascii="仿宋" w:hAnsi="仿宋" w:eastAsia="仿宋" w:cs="仿宋"/>
          <w:b/>
          <w:bCs w:val="0"/>
          <w:color w:val="auto"/>
          <w:sz w:val="32"/>
          <w:szCs w:val="32"/>
        </w:rPr>
        <w:t>章信用承诺</w:t>
      </w:r>
    </w:p>
    <w:p>
      <w:pPr>
        <w:pStyle w:val="6"/>
        <w:pageBreakBefore w:val="0"/>
        <w:tabs>
          <w:tab w:val="left" w:pos="0"/>
        </w:tabs>
        <w:kinsoku/>
        <w:wordWrap/>
        <w:overflowPunct/>
        <w:topLinePunct w:val="0"/>
        <w:autoSpaceDE w:val="0"/>
        <w:autoSpaceDN w:val="0"/>
        <w:bidi w:val="0"/>
        <w:adjustRightInd/>
        <w:snapToGrid/>
        <w:spacing w:before="0" w:beforeAutospacing="0" w:after="0" w:afterAutospacing="0" w:line="560" w:lineRule="exact"/>
        <w:ind w:left="0" w:leftChars="0" w:firstLine="643" w:firstLineChars="200"/>
        <w:jc w:val="left"/>
        <w:textAlignment w:val="auto"/>
        <w:outlineLvl w:val="1"/>
        <w:rPr>
          <w:rFonts w:hint="eastAsia" w:ascii="仿宋" w:hAnsi="仿宋" w:eastAsia="仿宋" w:cs="仿宋"/>
          <w:bCs/>
          <w:color w:val="auto"/>
          <w:sz w:val="32"/>
          <w:szCs w:val="32"/>
          <w:lang w:bidi="ar"/>
        </w:rPr>
      </w:pPr>
      <w:r>
        <w:rPr>
          <w:rFonts w:hint="eastAsia" w:ascii="仿宋" w:hAnsi="仿宋" w:eastAsia="仿宋" w:cs="仿宋"/>
          <w:b/>
          <w:bCs w:val="0"/>
          <w:color w:val="auto"/>
          <w:sz w:val="32"/>
          <w:szCs w:val="32"/>
          <w:lang w:bidi="ar"/>
        </w:rPr>
        <w:t>第</w:t>
      </w:r>
      <w:r>
        <w:rPr>
          <w:rFonts w:hint="eastAsia" w:ascii="仿宋" w:hAnsi="仿宋" w:eastAsia="仿宋" w:cs="仿宋"/>
          <w:b/>
          <w:bCs w:val="0"/>
          <w:color w:val="auto"/>
          <w:sz w:val="32"/>
          <w:szCs w:val="32"/>
          <w:lang w:val="en-US" w:eastAsia="zh-CN" w:bidi="ar"/>
        </w:rPr>
        <w:t>九</w:t>
      </w:r>
      <w:r>
        <w:rPr>
          <w:rFonts w:hint="eastAsia" w:ascii="仿宋" w:hAnsi="仿宋" w:eastAsia="仿宋" w:cs="仿宋"/>
          <w:b/>
          <w:bCs w:val="0"/>
          <w:color w:val="auto"/>
          <w:sz w:val="32"/>
          <w:szCs w:val="32"/>
          <w:lang w:bidi="ar"/>
        </w:rPr>
        <w:t>条【信用承诺制】</w:t>
      </w:r>
      <w:r>
        <w:rPr>
          <w:rFonts w:hint="eastAsia" w:ascii="仿宋" w:hAnsi="仿宋" w:eastAsia="仿宋" w:cs="仿宋"/>
          <w:bCs/>
          <w:color w:val="auto"/>
          <w:sz w:val="32"/>
          <w:szCs w:val="32"/>
          <w:lang w:bidi="ar"/>
        </w:rPr>
        <w:t>在本省</w:t>
      </w:r>
      <w:r>
        <w:rPr>
          <w:rFonts w:hint="eastAsia" w:ascii="仿宋" w:hAnsi="仿宋" w:eastAsia="仿宋" w:cs="仿宋"/>
          <w:bCs/>
          <w:color w:val="auto"/>
          <w:sz w:val="32"/>
          <w:szCs w:val="32"/>
          <w:lang w:val="en-US" w:eastAsia="zh-CN" w:bidi="ar"/>
        </w:rPr>
        <w:t>卫生健康</w:t>
      </w:r>
      <w:r>
        <w:rPr>
          <w:rFonts w:hint="eastAsia" w:ascii="仿宋" w:hAnsi="仿宋" w:eastAsia="仿宋" w:cs="仿宋"/>
          <w:bCs/>
          <w:color w:val="auto"/>
          <w:sz w:val="32"/>
          <w:szCs w:val="32"/>
          <w:lang w:bidi="ar"/>
        </w:rPr>
        <w:t>领域应用信用承诺制。各级</w:t>
      </w:r>
      <w:r>
        <w:rPr>
          <w:rFonts w:hint="eastAsia" w:ascii="仿宋" w:hAnsi="仿宋" w:eastAsia="仿宋" w:cs="仿宋"/>
          <w:bCs/>
          <w:color w:val="auto"/>
          <w:sz w:val="32"/>
          <w:szCs w:val="32"/>
          <w:lang w:val="en-US" w:eastAsia="zh-CN" w:bidi="ar"/>
        </w:rPr>
        <w:t>卫生健康行政</w:t>
      </w:r>
      <w:r>
        <w:rPr>
          <w:rFonts w:hint="eastAsia" w:ascii="仿宋" w:hAnsi="仿宋" w:eastAsia="仿宋" w:cs="仿宋"/>
          <w:bCs/>
          <w:color w:val="auto"/>
          <w:sz w:val="32"/>
          <w:szCs w:val="32"/>
          <w:lang w:bidi="ar"/>
        </w:rPr>
        <w:t>部门在办理行政许可、证明事项、信用修复等信用承诺制推广应用工作时</w:t>
      </w:r>
      <w:r>
        <w:rPr>
          <w:rFonts w:hint="eastAsia" w:ascii="仿宋" w:hAnsi="仿宋" w:eastAsia="仿宋" w:cs="仿宋"/>
          <w:bCs/>
          <w:color w:val="auto"/>
          <w:sz w:val="32"/>
          <w:szCs w:val="32"/>
          <w:lang w:eastAsia="zh-CN" w:bidi="ar"/>
        </w:rPr>
        <w:t>，</w:t>
      </w:r>
      <w:r>
        <w:rPr>
          <w:rFonts w:hint="eastAsia" w:ascii="仿宋" w:hAnsi="仿宋" w:eastAsia="仿宋" w:cs="仿宋"/>
          <w:bCs/>
          <w:color w:val="auto"/>
          <w:sz w:val="32"/>
          <w:szCs w:val="32"/>
          <w:lang w:bidi="ar"/>
        </w:rPr>
        <w:t>应将市场主体履约情况记入信用记录</w:t>
      </w:r>
      <w:r>
        <w:rPr>
          <w:rFonts w:hint="eastAsia" w:ascii="仿宋" w:hAnsi="仿宋" w:eastAsia="仿宋" w:cs="仿宋"/>
          <w:bCs/>
          <w:color w:val="auto"/>
          <w:sz w:val="32"/>
          <w:szCs w:val="32"/>
          <w:lang w:eastAsia="zh-CN" w:bidi="ar"/>
        </w:rPr>
        <w:t>，</w:t>
      </w:r>
      <w:r>
        <w:rPr>
          <w:rFonts w:hint="eastAsia" w:ascii="仿宋" w:hAnsi="仿宋" w:eastAsia="仿宋" w:cs="仿宋"/>
          <w:bCs/>
          <w:color w:val="auto"/>
          <w:sz w:val="32"/>
          <w:szCs w:val="32"/>
          <w:lang w:bidi="ar"/>
        </w:rPr>
        <w:t>作为监督管理的重要依据。依法依规推动信用承诺书、市场主体践诺履约情况的公开公示。</w:t>
      </w:r>
    </w:p>
    <w:p>
      <w:pPr>
        <w:pStyle w:val="6"/>
        <w:pageBreakBefore w:val="0"/>
        <w:tabs>
          <w:tab w:val="left" w:pos="0"/>
        </w:tabs>
        <w:kinsoku/>
        <w:wordWrap/>
        <w:overflowPunct/>
        <w:topLinePunct w:val="0"/>
        <w:autoSpaceDE w:val="0"/>
        <w:autoSpaceDN w:val="0"/>
        <w:bidi w:val="0"/>
        <w:adjustRightInd/>
        <w:snapToGrid/>
        <w:spacing w:before="0" w:beforeAutospacing="0" w:after="0" w:afterAutospacing="0" w:line="560" w:lineRule="exact"/>
        <w:ind w:left="0" w:leftChars="0" w:firstLine="643" w:firstLineChars="200"/>
        <w:jc w:val="left"/>
        <w:textAlignment w:val="auto"/>
        <w:outlineLvl w:val="1"/>
        <w:rPr>
          <w:rFonts w:hint="eastAsia" w:ascii="仿宋" w:hAnsi="仿宋" w:eastAsia="仿宋" w:cs="仿宋"/>
          <w:bCs/>
          <w:color w:val="auto"/>
          <w:sz w:val="32"/>
          <w:szCs w:val="32"/>
          <w:lang w:bidi="ar"/>
        </w:rPr>
      </w:pPr>
      <w:r>
        <w:rPr>
          <w:rFonts w:hint="eastAsia" w:ascii="仿宋" w:hAnsi="仿宋" w:eastAsia="仿宋" w:cs="仿宋"/>
          <w:b/>
          <w:bCs w:val="0"/>
          <w:color w:val="auto"/>
          <w:sz w:val="32"/>
          <w:szCs w:val="32"/>
          <w:lang w:bidi="ar"/>
        </w:rPr>
        <w:t>第</w:t>
      </w:r>
      <w:r>
        <w:rPr>
          <w:rFonts w:hint="eastAsia" w:ascii="仿宋" w:hAnsi="仿宋" w:eastAsia="仿宋" w:cs="仿宋"/>
          <w:b/>
          <w:bCs w:val="0"/>
          <w:color w:val="auto"/>
          <w:sz w:val="32"/>
          <w:szCs w:val="32"/>
          <w:lang w:val="en-US" w:eastAsia="zh-CN" w:bidi="ar"/>
        </w:rPr>
        <w:t>十</w:t>
      </w:r>
      <w:r>
        <w:rPr>
          <w:rFonts w:hint="eastAsia" w:ascii="仿宋" w:hAnsi="仿宋" w:eastAsia="仿宋" w:cs="仿宋"/>
          <w:b/>
          <w:bCs w:val="0"/>
          <w:color w:val="auto"/>
          <w:sz w:val="32"/>
          <w:szCs w:val="32"/>
          <w:lang w:bidi="ar"/>
        </w:rPr>
        <w:t>条【信用承诺类型】</w:t>
      </w:r>
      <w:r>
        <w:rPr>
          <w:rFonts w:hint="eastAsia" w:ascii="仿宋" w:hAnsi="仿宋" w:eastAsia="仿宋" w:cs="仿宋"/>
          <w:b w:val="0"/>
          <w:bCs/>
          <w:color w:val="auto"/>
          <w:sz w:val="32"/>
          <w:szCs w:val="32"/>
          <w:lang w:val="en-US" w:eastAsia="zh-CN" w:bidi="ar"/>
        </w:rPr>
        <w:t>本省卫生健康</w:t>
      </w:r>
      <w:r>
        <w:rPr>
          <w:rFonts w:hint="eastAsia" w:ascii="仿宋" w:hAnsi="仿宋" w:eastAsia="仿宋" w:cs="仿宋"/>
          <w:bCs/>
          <w:color w:val="auto"/>
          <w:sz w:val="32"/>
          <w:szCs w:val="32"/>
          <w:lang w:bidi="ar"/>
        </w:rPr>
        <w:t>信用承诺主要有</w:t>
      </w:r>
      <w:r>
        <w:rPr>
          <w:rFonts w:hint="eastAsia" w:ascii="仿宋" w:hAnsi="仿宋" w:eastAsia="仿宋" w:cs="仿宋"/>
          <w:bCs/>
          <w:color w:val="auto"/>
          <w:sz w:val="32"/>
          <w:szCs w:val="32"/>
          <w:lang w:val="en-US" w:eastAsia="zh-CN" w:bidi="ar"/>
        </w:rPr>
        <w:t>涉企许可事项告知承诺</w:t>
      </w:r>
      <w:r>
        <w:rPr>
          <w:rFonts w:hint="eastAsia" w:ascii="仿宋" w:hAnsi="仿宋" w:eastAsia="仿宋" w:cs="仿宋"/>
          <w:bCs/>
          <w:color w:val="auto"/>
          <w:sz w:val="32"/>
          <w:szCs w:val="32"/>
          <w:lang w:bidi="ar"/>
        </w:rPr>
        <w:t>、证明事项告知</w:t>
      </w:r>
      <w:r>
        <w:rPr>
          <w:rFonts w:hint="eastAsia" w:ascii="仿宋" w:hAnsi="仿宋" w:eastAsia="仿宋" w:cs="仿宋"/>
          <w:bCs/>
          <w:color w:val="auto"/>
          <w:sz w:val="32"/>
          <w:szCs w:val="32"/>
          <w:lang w:val="en-US" w:eastAsia="zh-CN" w:bidi="ar"/>
        </w:rPr>
        <w:t>承诺</w:t>
      </w:r>
      <w:r>
        <w:rPr>
          <w:rFonts w:hint="eastAsia" w:ascii="仿宋" w:hAnsi="仿宋" w:eastAsia="仿宋" w:cs="仿宋"/>
          <w:bCs/>
          <w:color w:val="auto"/>
          <w:sz w:val="32"/>
          <w:szCs w:val="32"/>
          <w:lang w:bidi="ar"/>
        </w:rPr>
        <w:t>、主动公示承诺、</w:t>
      </w:r>
      <w:r>
        <w:rPr>
          <w:rFonts w:hint="eastAsia" w:ascii="仿宋" w:hAnsi="仿宋" w:eastAsia="仿宋" w:cs="仿宋"/>
          <w:bCs/>
          <w:color w:val="auto"/>
          <w:sz w:val="32"/>
          <w:szCs w:val="32"/>
          <w:lang w:val="en-US" w:eastAsia="zh-CN" w:bidi="ar"/>
        </w:rPr>
        <w:t>审批容缺受理承诺、</w:t>
      </w:r>
      <w:r>
        <w:rPr>
          <w:rFonts w:hint="eastAsia" w:ascii="仿宋" w:hAnsi="仿宋" w:eastAsia="仿宋" w:cs="仿宋"/>
          <w:bCs/>
          <w:color w:val="auto"/>
          <w:sz w:val="32"/>
          <w:szCs w:val="32"/>
          <w:lang w:bidi="ar"/>
        </w:rPr>
        <w:t>行业自律承诺、信用修复承诺</w:t>
      </w:r>
      <w:r>
        <w:rPr>
          <w:rFonts w:hint="eastAsia" w:ascii="仿宋" w:hAnsi="仿宋" w:eastAsia="仿宋" w:cs="仿宋"/>
          <w:bCs/>
          <w:color w:val="auto"/>
          <w:sz w:val="32"/>
          <w:szCs w:val="32"/>
          <w:lang w:val="en-US" w:eastAsia="zh-CN" w:bidi="ar"/>
        </w:rPr>
        <w:t>等</w:t>
      </w:r>
      <w:r>
        <w:rPr>
          <w:rFonts w:hint="eastAsia" w:ascii="仿宋" w:hAnsi="仿宋" w:eastAsia="仿宋" w:cs="仿宋"/>
          <w:bCs/>
          <w:color w:val="auto"/>
          <w:sz w:val="32"/>
          <w:szCs w:val="32"/>
          <w:lang w:bidi="ar"/>
        </w:rPr>
        <w:t>五种</w:t>
      </w:r>
      <w:r>
        <w:rPr>
          <w:rFonts w:hint="eastAsia" w:ascii="仿宋" w:hAnsi="仿宋" w:eastAsia="仿宋" w:cs="仿宋"/>
          <w:bCs/>
          <w:color w:val="auto"/>
          <w:sz w:val="32"/>
          <w:szCs w:val="32"/>
          <w:lang w:val="en-US" w:eastAsia="zh-CN" w:bidi="ar"/>
        </w:rPr>
        <w:t>类型</w:t>
      </w:r>
      <w:r>
        <w:rPr>
          <w:rFonts w:hint="eastAsia" w:ascii="仿宋" w:hAnsi="仿宋" w:eastAsia="仿宋" w:cs="仿宋"/>
          <w:bCs/>
          <w:color w:val="auto"/>
          <w:sz w:val="32"/>
          <w:szCs w:val="32"/>
          <w:lang w:bidi="ar"/>
        </w:rPr>
        <w:t>。</w:t>
      </w:r>
    </w:p>
    <w:p>
      <w:pPr>
        <w:pStyle w:val="6"/>
        <w:pageBreakBefore w:val="0"/>
        <w:tabs>
          <w:tab w:val="left" w:pos="0"/>
        </w:tabs>
        <w:kinsoku/>
        <w:wordWrap/>
        <w:overflowPunct/>
        <w:topLinePunct w:val="0"/>
        <w:autoSpaceDE w:val="0"/>
        <w:autoSpaceDN w:val="0"/>
        <w:bidi w:val="0"/>
        <w:adjustRightInd/>
        <w:snapToGrid/>
        <w:spacing w:before="0" w:beforeAutospacing="0" w:after="0" w:afterAutospacing="0" w:line="560" w:lineRule="exact"/>
        <w:ind w:left="0" w:leftChars="0" w:firstLine="643" w:firstLineChars="200"/>
        <w:jc w:val="left"/>
        <w:textAlignment w:val="auto"/>
        <w:outlineLvl w:val="1"/>
        <w:rPr>
          <w:rFonts w:hint="eastAsia" w:ascii="仿宋" w:hAnsi="仿宋" w:eastAsia="仿宋" w:cs="仿宋"/>
          <w:bCs/>
          <w:color w:val="auto"/>
          <w:sz w:val="32"/>
          <w:szCs w:val="32"/>
          <w:lang w:bidi="ar"/>
        </w:rPr>
      </w:pPr>
      <w:r>
        <w:rPr>
          <w:rFonts w:hint="eastAsia" w:ascii="仿宋" w:hAnsi="仿宋" w:eastAsia="仿宋" w:cs="仿宋"/>
          <w:b/>
          <w:bCs w:val="0"/>
          <w:color w:val="auto"/>
          <w:sz w:val="32"/>
          <w:szCs w:val="32"/>
          <w:lang w:bidi="ar"/>
        </w:rPr>
        <w:t>第</w:t>
      </w:r>
      <w:r>
        <w:rPr>
          <w:rFonts w:hint="eastAsia" w:ascii="仿宋" w:hAnsi="仿宋" w:eastAsia="仿宋" w:cs="仿宋"/>
          <w:b/>
          <w:bCs w:val="0"/>
          <w:color w:val="auto"/>
          <w:sz w:val="32"/>
          <w:szCs w:val="32"/>
          <w:lang w:val="en-US" w:eastAsia="zh-CN" w:bidi="ar"/>
        </w:rPr>
        <w:t>十一</w:t>
      </w:r>
      <w:r>
        <w:rPr>
          <w:rFonts w:hint="eastAsia" w:ascii="仿宋" w:hAnsi="仿宋" w:eastAsia="仿宋" w:cs="仿宋"/>
          <w:b/>
          <w:bCs w:val="0"/>
          <w:color w:val="auto"/>
          <w:sz w:val="32"/>
          <w:szCs w:val="32"/>
          <w:lang w:bidi="ar"/>
        </w:rPr>
        <w:t>条【承诺限制】</w:t>
      </w:r>
      <w:r>
        <w:rPr>
          <w:rFonts w:hint="eastAsia" w:ascii="仿宋" w:hAnsi="仿宋" w:eastAsia="仿宋" w:cs="仿宋"/>
          <w:bCs/>
          <w:color w:val="auto"/>
          <w:sz w:val="32"/>
          <w:szCs w:val="32"/>
          <w:lang w:bidi="ar"/>
        </w:rPr>
        <w:t>信用主体有严重失信行为或曾作出虚假承诺等情形的</w:t>
      </w:r>
      <w:r>
        <w:rPr>
          <w:rFonts w:hint="eastAsia" w:ascii="仿宋" w:hAnsi="仿宋" w:eastAsia="仿宋" w:cs="仿宋"/>
          <w:bCs/>
          <w:color w:val="auto"/>
          <w:sz w:val="32"/>
          <w:szCs w:val="32"/>
          <w:lang w:eastAsia="zh-CN" w:bidi="ar"/>
        </w:rPr>
        <w:t>，</w:t>
      </w:r>
      <w:r>
        <w:rPr>
          <w:rFonts w:hint="eastAsia" w:ascii="仿宋" w:hAnsi="仿宋" w:eastAsia="仿宋" w:cs="仿宋"/>
          <w:bCs/>
          <w:color w:val="auto"/>
          <w:sz w:val="32"/>
          <w:szCs w:val="32"/>
          <w:lang w:bidi="ar"/>
        </w:rPr>
        <w:t>不适用审批替代型信用承诺制和证明事项告知型信用承诺制。</w:t>
      </w:r>
    </w:p>
    <w:p>
      <w:pPr>
        <w:pStyle w:val="6"/>
        <w:pageBreakBefore w:val="0"/>
        <w:tabs>
          <w:tab w:val="left" w:pos="0"/>
        </w:tabs>
        <w:kinsoku/>
        <w:wordWrap/>
        <w:overflowPunct/>
        <w:topLinePunct w:val="0"/>
        <w:autoSpaceDE w:val="0"/>
        <w:autoSpaceDN w:val="0"/>
        <w:bidi w:val="0"/>
        <w:adjustRightInd/>
        <w:snapToGrid/>
        <w:spacing w:before="0" w:beforeAutospacing="0" w:after="0" w:afterAutospacing="0" w:line="560" w:lineRule="exact"/>
        <w:ind w:left="0" w:leftChars="0" w:firstLine="643" w:firstLineChars="200"/>
        <w:jc w:val="left"/>
        <w:textAlignment w:val="auto"/>
        <w:outlineLvl w:val="1"/>
        <w:rPr>
          <w:rFonts w:hint="eastAsia" w:ascii="仿宋" w:hAnsi="仿宋" w:eastAsia="仿宋" w:cs="仿宋"/>
          <w:bCs/>
          <w:color w:val="auto"/>
          <w:sz w:val="32"/>
          <w:szCs w:val="32"/>
          <w:lang w:bidi="ar"/>
        </w:rPr>
      </w:pPr>
      <w:r>
        <w:rPr>
          <w:rFonts w:hint="eastAsia" w:ascii="仿宋" w:hAnsi="仿宋" w:eastAsia="仿宋" w:cs="仿宋"/>
          <w:b/>
          <w:bCs w:val="0"/>
          <w:color w:val="auto"/>
          <w:sz w:val="32"/>
          <w:szCs w:val="32"/>
          <w:lang w:bidi="ar"/>
        </w:rPr>
        <w:t>第十</w:t>
      </w:r>
      <w:r>
        <w:rPr>
          <w:rFonts w:hint="eastAsia" w:ascii="仿宋" w:hAnsi="仿宋" w:eastAsia="仿宋" w:cs="仿宋"/>
          <w:b/>
          <w:bCs w:val="0"/>
          <w:color w:val="auto"/>
          <w:sz w:val="32"/>
          <w:szCs w:val="32"/>
          <w:lang w:val="en-US" w:eastAsia="zh-CN" w:bidi="ar"/>
        </w:rPr>
        <w:t>二</w:t>
      </w:r>
      <w:r>
        <w:rPr>
          <w:rFonts w:hint="eastAsia" w:ascii="仿宋" w:hAnsi="仿宋" w:eastAsia="仿宋" w:cs="仿宋"/>
          <w:b/>
          <w:bCs w:val="0"/>
          <w:color w:val="auto"/>
          <w:sz w:val="32"/>
          <w:szCs w:val="32"/>
          <w:lang w:bidi="ar"/>
        </w:rPr>
        <w:t>条【社会参与】</w:t>
      </w:r>
      <w:r>
        <w:rPr>
          <w:rFonts w:hint="eastAsia" w:ascii="仿宋" w:hAnsi="仿宋" w:eastAsia="仿宋" w:cs="仿宋"/>
          <w:bCs/>
          <w:color w:val="auto"/>
          <w:sz w:val="32"/>
          <w:szCs w:val="32"/>
          <w:lang w:bidi="ar"/>
        </w:rPr>
        <w:t>支持有关行业协会在行业自律中加强信用承诺应用</w:t>
      </w:r>
      <w:r>
        <w:rPr>
          <w:rFonts w:hint="eastAsia" w:ascii="仿宋" w:hAnsi="仿宋" w:eastAsia="仿宋" w:cs="仿宋"/>
          <w:bCs/>
          <w:color w:val="auto"/>
          <w:sz w:val="32"/>
          <w:szCs w:val="32"/>
          <w:lang w:eastAsia="zh-CN" w:bidi="ar"/>
        </w:rPr>
        <w:t>，</w:t>
      </w:r>
      <w:r>
        <w:rPr>
          <w:rFonts w:hint="eastAsia" w:ascii="仿宋" w:hAnsi="仿宋" w:eastAsia="仿宋" w:cs="仿宋"/>
          <w:bCs/>
          <w:color w:val="auto"/>
          <w:sz w:val="32"/>
          <w:szCs w:val="32"/>
          <w:lang w:bidi="ar"/>
        </w:rPr>
        <w:t>鼓励市场主体主动向社会作出信用承诺。</w:t>
      </w:r>
    </w:p>
    <w:p>
      <w:pPr>
        <w:pStyle w:val="2"/>
        <w:keepNext/>
        <w:keepLines/>
        <w:pageBreakBefore w:val="0"/>
        <w:widowControl w:val="0"/>
        <w:kinsoku/>
        <w:wordWrap/>
        <w:overflowPunct/>
        <w:topLinePunct w:val="0"/>
        <w:autoSpaceDE/>
        <w:autoSpaceDN w:val="0"/>
        <w:bidi w:val="0"/>
        <w:adjustRightInd/>
        <w:snapToGrid/>
        <w:spacing w:before="157" w:beforeLines="50" w:beforeAutospacing="0" w:after="157" w:afterLines="50" w:afterAutospacing="0" w:line="560" w:lineRule="exact"/>
        <w:ind w:left="0" w:leftChars="0" w:firstLine="0" w:firstLineChars="0"/>
        <w:jc w:val="center"/>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第四章</w:t>
      </w:r>
      <w:r>
        <w:rPr>
          <w:rFonts w:hint="eastAsia" w:ascii="仿宋" w:hAnsi="仿宋" w:eastAsia="仿宋" w:cs="仿宋"/>
          <w:b/>
          <w:bCs w:val="0"/>
          <w:color w:val="auto"/>
          <w:sz w:val="32"/>
          <w:szCs w:val="32"/>
          <w:lang w:val="en-US" w:eastAsia="zh-CN"/>
        </w:rPr>
        <w:t xml:space="preserve"> </w:t>
      </w:r>
      <w:r>
        <w:rPr>
          <w:rFonts w:hint="eastAsia" w:ascii="仿宋" w:hAnsi="仿宋" w:eastAsia="仿宋" w:cs="仿宋"/>
          <w:b/>
          <w:bCs w:val="0"/>
          <w:color w:val="auto"/>
          <w:sz w:val="32"/>
          <w:szCs w:val="32"/>
        </w:rPr>
        <w:t>失信认定</w:t>
      </w:r>
    </w:p>
    <w:p>
      <w:pPr>
        <w:pageBreakBefore w:val="0"/>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Cs/>
          <w:color w:val="auto"/>
          <w:sz w:val="32"/>
          <w:szCs w:val="20"/>
        </w:rPr>
      </w:pPr>
      <w:r>
        <w:rPr>
          <w:rFonts w:hint="eastAsia" w:ascii="仿宋" w:hAnsi="仿宋" w:eastAsia="仿宋" w:cs="仿宋"/>
          <w:b/>
          <w:color w:val="auto"/>
          <w:sz w:val="32"/>
          <w:szCs w:val="32"/>
          <w:lang w:bidi="ar"/>
        </w:rPr>
        <w:t>第十</w:t>
      </w:r>
      <w:r>
        <w:rPr>
          <w:rFonts w:hint="eastAsia" w:ascii="仿宋" w:hAnsi="仿宋" w:eastAsia="仿宋" w:cs="仿宋"/>
          <w:b/>
          <w:color w:val="auto"/>
          <w:sz w:val="32"/>
          <w:szCs w:val="32"/>
          <w:lang w:val="en-US" w:eastAsia="zh-CN" w:bidi="ar"/>
        </w:rPr>
        <w:t>三</w:t>
      </w:r>
      <w:r>
        <w:rPr>
          <w:rFonts w:hint="eastAsia" w:ascii="仿宋" w:hAnsi="仿宋" w:eastAsia="仿宋" w:cs="仿宋"/>
          <w:b/>
          <w:color w:val="auto"/>
          <w:sz w:val="32"/>
          <w:szCs w:val="32"/>
          <w:lang w:bidi="ar"/>
        </w:rPr>
        <w:t>条</w:t>
      </w:r>
      <w:r>
        <w:rPr>
          <w:rFonts w:hint="eastAsia" w:ascii="仿宋" w:hAnsi="仿宋" w:eastAsia="仿宋" w:cs="仿宋"/>
          <w:b/>
          <w:bCs w:val="0"/>
          <w:color w:val="auto"/>
          <w:sz w:val="32"/>
          <w:szCs w:val="20"/>
          <w:lang w:bidi="ar"/>
        </w:rPr>
        <w:t>【认定依据】</w:t>
      </w:r>
      <w:r>
        <w:rPr>
          <w:rFonts w:hint="eastAsia" w:ascii="仿宋" w:hAnsi="仿宋" w:eastAsia="仿宋" w:cs="仿宋"/>
          <w:bCs/>
          <w:color w:val="auto"/>
          <w:sz w:val="32"/>
          <w:szCs w:val="20"/>
          <w:lang w:val="en-US" w:eastAsia="zh-CN" w:bidi="ar"/>
        </w:rPr>
        <w:t>各级卫生健康行政部门</w:t>
      </w:r>
      <w:r>
        <w:rPr>
          <w:rFonts w:hint="eastAsia" w:ascii="仿宋" w:hAnsi="仿宋" w:eastAsia="仿宋" w:cs="仿宋"/>
          <w:bCs/>
          <w:color w:val="auto"/>
          <w:sz w:val="32"/>
          <w:szCs w:val="20"/>
          <w:lang w:bidi="ar"/>
        </w:rPr>
        <w:t>应以具有法律效力的文书为依据，认定并如实记录失信行为。认定依据包括：生效的司法裁判文书和仲裁文书、行政处罚和行政裁决等行政行为决定文书，以及法律、法规或者党中央、国务院政策文件规定可作为失信行为认定依据的其他文书。</w:t>
      </w:r>
    </w:p>
    <w:p>
      <w:pPr>
        <w:pageBreakBefore w:val="0"/>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Cs/>
          <w:color w:val="auto"/>
          <w:sz w:val="32"/>
          <w:szCs w:val="20"/>
          <w:lang w:bidi="ar"/>
        </w:rPr>
      </w:pPr>
      <w:r>
        <w:rPr>
          <w:rFonts w:hint="eastAsia" w:ascii="仿宋" w:hAnsi="仿宋" w:eastAsia="仿宋" w:cs="仿宋"/>
          <w:b/>
          <w:color w:val="auto"/>
          <w:sz w:val="32"/>
          <w:szCs w:val="32"/>
          <w:lang w:bidi="ar"/>
        </w:rPr>
        <w:t>第十</w:t>
      </w:r>
      <w:r>
        <w:rPr>
          <w:rFonts w:hint="eastAsia" w:ascii="仿宋" w:hAnsi="仿宋" w:eastAsia="仿宋" w:cs="仿宋"/>
          <w:b/>
          <w:color w:val="auto"/>
          <w:sz w:val="32"/>
          <w:szCs w:val="32"/>
          <w:lang w:val="en-US" w:eastAsia="zh-CN" w:bidi="ar"/>
        </w:rPr>
        <w:t>四</w:t>
      </w:r>
      <w:r>
        <w:rPr>
          <w:rFonts w:hint="eastAsia" w:ascii="仿宋" w:hAnsi="仿宋" w:eastAsia="仿宋" w:cs="仿宋"/>
          <w:b/>
          <w:color w:val="auto"/>
          <w:sz w:val="32"/>
          <w:szCs w:val="32"/>
          <w:lang w:bidi="ar"/>
        </w:rPr>
        <w:t>条</w:t>
      </w:r>
      <w:r>
        <w:rPr>
          <w:rFonts w:hint="eastAsia" w:ascii="仿宋" w:hAnsi="仿宋" w:eastAsia="仿宋" w:cs="仿宋"/>
          <w:b/>
          <w:bCs w:val="0"/>
          <w:color w:val="auto"/>
          <w:sz w:val="32"/>
          <w:szCs w:val="20"/>
          <w:lang w:bidi="ar"/>
        </w:rPr>
        <w:t>【失信行为类型】</w:t>
      </w:r>
      <w:r>
        <w:rPr>
          <w:rFonts w:hint="eastAsia" w:ascii="仿宋" w:hAnsi="仿宋" w:eastAsia="仿宋" w:cs="仿宋"/>
          <w:b w:val="0"/>
          <w:bCs w:val="0"/>
          <w:color w:val="auto"/>
          <w:sz w:val="32"/>
          <w:szCs w:val="32"/>
          <w:lang w:val="en-US" w:eastAsia="zh-CN"/>
        </w:rPr>
        <w:t>失信行为分为轻微失信、一般失信、严重失信三类</w:t>
      </w:r>
      <w:r>
        <w:rPr>
          <w:rFonts w:hint="eastAsia" w:ascii="仿宋" w:hAnsi="仿宋" w:eastAsia="仿宋" w:cs="仿宋"/>
          <w:bCs/>
          <w:color w:val="auto"/>
          <w:sz w:val="32"/>
          <w:szCs w:val="20"/>
          <w:lang w:bidi="ar"/>
        </w:rPr>
        <w:t>。失信行为认定标准由</w:t>
      </w:r>
      <w:r>
        <w:rPr>
          <w:rFonts w:hint="eastAsia" w:ascii="仿宋" w:hAnsi="仿宋" w:eastAsia="仿宋" w:cs="仿宋"/>
          <w:bCs/>
          <w:color w:val="auto"/>
          <w:sz w:val="32"/>
          <w:szCs w:val="20"/>
          <w:lang w:val="en-US" w:eastAsia="zh-CN" w:bidi="ar"/>
        </w:rPr>
        <w:t>卫生健康行政</w:t>
      </w:r>
      <w:r>
        <w:rPr>
          <w:rFonts w:hint="eastAsia" w:ascii="仿宋" w:hAnsi="仿宋" w:eastAsia="仿宋" w:cs="仿宋"/>
          <w:bCs/>
          <w:color w:val="auto"/>
          <w:sz w:val="32"/>
          <w:szCs w:val="20"/>
          <w:lang w:bidi="ar"/>
        </w:rPr>
        <w:t>部门按有关规定制定。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轻微失信是指轻微偶发的一般失信行为，及时改正或采取补救措施，没有造成社会危害后果的。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一般失信是指性质较轻、情节轻微、社会危害程度较小的违法失信行为。1年内累计发生多次同类一般失信行为或者发生不同一般失信行为达到一定次数的，可以升级失信程度。</w:t>
      </w:r>
    </w:p>
    <w:p>
      <w:pPr>
        <w:pageBreakBefore w:val="0"/>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1"/>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严重失信是指信用主体违反法律、法规或者党中央、国务院政策文件，被纳入国家发改委、国家卫生健康委等多部门签订的《全国失信惩戒措施基础清单》 认定的惩戒对象范围的信息和省级依法制定的严重失信主体名单信息。</w:t>
      </w:r>
    </w:p>
    <w:p>
      <w:pPr>
        <w:pageBreakBefore w:val="0"/>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Cs/>
          <w:color w:val="auto"/>
          <w:sz w:val="32"/>
          <w:szCs w:val="20"/>
        </w:rPr>
      </w:pPr>
      <w:r>
        <w:rPr>
          <w:rFonts w:hint="eastAsia" w:ascii="仿宋" w:hAnsi="仿宋" w:eastAsia="仿宋" w:cs="仿宋"/>
          <w:b/>
          <w:color w:val="auto"/>
          <w:sz w:val="32"/>
          <w:szCs w:val="32"/>
          <w:lang w:bidi="ar"/>
        </w:rPr>
        <w:t>第十</w:t>
      </w:r>
      <w:r>
        <w:rPr>
          <w:rFonts w:hint="eastAsia" w:ascii="仿宋" w:hAnsi="仿宋" w:eastAsia="仿宋" w:cs="仿宋"/>
          <w:b/>
          <w:color w:val="auto"/>
          <w:sz w:val="32"/>
          <w:szCs w:val="32"/>
          <w:lang w:val="en-US" w:eastAsia="zh-CN" w:bidi="ar"/>
        </w:rPr>
        <w:t>五</w:t>
      </w:r>
      <w:r>
        <w:rPr>
          <w:rFonts w:hint="eastAsia" w:ascii="仿宋" w:hAnsi="仿宋" w:eastAsia="仿宋" w:cs="仿宋"/>
          <w:b/>
          <w:color w:val="auto"/>
          <w:sz w:val="32"/>
          <w:szCs w:val="32"/>
          <w:lang w:bidi="ar"/>
        </w:rPr>
        <w:t>条</w:t>
      </w:r>
      <w:r>
        <w:rPr>
          <w:rFonts w:hint="eastAsia" w:ascii="仿宋" w:hAnsi="仿宋" w:eastAsia="仿宋" w:cs="仿宋"/>
          <w:b/>
          <w:bCs w:val="0"/>
          <w:color w:val="auto"/>
          <w:sz w:val="32"/>
          <w:szCs w:val="20"/>
          <w:lang w:bidi="ar"/>
        </w:rPr>
        <w:t>【失信行为认定程序】</w:t>
      </w:r>
      <w:r>
        <w:rPr>
          <w:rFonts w:hint="eastAsia" w:ascii="仿宋" w:hAnsi="仿宋" w:eastAsia="仿宋" w:cs="仿宋"/>
          <w:bCs/>
          <w:color w:val="auto"/>
          <w:sz w:val="32"/>
          <w:szCs w:val="20"/>
          <w:lang w:bidi="ar"/>
        </w:rPr>
        <w:t>各级</w:t>
      </w:r>
      <w:r>
        <w:rPr>
          <w:rFonts w:hint="eastAsia" w:ascii="仿宋" w:hAnsi="仿宋" w:eastAsia="仿宋" w:cs="仿宋"/>
          <w:bCs/>
          <w:color w:val="auto"/>
          <w:sz w:val="32"/>
          <w:szCs w:val="20"/>
          <w:lang w:val="en-US" w:eastAsia="zh-CN" w:bidi="ar"/>
        </w:rPr>
        <w:t>卫生健康行政</w:t>
      </w:r>
      <w:r>
        <w:rPr>
          <w:rFonts w:hint="eastAsia" w:ascii="仿宋" w:hAnsi="仿宋" w:eastAsia="仿宋" w:cs="仿宋"/>
          <w:bCs/>
          <w:color w:val="auto"/>
          <w:sz w:val="32"/>
          <w:szCs w:val="20"/>
          <w:lang w:bidi="ar"/>
        </w:rPr>
        <w:t>在作出认定失信行为决定前，</w:t>
      </w:r>
      <w:bookmarkStart w:id="1" w:name="_Hlk60756738"/>
      <w:r>
        <w:rPr>
          <w:rFonts w:hint="eastAsia" w:ascii="仿宋" w:hAnsi="仿宋" w:eastAsia="仿宋" w:cs="仿宋"/>
          <w:bCs/>
          <w:color w:val="auto"/>
          <w:sz w:val="32"/>
          <w:szCs w:val="20"/>
          <w:lang w:bidi="ar"/>
        </w:rPr>
        <w:t>应告知当事人。</w:t>
      </w:r>
    </w:p>
    <w:p>
      <w:pPr>
        <w:pageBreakBefore w:val="0"/>
        <w:kinsoku/>
        <w:wordWrap/>
        <w:overflowPunct/>
        <w:topLinePunct w:val="0"/>
        <w:autoSpaceDN w:val="0"/>
        <w:bidi w:val="0"/>
        <w:adjustRightInd/>
        <w:snapToGrid/>
        <w:spacing w:beforeAutospacing="0" w:afterAutospacing="0" w:line="560" w:lineRule="exact"/>
        <w:ind w:left="0" w:leftChars="0" w:firstLine="640" w:firstLineChars="200"/>
        <w:textAlignment w:val="auto"/>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将市场主体列入严重失信主体名单时，</w:t>
      </w:r>
      <w:r>
        <w:rPr>
          <w:rFonts w:hint="eastAsia" w:ascii="仿宋" w:hAnsi="仿宋" w:eastAsia="仿宋" w:cs="仿宋"/>
          <w:color w:val="auto"/>
          <w:sz w:val="32"/>
          <w:szCs w:val="32"/>
          <w:lang w:val="en-US" w:eastAsia="zh-CN" w:bidi="ar"/>
        </w:rPr>
        <w:t>卫生健康行政</w:t>
      </w:r>
      <w:r>
        <w:rPr>
          <w:rFonts w:hint="eastAsia" w:ascii="仿宋" w:hAnsi="仿宋" w:eastAsia="仿宋" w:cs="仿宋"/>
          <w:color w:val="auto"/>
          <w:sz w:val="32"/>
          <w:szCs w:val="32"/>
          <w:lang w:bidi="ar"/>
        </w:rPr>
        <w:t>部门应依托行政决定文书，载明事由、依据、失信惩戒措施提示、移出条件和程序以及救济措施等，也可单独制作认定严重失信主体名单的决定文书。</w:t>
      </w:r>
      <w:bookmarkEnd w:id="1"/>
    </w:p>
    <w:p>
      <w:pPr>
        <w:pageBreakBefore w:val="0"/>
        <w:kinsoku/>
        <w:wordWrap/>
        <w:overflowPunct/>
        <w:topLinePunct w:val="0"/>
        <w:autoSpaceDN w:val="0"/>
        <w:bidi w:val="0"/>
        <w:adjustRightInd/>
        <w:snapToGrid/>
        <w:spacing w:beforeAutospacing="0" w:afterAutospacing="0" w:line="5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kern w:val="2"/>
          <w:sz w:val="32"/>
          <w:szCs w:val="32"/>
          <w:lang w:val="en-US" w:eastAsia="zh-CN" w:bidi="ar"/>
        </w:rPr>
        <w:t>当事人提出异议的，认定部门应当在收到异议材料之日起15日内作出是否更正的决定，并及时告知当事人处理结果</w:t>
      </w:r>
      <w:r>
        <w:rPr>
          <w:rFonts w:hint="eastAsia" w:ascii="仿宋" w:hAnsi="仿宋" w:eastAsia="仿宋" w:cs="仿宋"/>
          <w:bCs/>
          <w:color w:val="auto"/>
          <w:sz w:val="32"/>
          <w:szCs w:val="32"/>
          <w:lang w:bidi="ar"/>
        </w:rPr>
        <w:t>。</w:t>
      </w:r>
    </w:p>
    <w:p>
      <w:pPr>
        <w:pageBreakBefore w:val="0"/>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Cs/>
          <w:color w:val="auto"/>
          <w:sz w:val="32"/>
          <w:szCs w:val="20"/>
          <w:lang w:bidi="ar"/>
        </w:rPr>
      </w:pPr>
      <w:r>
        <w:rPr>
          <w:rFonts w:hint="eastAsia" w:ascii="仿宋" w:hAnsi="仿宋" w:eastAsia="仿宋" w:cs="仿宋"/>
          <w:b/>
          <w:color w:val="auto"/>
          <w:sz w:val="32"/>
          <w:szCs w:val="32"/>
          <w:lang w:bidi="ar"/>
        </w:rPr>
        <w:t>第十</w:t>
      </w:r>
      <w:r>
        <w:rPr>
          <w:rFonts w:hint="eastAsia" w:ascii="仿宋" w:hAnsi="仿宋" w:eastAsia="仿宋" w:cs="仿宋"/>
          <w:b/>
          <w:color w:val="auto"/>
          <w:sz w:val="32"/>
          <w:szCs w:val="32"/>
          <w:lang w:val="en-US" w:eastAsia="zh-CN" w:bidi="ar"/>
        </w:rPr>
        <w:t>六</w:t>
      </w:r>
      <w:r>
        <w:rPr>
          <w:rFonts w:hint="eastAsia" w:ascii="仿宋" w:hAnsi="仿宋" w:eastAsia="仿宋" w:cs="仿宋"/>
          <w:b/>
          <w:color w:val="auto"/>
          <w:sz w:val="32"/>
          <w:szCs w:val="32"/>
          <w:lang w:bidi="ar"/>
        </w:rPr>
        <w:t>条</w:t>
      </w:r>
      <w:r>
        <w:rPr>
          <w:rFonts w:hint="eastAsia" w:ascii="仿宋" w:hAnsi="仿宋" w:eastAsia="仿宋" w:cs="仿宋"/>
          <w:b/>
          <w:bCs w:val="0"/>
          <w:color w:val="auto"/>
          <w:sz w:val="32"/>
          <w:szCs w:val="20"/>
          <w:lang w:bidi="ar"/>
        </w:rPr>
        <w:t>【严重失信主体范围】</w:t>
      </w:r>
      <w:r>
        <w:rPr>
          <w:rFonts w:hint="eastAsia" w:ascii="仿宋" w:hAnsi="仿宋" w:eastAsia="仿宋" w:cs="仿宋"/>
          <w:bCs/>
          <w:color w:val="auto"/>
          <w:sz w:val="32"/>
          <w:szCs w:val="20"/>
          <w:lang w:bidi="ar"/>
        </w:rPr>
        <w:t>设列严重失信主体名单的范围，限制为严重危害人民群众身体健康和生命安全、严重破坏市场公平竞争秩序和社会正常秩序、拒不履行法定义务严重影响司法机关和行政机关公信力、拒不履行国防义务等严重违法失信行为的责任主体。</w:t>
      </w:r>
    </w:p>
    <w:p>
      <w:pPr>
        <w:pageBreakBefore w:val="0"/>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Cs/>
          <w:color w:val="auto"/>
          <w:sz w:val="32"/>
          <w:szCs w:val="20"/>
          <w:lang w:bidi="ar"/>
        </w:rPr>
      </w:pPr>
      <w:r>
        <w:rPr>
          <w:rFonts w:hint="eastAsia" w:ascii="仿宋" w:hAnsi="仿宋" w:eastAsia="仿宋" w:cs="仿宋"/>
          <w:b/>
          <w:color w:val="auto"/>
          <w:sz w:val="32"/>
          <w:szCs w:val="32"/>
          <w:lang w:bidi="ar"/>
        </w:rPr>
        <w:t>第十</w:t>
      </w:r>
      <w:r>
        <w:rPr>
          <w:rFonts w:hint="eastAsia" w:ascii="仿宋" w:hAnsi="仿宋" w:eastAsia="仿宋" w:cs="仿宋"/>
          <w:b/>
          <w:color w:val="auto"/>
          <w:sz w:val="32"/>
          <w:szCs w:val="32"/>
          <w:lang w:val="en-US" w:eastAsia="zh-CN" w:bidi="ar"/>
        </w:rPr>
        <w:t>七</w:t>
      </w:r>
      <w:r>
        <w:rPr>
          <w:rFonts w:hint="eastAsia" w:ascii="仿宋" w:hAnsi="仿宋" w:eastAsia="仿宋" w:cs="仿宋"/>
          <w:b/>
          <w:color w:val="auto"/>
          <w:sz w:val="32"/>
          <w:szCs w:val="32"/>
          <w:lang w:bidi="ar"/>
        </w:rPr>
        <w:t>条</w:t>
      </w:r>
      <w:r>
        <w:rPr>
          <w:rFonts w:hint="eastAsia" w:ascii="仿宋" w:hAnsi="仿宋" w:eastAsia="仿宋" w:cs="仿宋"/>
          <w:b/>
          <w:bCs w:val="0"/>
          <w:color w:val="auto"/>
          <w:sz w:val="32"/>
          <w:szCs w:val="20"/>
          <w:lang w:bidi="ar"/>
        </w:rPr>
        <w:t>【严重失信主体认定标准】</w:t>
      </w:r>
      <w:r>
        <w:rPr>
          <w:rFonts w:hint="eastAsia" w:ascii="仿宋" w:hAnsi="仿宋" w:eastAsia="仿宋" w:cs="仿宋"/>
          <w:bCs/>
          <w:color w:val="auto"/>
          <w:sz w:val="32"/>
          <w:szCs w:val="20"/>
          <w:lang w:val="en-US" w:eastAsia="zh-CN" w:bidi="ar"/>
        </w:rPr>
        <w:t>省卫健委</w:t>
      </w:r>
      <w:r>
        <w:rPr>
          <w:rFonts w:hint="eastAsia" w:ascii="仿宋" w:hAnsi="仿宋" w:eastAsia="仿宋" w:cs="仿宋"/>
          <w:bCs/>
          <w:color w:val="auto"/>
          <w:sz w:val="32"/>
          <w:szCs w:val="20"/>
          <w:lang w:bidi="ar"/>
        </w:rPr>
        <w:t>制定</w:t>
      </w:r>
      <w:r>
        <w:rPr>
          <w:rFonts w:hint="eastAsia" w:ascii="仿宋" w:hAnsi="仿宋" w:eastAsia="仿宋" w:cs="仿宋"/>
          <w:bCs/>
          <w:color w:val="auto"/>
          <w:sz w:val="32"/>
          <w:szCs w:val="20"/>
          <w:lang w:val="en-US" w:eastAsia="zh-CN" w:bidi="ar"/>
        </w:rPr>
        <w:t>卫生健康</w:t>
      </w:r>
      <w:r>
        <w:rPr>
          <w:rFonts w:hint="eastAsia" w:ascii="仿宋" w:hAnsi="仿宋" w:eastAsia="仿宋" w:cs="仿宋"/>
          <w:bCs/>
          <w:color w:val="auto"/>
          <w:sz w:val="32"/>
          <w:szCs w:val="20"/>
          <w:lang w:bidi="ar"/>
        </w:rPr>
        <w:t>严重失信主体名单认定标准，明确名单移出条件、程序及救济措施，定期组织对标准执行效果进行第三方评估并及时修订。认定标准应征求</w:t>
      </w:r>
      <w:r>
        <w:rPr>
          <w:rFonts w:hint="eastAsia" w:ascii="仿宋" w:hAnsi="仿宋" w:eastAsia="仿宋" w:cs="仿宋"/>
          <w:bCs/>
          <w:color w:val="auto"/>
          <w:sz w:val="32"/>
          <w:szCs w:val="20"/>
          <w:lang w:val="en-US" w:eastAsia="zh-CN" w:bidi="ar"/>
        </w:rPr>
        <w:t>本省</w:t>
      </w:r>
      <w:r>
        <w:rPr>
          <w:rFonts w:hint="eastAsia" w:ascii="仿宋" w:hAnsi="仿宋" w:eastAsia="仿宋" w:cs="仿宋"/>
          <w:bCs/>
          <w:color w:val="auto"/>
          <w:sz w:val="32"/>
          <w:szCs w:val="20"/>
          <w:lang w:bidi="ar"/>
        </w:rPr>
        <w:t>社会信用体系建设联席会议牵头单位及其他有关部门、相关市场主体、行业协会、法律服务机构、专家学者和社会公众意见。公开征求意见的期限不少于30日。认定标准通过“信用中国</w:t>
      </w:r>
      <w:r>
        <w:rPr>
          <w:rFonts w:hint="eastAsia" w:ascii="仿宋" w:hAnsi="仿宋" w:eastAsia="仿宋" w:cs="仿宋"/>
          <w:bCs/>
          <w:color w:val="auto"/>
          <w:sz w:val="32"/>
          <w:szCs w:val="20"/>
          <w:lang w:eastAsia="zh-CN" w:bidi="ar"/>
        </w:rPr>
        <w:t>（</w:t>
      </w:r>
      <w:r>
        <w:rPr>
          <w:rFonts w:hint="eastAsia" w:ascii="仿宋" w:hAnsi="仿宋" w:eastAsia="仿宋" w:cs="仿宋"/>
          <w:bCs/>
          <w:color w:val="auto"/>
          <w:sz w:val="32"/>
          <w:szCs w:val="20"/>
          <w:lang w:val="en-US" w:eastAsia="zh-CN" w:bidi="ar"/>
        </w:rPr>
        <w:t>海南</w:t>
      </w:r>
      <w:r>
        <w:rPr>
          <w:rFonts w:hint="eastAsia" w:ascii="仿宋" w:hAnsi="仿宋" w:eastAsia="仿宋" w:cs="仿宋"/>
          <w:bCs/>
          <w:color w:val="auto"/>
          <w:sz w:val="32"/>
          <w:szCs w:val="20"/>
          <w:lang w:eastAsia="zh-CN" w:bidi="ar"/>
        </w:rPr>
        <w:t>）</w:t>
      </w:r>
      <w:r>
        <w:rPr>
          <w:rFonts w:hint="eastAsia" w:ascii="仿宋" w:hAnsi="仿宋" w:eastAsia="仿宋" w:cs="仿宋"/>
          <w:bCs/>
          <w:color w:val="auto"/>
          <w:sz w:val="32"/>
          <w:szCs w:val="20"/>
          <w:lang w:bidi="ar"/>
        </w:rPr>
        <w:t>”网站、</w:t>
      </w:r>
      <w:r>
        <w:rPr>
          <w:rFonts w:hint="eastAsia" w:ascii="仿宋" w:hAnsi="仿宋" w:eastAsia="仿宋" w:cs="仿宋"/>
          <w:bCs/>
          <w:color w:val="auto"/>
          <w:sz w:val="32"/>
          <w:szCs w:val="20"/>
          <w:lang w:val="en-US" w:eastAsia="zh-CN" w:bidi="ar"/>
        </w:rPr>
        <w:t>省卫健委官方</w:t>
      </w:r>
      <w:r>
        <w:rPr>
          <w:rFonts w:hint="eastAsia" w:ascii="仿宋" w:hAnsi="仿宋" w:eastAsia="仿宋" w:cs="仿宋"/>
          <w:bCs/>
          <w:color w:val="auto"/>
          <w:sz w:val="32"/>
          <w:szCs w:val="20"/>
          <w:lang w:bidi="ar"/>
        </w:rPr>
        <w:t>网站向社会公开。</w:t>
      </w:r>
    </w:p>
    <w:p>
      <w:pPr>
        <w:pageBreakBefore w:val="0"/>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1"/>
        <w:rPr>
          <w:rFonts w:hint="eastAsia" w:ascii="仿宋" w:hAnsi="仿宋" w:eastAsia="仿宋" w:cs="仿宋"/>
          <w:bCs/>
          <w:color w:val="auto"/>
          <w:sz w:val="32"/>
          <w:szCs w:val="20"/>
          <w:lang w:val="en-US" w:eastAsia="zh-CN" w:bidi="ar"/>
        </w:rPr>
      </w:pPr>
      <w:r>
        <w:rPr>
          <w:rFonts w:hint="eastAsia" w:ascii="仿宋" w:hAnsi="仿宋" w:eastAsia="仿宋" w:cs="仿宋"/>
          <w:bCs/>
          <w:color w:val="auto"/>
          <w:sz w:val="32"/>
          <w:szCs w:val="20"/>
          <w:lang w:val="en-US" w:eastAsia="zh-CN" w:bidi="ar"/>
        </w:rPr>
        <w:t>建立</w:t>
      </w:r>
      <w:r>
        <w:rPr>
          <w:rFonts w:hint="eastAsia" w:ascii="仿宋" w:hAnsi="仿宋" w:eastAsia="仿宋" w:cs="仿宋"/>
          <w:bCs/>
          <w:color w:val="auto"/>
          <w:sz w:val="32"/>
          <w:szCs w:val="20"/>
          <w:lang w:bidi="ar"/>
        </w:rPr>
        <w:t>地方性</w:t>
      </w:r>
      <w:r>
        <w:rPr>
          <w:rFonts w:hint="eastAsia" w:ascii="仿宋" w:hAnsi="仿宋" w:eastAsia="仿宋" w:cs="仿宋"/>
          <w:bCs/>
          <w:color w:val="auto"/>
          <w:sz w:val="32"/>
          <w:szCs w:val="20"/>
          <w:lang w:val="en-US" w:eastAsia="zh-CN" w:bidi="ar"/>
        </w:rPr>
        <w:t>卫生健康法律规定</w:t>
      </w:r>
      <w:r>
        <w:rPr>
          <w:rFonts w:hint="eastAsia" w:ascii="仿宋" w:hAnsi="仿宋" w:eastAsia="仿宋" w:cs="仿宋"/>
          <w:bCs/>
          <w:color w:val="auto"/>
          <w:sz w:val="32"/>
          <w:szCs w:val="20"/>
          <w:lang w:eastAsia="zh-CN" w:bidi="ar"/>
        </w:rPr>
        <w:t>，</w:t>
      </w:r>
      <w:r>
        <w:rPr>
          <w:rFonts w:hint="eastAsia" w:ascii="仿宋" w:hAnsi="仿宋" w:eastAsia="仿宋" w:cs="仿宋"/>
          <w:bCs/>
          <w:color w:val="auto"/>
          <w:sz w:val="32"/>
          <w:szCs w:val="20"/>
          <w:lang w:val="en-US" w:eastAsia="zh-CN" w:bidi="ar"/>
        </w:rPr>
        <w:t>为</w:t>
      </w:r>
      <w:r>
        <w:rPr>
          <w:rFonts w:hint="eastAsia" w:ascii="仿宋" w:hAnsi="仿宋" w:eastAsia="仿宋" w:cs="仿宋"/>
          <w:bCs/>
          <w:color w:val="auto"/>
          <w:sz w:val="32"/>
          <w:szCs w:val="20"/>
          <w:lang w:bidi="ar"/>
        </w:rPr>
        <w:t>严重失信主体名单认定标准</w:t>
      </w:r>
      <w:r>
        <w:rPr>
          <w:rFonts w:hint="eastAsia" w:ascii="仿宋" w:hAnsi="仿宋" w:eastAsia="仿宋" w:cs="仿宋"/>
          <w:bCs/>
          <w:color w:val="auto"/>
          <w:sz w:val="32"/>
          <w:szCs w:val="20"/>
          <w:lang w:val="en-US" w:eastAsia="zh-CN" w:bidi="ar"/>
        </w:rPr>
        <w:t>提供法规依据。</w:t>
      </w:r>
    </w:p>
    <w:p>
      <w:pPr>
        <w:pageBreakBefore w:val="0"/>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1"/>
        <w:rPr>
          <w:rFonts w:hint="default" w:ascii="仿宋" w:hAnsi="仿宋" w:eastAsia="仿宋" w:cs="仿宋"/>
          <w:b w:val="0"/>
          <w:bCs/>
          <w:color w:val="auto"/>
          <w:sz w:val="32"/>
          <w:szCs w:val="20"/>
          <w:lang w:val="en-US" w:eastAsia="zh-CN" w:bidi="ar"/>
        </w:rPr>
      </w:pPr>
      <w:r>
        <w:rPr>
          <w:rFonts w:hint="eastAsia" w:ascii="仿宋" w:hAnsi="仿宋" w:eastAsia="仿宋" w:cs="仿宋"/>
          <w:b/>
          <w:color w:val="auto"/>
          <w:sz w:val="32"/>
          <w:szCs w:val="32"/>
          <w:lang w:bidi="ar"/>
        </w:rPr>
        <w:t>第十</w:t>
      </w:r>
      <w:r>
        <w:rPr>
          <w:rFonts w:hint="eastAsia" w:ascii="仿宋" w:hAnsi="仿宋" w:eastAsia="仿宋" w:cs="仿宋"/>
          <w:b/>
          <w:color w:val="auto"/>
          <w:sz w:val="32"/>
          <w:szCs w:val="32"/>
          <w:lang w:val="en-US" w:eastAsia="zh-CN" w:bidi="ar"/>
        </w:rPr>
        <w:t>八</w:t>
      </w:r>
      <w:r>
        <w:rPr>
          <w:rFonts w:hint="eastAsia" w:ascii="仿宋" w:hAnsi="仿宋" w:eastAsia="仿宋" w:cs="仿宋"/>
          <w:b/>
          <w:color w:val="auto"/>
          <w:sz w:val="32"/>
          <w:szCs w:val="32"/>
          <w:lang w:bidi="ar"/>
        </w:rPr>
        <w:t>条</w:t>
      </w:r>
      <w:r>
        <w:rPr>
          <w:rFonts w:hint="eastAsia" w:ascii="仿宋" w:hAnsi="仿宋" w:eastAsia="仿宋" w:cs="仿宋"/>
          <w:b/>
          <w:bCs w:val="0"/>
          <w:color w:val="auto"/>
          <w:sz w:val="32"/>
          <w:szCs w:val="20"/>
          <w:lang w:bidi="ar"/>
        </w:rPr>
        <w:t>【严重失信主体认定</w:t>
      </w:r>
      <w:r>
        <w:rPr>
          <w:rFonts w:hint="eastAsia" w:ascii="仿宋" w:hAnsi="仿宋" w:eastAsia="仿宋" w:cs="仿宋"/>
          <w:b/>
          <w:bCs w:val="0"/>
          <w:color w:val="auto"/>
          <w:sz w:val="32"/>
          <w:szCs w:val="20"/>
          <w:lang w:val="en-US" w:eastAsia="zh-CN" w:bidi="ar"/>
        </w:rPr>
        <w:t>程序</w:t>
      </w:r>
      <w:r>
        <w:rPr>
          <w:rFonts w:hint="eastAsia" w:ascii="仿宋" w:hAnsi="仿宋" w:eastAsia="仿宋" w:cs="仿宋"/>
          <w:b/>
          <w:bCs w:val="0"/>
          <w:color w:val="auto"/>
          <w:sz w:val="32"/>
          <w:szCs w:val="20"/>
          <w:lang w:bidi="ar"/>
        </w:rPr>
        <w:t>】</w:t>
      </w:r>
      <w:r>
        <w:rPr>
          <w:rFonts w:hint="eastAsia" w:ascii="仿宋" w:hAnsi="仿宋" w:eastAsia="仿宋" w:cs="仿宋"/>
          <w:b w:val="0"/>
          <w:bCs/>
          <w:color w:val="auto"/>
          <w:sz w:val="32"/>
          <w:szCs w:val="20"/>
          <w:lang w:val="en-US" w:eastAsia="zh-CN" w:bidi="ar"/>
        </w:rPr>
        <w:t>各级卫生健康行政机关在作出认定严重失信主体名单决定前，应当告知当事人作出决定的事由、依据和当事人依法享有的权利；当事人提出异议的，应当予以核实并在规定时限内反馈结果。将市场主体列入严重失信主体名单，应当由认定部门依托相应的行政决定文书，载明事由、依据、失信惩戒措施提示、移出条件和程序以及救济措施等，必要时也可由认定部门单独制作认定严重失信主体名单的决定文书。</w:t>
      </w:r>
    </w:p>
    <w:p>
      <w:pPr>
        <w:pStyle w:val="2"/>
        <w:keepNext/>
        <w:keepLines/>
        <w:pageBreakBefore w:val="0"/>
        <w:widowControl w:val="0"/>
        <w:kinsoku/>
        <w:wordWrap/>
        <w:overflowPunct/>
        <w:topLinePunct w:val="0"/>
        <w:autoSpaceDE/>
        <w:autoSpaceDN w:val="0"/>
        <w:bidi w:val="0"/>
        <w:adjustRightInd/>
        <w:snapToGrid/>
        <w:spacing w:before="157" w:beforeLines="50" w:beforeAutospacing="0" w:after="157" w:afterLines="50" w:afterAutospacing="0" w:line="560" w:lineRule="exact"/>
        <w:ind w:left="0" w:leftChars="0" w:firstLine="0" w:firstLineChars="0"/>
        <w:jc w:val="center"/>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第</w:t>
      </w:r>
      <w:r>
        <w:rPr>
          <w:rFonts w:hint="eastAsia" w:ascii="仿宋" w:hAnsi="仿宋" w:eastAsia="仿宋" w:cs="仿宋"/>
          <w:b/>
          <w:bCs w:val="0"/>
          <w:color w:val="auto"/>
          <w:sz w:val="32"/>
          <w:szCs w:val="32"/>
          <w:lang w:val="en-US" w:eastAsia="zh-CN"/>
        </w:rPr>
        <w:t>五</w:t>
      </w:r>
      <w:r>
        <w:rPr>
          <w:rFonts w:hint="eastAsia" w:ascii="仿宋" w:hAnsi="仿宋" w:eastAsia="仿宋" w:cs="仿宋"/>
          <w:b/>
          <w:bCs w:val="0"/>
          <w:color w:val="auto"/>
          <w:sz w:val="32"/>
          <w:szCs w:val="32"/>
        </w:rPr>
        <w:t>章</w:t>
      </w:r>
      <w:r>
        <w:rPr>
          <w:rFonts w:hint="eastAsia" w:ascii="仿宋" w:hAnsi="仿宋" w:eastAsia="仿宋" w:cs="仿宋"/>
          <w:b/>
          <w:bCs w:val="0"/>
          <w:color w:val="auto"/>
          <w:sz w:val="32"/>
          <w:szCs w:val="32"/>
          <w:lang w:val="en-US" w:eastAsia="zh-CN"/>
        </w:rPr>
        <w:t xml:space="preserve"> </w:t>
      </w:r>
      <w:r>
        <w:rPr>
          <w:rFonts w:hint="eastAsia" w:ascii="仿宋" w:hAnsi="仿宋" w:eastAsia="仿宋" w:cs="仿宋"/>
          <w:b/>
          <w:bCs w:val="0"/>
          <w:color w:val="auto"/>
          <w:sz w:val="32"/>
          <w:szCs w:val="32"/>
        </w:rPr>
        <w:t>信用信息采集与归集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 w:hAnsi="仿宋" w:eastAsia="仿宋" w:cs="仿宋"/>
          <w:b w:val="0"/>
          <w:bCs w:val="0"/>
          <w:color w:val="auto"/>
          <w:sz w:val="32"/>
          <w:szCs w:val="32"/>
          <w:lang w:val="en-US" w:eastAsia="zh-CN"/>
        </w:rPr>
      </w:pPr>
      <w:bookmarkStart w:id="2" w:name="_Hlk60128461"/>
      <w:r>
        <w:rPr>
          <w:rFonts w:hint="eastAsia" w:ascii="仿宋" w:hAnsi="仿宋" w:eastAsia="仿宋" w:cs="仿宋"/>
          <w:b/>
          <w:color w:val="auto"/>
          <w:sz w:val="32"/>
          <w:szCs w:val="32"/>
          <w:lang w:bidi="ar"/>
        </w:rPr>
        <w:t>第</w:t>
      </w:r>
      <w:r>
        <w:rPr>
          <w:rFonts w:hint="eastAsia" w:ascii="仿宋" w:hAnsi="仿宋" w:eastAsia="仿宋" w:cs="仿宋"/>
          <w:b/>
          <w:color w:val="auto"/>
          <w:sz w:val="32"/>
          <w:szCs w:val="32"/>
          <w:lang w:val="en-US" w:eastAsia="zh-CN" w:bidi="ar"/>
        </w:rPr>
        <w:t>十九</w:t>
      </w:r>
      <w:r>
        <w:rPr>
          <w:rFonts w:hint="eastAsia" w:ascii="仿宋" w:hAnsi="仿宋" w:eastAsia="仿宋" w:cs="仿宋"/>
          <w:b/>
          <w:color w:val="auto"/>
          <w:sz w:val="32"/>
          <w:szCs w:val="32"/>
          <w:lang w:bidi="ar"/>
        </w:rPr>
        <w:t>条</w:t>
      </w:r>
      <w:r>
        <w:rPr>
          <w:rFonts w:hint="eastAsia" w:ascii="仿宋" w:hAnsi="仿宋" w:eastAsia="仿宋" w:cs="仿宋"/>
          <w:b/>
          <w:bCs w:val="0"/>
          <w:color w:val="auto"/>
          <w:sz w:val="32"/>
          <w:szCs w:val="20"/>
          <w:lang w:bidi="ar"/>
        </w:rPr>
        <w:t>【信用目录制】</w:t>
      </w:r>
      <w:bookmarkEnd w:id="2"/>
      <w:r>
        <w:rPr>
          <w:rFonts w:hint="eastAsia" w:ascii="仿宋" w:hAnsi="仿宋" w:eastAsia="仿宋" w:cs="仿宋"/>
          <w:b w:val="0"/>
          <w:bCs w:val="0"/>
          <w:color w:val="auto"/>
          <w:sz w:val="32"/>
          <w:szCs w:val="32"/>
          <w:lang w:val="en-US" w:eastAsia="zh-CN"/>
        </w:rPr>
        <w:t>依据国家公共信用信息目录规范要求，严格按照《国家公共信用信息目录》《本省公共信用信息补充目录》采集信用信息，明确信息记录的内容、使用范围、格式规范、使用期限、保存期限、更新周期和数据来源等。省级卫生健康管理部门配合本省社会信用建设牵头单位，编制本省公共信用信息补充目录。</w:t>
      </w:r>
    </w:p>
    <w:p>
      <w:pPr>
        <w:pageBreakBefore w:val="0"/>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
          <w:color w:val="auto"/>
          <w:sz w:val="32"/>
          <w:szCs w:val="32"/>
          <w:lang w:bidi="ar"/>
        </w:rPr>
      </w:pPr>
      <w:r>
        <w:rPr>
          <w:rFonts w:hint="eastAsia" w:ascii="仿宋" w:hAnsi="仿宋" w:eastAsia="仿宋" w:cs="仿宋"/>
          <w:b/>
          <w:color w:val="auto"/>
          <w:sz w:val="32"/>
          <w:szCs w:val="32"/>
          <w:lang w:bidi="ar"/>
        </w:rPr>
        <w:t>第</w:t>
      </w:r>
      <w:r>
        <w:rPr>
          <w:rFonts w:hint="eastAsia" w:ascii="仿宋" w:hAnsi="仿宋" w:eastAsia="仿宋" w:cs="仿宋"/>
          <w:b/>
          <w:color w:val="auto"/>
          <w:sz w:val="32"/>
          <w:szCs w:val="32"/>
          <w:lang w:val="en-US" w:eastAsia="zh-CN" w:bidi="ar"/>
        </w:rPr>
        <w:t>二十</w:t>
      </w:r>
      <w:r>
        <w:rPr>
          <w:rFonts w:hint="eastAsia" w:ascii="仿宋" w:hAnsi="仿宋" w:eastAsia="仿宋" w:cs="仿宋"/>
          <w:b/>
          <w:color w:val="auto"/>
          <w:sz w:val="32"/>
          <w:szCs w:val="32"/>
          <w:lang w:bidi="ar"/>
        </w:rPr>
        <w:t>条</w:t>
      </w:r>
      <w:r>
        <w:rPr>
          <w:rFonts w:hint="eastAsia" w:ascii="仿宋" w:hAnsi="仿宋" w:eastAsia="仿宋" w:cs="仿宋"/>
          <w:b/>
          <w:bCs w:val="0"/>
          <w:color w:val="auto"/>
          <w:sz w:val="32"/>
          <w:szCs w:val="20"/>
          <w:lang w:bidi="ar"/>
        </w:rPr>
        <w:t>【采集主体】</w:t>
      </w:r>
      <w:r>
        <w:rPr>
          <w:rFonts w:hint="eastAsia" w:ascii="仿宋" w:hAnsi="仿宋" w:eastAsia="仿宋" w:cs="仿宋"/>
          <w:bCs/>
          <w:color w:val="auto"/>
          <w:sz w:val="32"/>
          <w:szCs w:val="20"/>
          <w:lang w:bidi="ar"/>
        </w:rPr>
        <w:t>按照“谁管理、谁采集”的要求，</w:t>
      </w:r>
      <w:r>
        <w:rPr>
          <w:rFonts w:hint="eastAsia" w:ascii="仿宋" w:hAnsi="仿宋" w:eastAsia="仿宋" w:cs="仿宋"/>
          <w:bCs/>
          <w:color w:val="auto"/>
          <w:sz w:val="32"/>
          <w:szCs w:val="20"/>
          <w:lang w:val="en-US" w:eastAsia="zh-CN" w:bidi="ar"/>
        </w:rPr>
        <w:t>各级卫生健康行政部门</w:t>
      </w:r>
      <w:r>
        <w:rPr>
          <w:rFonts w:hint="eastAsia" w:ascii="仿宋" w:hAnsi="仿宋" w:eastAsia="仿宋" w:cs="仿宋"/>
          <w:bCs/>
          <w:color w:val="auto"/>
          <w:sz w:val="32"/>
          <w:szCs w:val="20"/>
          <w:lang w:bidi="ar"/>
        </w:rPr>
        <w:t>负责采集职责范围内的信用信息。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outlineLvl w:val="1"/>
        <w:rPr>
          <w:rFonts w:hint="eastAsia" w:ascii="仿宋" w:hAnsi="仿宋" w:eastAsia="仿宋" w:cs="仿宋"/>
          <w:b w:val="0"/>
          <w:bCs w:val="0"/>
          <w:color w:val="auto"/>
          <w:sz w:val="32"/>
          <w:szCs w:val="32"/>
          <w:lang w:val="en-US" w:eastAsia="zh-CN"/>
        </w:rPr>
      </w:pPr>
      <w:r>
        <w:rPr>
          <w:rFonts w:hint="eastAsia" w:ascii="仿宋" w:hAnsi="仿宋" w:eastAsia="仿宋" w:cs="仿宋"/>
          <w:b/>
          <w:color w:val="auto"/>
          <w:sz w:val="32"/>
          <w:szCs w:val="32"/>
          <w:lang w:bidi="ar"/>
        </w:rPr>
        <w:t>第</w:t>
      </w:r>
      <w:r>
        <w:rPr>
          <w:rFonts w:hint="eastAsia" w:ascii="仿宋" w:hAnsi="仿宋" w:eastAsia="仿宋" w:cs="仿宋"/>
          <w:b/>
          <w:color w:val="auto"/>
          <w:sz w:val="32"/>
          <w:szCs w:val="32"/>
          <w:lang w:val="en-US" w:eastAsia="zh-CN" w:bidi="ar"/>
        </w:rPr>
        <w:t>二十一</w:t>
      </w:r>
      <w:r>
        <w:rPr>
          <w:rFonts w:hint="eastAsia" w:ascii="仿宋" w:hAnsi="仿宋" w:eastAsia="仿宋" w:cs="仿宋"/>
          <w:b/>
          <w:color w:val="auto"/>
          <w:sz w:val="32"/>
          <w:szCs w:val="32"/>
          <w:lang w:bidi="ar"/>
        </w:rPr>
        <w:t>条【信息归集】</w:t>
      </w:r>
      <w:r>
        <w:rPr>
          <w:rFonts w:hint="eastAsia" w:ascii="仿宋" w:hAnsi="仿宋" w:eastAsia="仿宋" w:cs="仿宋"/>
          <w:bCs/>
          <w:color w:val="auto"/>
          <w:sz w:val="32"/>
          <w:szCs w:val="20"/>
          <w:lang w:val="en-US" w:eastAsia="zh-CN" w:bidi="ar"/>
        </w:rPr>
        <w:t>各级</w:t>
      </w:r>
      <w:r>
        <w:rPr>
          <w:rFonts w:hint="eastAsia" w:ascii="仿宋" w:hAnsi="仿宋" w:eastAsia="仿宋" w:cs="仿宋"/>
          <w:b w:val="0"/>
          <w:bCs w:val="0"/>
          <w:color w:val="auto"/>
          <w:sz w:val="32"/>
          <w:szCs w:val="32"/>
          <w:lang w:val="en-US" w:eastAsia="zh-CN"/>
        </w:rPr>
        <w:t>卫生健康行政部门依据法律法规及监管职责，及时准确完整录入、归集信息到信用平台。归集的信用信息包括：</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（一）行政许可等政务服务类信息：政务服务类事项设立、变更、校验等信息，实施医疗卫生许可、备案等告知承诺的，取得行政许可、备案后首次监督检查与许可、备案告知承诺信息一致性情况。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行政监督检查信息：依据监督检查职权或者投诉举报、上级部门交办、下级卫生健康行政部门报请或有关部门移送等各类监督执法信息，包括监督检查抽查结果、不良执业行为记分结果，责令整改通知书落实情况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1"/>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（三）行政处罚信息：行政处罚及其履行信息。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（四）信用评价结果信息：医疗卫生各专业分级分类评价结果和同级信用体系建设主管部门提供的公共信用综合评价结果。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（五）严重失信主体名单信息：公共信用信息平台推介与卫生健康相关联的失信联合惩戒清单。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（六）司法判决信息：涉及医疗卫生的刑事判决信息、拒不履行司法裁判信息等。</w:t>
      </w:r>
    </w:p>
    <w:p>
      <w:pPr>
        <w:pageBreakBefore w:val="0"/>
        <w:kinsoku/>
        <w:wordWrap/>
        <w:overflowPunct/>
        <w:topLinePunct w:val="0"/>
        <w:autoSpaceDN w:val="0"/>
        <w:bidi w:val="0"/>
        <w:adjustRightInd/>
        <w:snapToGrid/>
        <w:spacing w:beforeAutospacing="0" w:afterAutospacing="0"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lang w:val="en-US" w:eastAsia="zh-CN"/>
        </w:rPr>
        <w:t>（七）其他应当归集的信息。如：日常行政管理过程中产生的评估、考核结果等信息，质量控制组织质量管控信息和行业学（协）会自律，社会公众满意度评价信息等信息</w:t>
      </w:r>
      <w:r>
        <w:rPr>
          <w:rFonts w:hint="eastAsia" w:ascii="仿宋" w:hAnsi="仿宋" w:eastAsia="仿宋" w:cs="仿宋"/>
          <w:color w:val="auto"/>
          <w:sz w:val="32"/>
          <w:szCs w:val="32"/>
          <w:lang w:bidi="ar"/>
        </w:rPr>
        <w:t>。</w:t>
      </w:r>
    </w:p>
    <w:p>
      <w:pPr>
        <w:pageBreakBefore w:val="0"/>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Cs w:val="0"/>
          <w:color w:val="auto"/>
          <w:sz w:val="32"/>
          <w:szCs w:val="32"/>
        </w:rPr>
      </w:pPr>
      <w:r>
        <w:rPr>
          <w:rFonts w:hint="eastAsia" w:ascii="仿宋" w:hAnsi="仿宋" w:eastAsia="仿宋" w:cs="仿宋"/>
          <w:b/>
          <w:color w:val="auto"/>
          <w:sz w:val="32"/>
          <w:szCs w:val="32"/>
          <w:lang w:bidi="ar"/>
        </w:rPr>
        <w:t>第</w:t>
      </w:r>
      <w:r>
        <w:rPr>
          <w:rFonts w:hint="eastAsia" w:ascii="仿宋" w:hAnsi="仿宋" w:eastAsia="仿宋" w:cs="仿宋"/>
          <w:b/>
          <w:color w:val="auto"/>
          <w:sz w:val="32"/>
          <w:szCs w:val="32"/>
          <w:lang w:val="en-US" w:eastAsia="zh-CN" w:bidi="ar"/>
        </w:rPr>
        <w:t>二十二</w:t>
      </w:r>
      <w:r>
        <w:rPr>
          <w:rFonts w:hint="eastAsia" w:ascii="仿宋" w:hAnsi="仿宋" w:eastAsia="仿宋" w:cs="仿宋"/>
          <w:b/>
          <w:color w:val="auto"/>
          <w:sz w:val="32"/>
          <w:szCs w:val="32"/>
          <w:lang w:bidi="ar"/>
        </w:rPr>
        <w:t>条</w:t>
      </w:r>
      <w:r>
        <w:rPr>
          <w:rFonts w:hint="eastAsia" w:ascii="仿宋" w:hAnsi="仿宋" w:eastAsia="仿宋" w:cs="仿宋"/>
          <w:b/>
          <w:bCs w:val="0"/>
          <w:color w:val="auto"/>
          <w:sz w:val="32"/>
          <w:szCs w:val="20"/>
          <w:lang w:bidi="ar"/>
        </w:rPr>
        <w:t>【其他渠道归集】</w:t>
      </w:r>
      <w:r>
        <w:rPr>
          <w:rFonts w:hint="eastAsia" w:ascii="仿宋" w:hAnsi="仿宋" w:eastAsia="仿宋" w:cs="仿宋"/>
          <w:bCs/>
          <w:color w:val="auto"/>
          <w:sz w:val="32"/>
          <w:szCs w:val="20"/>
          <w:lang w:bidi="ar"/>
        </w:rPr>
        <w:t>鼓励行业协会、第三方信用服务机构等依法按约向</w:t>
      </w:r>
      <w:r>
        <w:rPr>
          <w:rFonts w:hint="eastAsia" w:ascii="仿宋" w:hAnsi="仿宋" w:eastAsia="仿宋" w:cs="仿宋"/>
          <w:bCs/>
          <w:color w:val="auto"/>
          <w:sz w:val="32"/>
          <w:szCs w:val="20"/>
          <w:lang w:val="en-US" w:eastAsia="zh-CN" w:bidi="ar"/>
        </w:rPr>
        <w:t>信用</w:t>
      </w:r>
      <w:r>
        <w:rPr>
          <w:rFonts w:hint="eastAsia" w:ascii="仿宋" w:hAnsi="仿宋" w:eastAsia="仿宋" w:cs="仿宋"/>
          <w:bCs/>
          <w:color w:val="auto"/>
          <w:sz w:val="32"/>
          <w:szCs w:val="20"/>
          <w:lang w:bidi="ar"/>
        </w:rPr>
        <w:t>平台提供市场主体信用信息。</w:t>
      </w:r>
    </w:p>
    <w:p>
      <w:pPr>
        <w:pStyle w:val="2"/>
        <w:keepNext/>
        <w:keepLines/>
        <w:pageBreakBefore w:val="0"/>
        <w:widowControl w:val="0"/>
        <w:kinsoku/>
        <w:wordWrap/>
        <w:overflowPunct/>
        <w:topLinePunct w:val="0"/>
        <w:autoSpaceDE/>
        <w:autoSpaceDN w:val="0"/>
        <w:bidi w:val="0"/>
        <w:adjustRightInd/>
        <w:snapToGrid/>
        <w:spacing w:before="157" w:beforeLines="50" w:beforeAutospacing="0" w:after="157" w:afterLines="50" w:afterAutospacing="0" w:line="560" w:lineRule="exact"/>
        <w:ind w:left="0" w:leftChars="0" w:firstLine="0" w:firstLineChars="0"/>
        <w:jc w:val="center"/>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第六章 信用信息披露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kern w:val="2"/>
          <w:sz w:val="32"/>
          <w:szCs w:val="32"/>
          <w:lang w:val="en-US" w:eastAsia="zh-CN" w:bidi="ar-SA"/>
        </w:rPr>
        <w:t>第二十三条</w:t>
      </w:r>
      <w:r>
        <w:rPr>
          <w:rFonts w:hint="eastAsia" w:ascii="仿宋" w:hAnsi="仿宋" w:eastAsia="仿宋" w:cs="仿宋"/>
          <w:b/>
          <w:bCs/>
          <w:color w:val="auto"/>
          <w:sz w:val="32"/>
          <w:szCs w:val="32"/>
          <w:lang w:val="en-US" w:eastAsia="zh-CN"/>
        </w:rPr>
        <w:t>【信息披露】</w:t>
      </w:r>
      <w:r>
        <w:rPr>
          <w:rFonts w:hint="eastAsia" w:ascii="仿宋" w:hAnsi="仿宋" w:eastAsia="仿宋" w:cs="仿宋"/>
          <w:b w:val="0"/>
          <w:bCs w:val="0"/>
          <w:color w:val="auto"/>
          <w:sz w:val="32"/>
          <w:szCs w:val="32"/>
          <w:lang w:val="en-US" w:eastAsia="zh-CN"/>
        </w:rPr>
        <w:t>全省医疗卫生信用信息通过社会公开、政务共享和申请查询等方式披露，除法律、法规、规章及其他有关规定不宜公开的情形外，应当尽可能通过社会公开方式披露。</w:t>
      </w:r>
    </w:p>
    <w:p>
      <w:pPr>
        <w:pageBreakBefore w:val="0"/>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 w:val="0"/>
          <w:bCs/>
          <w:color w:val="auto"/>
          <w:sz w:val="32"/>
          <w:szCs w:val="32"/>
          <w:lang w:bidi="ar"/>
        </w:rPr>
      </w:pPr>
      <w:r>
        <w:rPr>
          <w:rFonts w:hint="eastAsia" w:ascii="仿宋" w:hAnsi="仿宋" w:eastAsia="仿宋" w:cs="仿宋"/>
          <w:b/>
          <w:bCs/>
          <w:color w:val="auto"/>
          <w:kern w:val="2"/>
          <w:sz w:val="32"/>
          <w:szCs w:val="32"/>
          <w:lang w:val="en-US" w:eastAsia="zh-CN" w:bidi="ar-SA"/>
        </w:rPr>
        <w:t>第二十四条</w:t>
      </w:r>
      <w:r>
        <w:rPr>
          <w:rFonts w:hint="eastAsia" w:ascii="仿宋" w:hAnsi="仿宋" w:eastAsia="仿宋" w:cs="仿宋"/>
          <w:b/>
          <w:bCs w:val="0"/>
          <w:color w:val="auto"/>
          <w:sz w:val="32"/>
          <w:szCs w:val="32"/>
          <w:lang w:bidi="ar"/>
        </w:rPr>
        <w:t>【</w:t>
      </w:r>
      <w:r>
        <w:rPr>
          <w:rFonts w:hint="eastAsia" w:ascii="仿宋" w:hAnsi="仿宋" w:eastAsia="仿宋" w:cs="仿宋"/>
          <w:b/>
          <w:bCs w:val="0"/>
          <w:color w:val="auto"/>
          <w:sz w:val="32"/>
          <w:szCs w:val="32"/>
          <w:lang w:val="en-US" w:eastAsia="zh-CN" w:bidi="ar"/>
        </w:rPr>
        <w:t>披露</w:t>
      </w:r>
      <w:r>
        <w:rPr>
          <w:rFonts w:hint="eastAsia" w:ascii="仿宋" w:hAnsi="仿宋" w:eastAsia="仿宋" w:cs="仿宋"/>
          <w:b/>
          <w:bCs w:val="0"/>
          <w:color w:val="auto"/>
          <w:sz w:val="32"/>
          <w:szCs w:val="32"/>
          <w:lang w:bidi="ar"/>
        </w:rPr>
        <w:t>要求】</w:t>
      </w:r>
      <w:r>
        <w:rPr>
          <w:rFonts w:hint="eastAsia" w:ascii="仿宋" w:hAnsi="仿宋" w:eastAsia="仿宋" w:cs="仿宋"/>
          <w:b w:val="0"/>
          <w:bCs/>
          <w:color w:val="auto"/>
          <w:sz w:val="32"/>
          <w:szCs w:val="32"/>
          <w:lang w:bidi="ar"/>
        </w:rPr>
        <w:t>各级</w:t>
      </w:r>
      <w:r>
        <w:rPr>
          <w:rFonts w:hint="eastAsia" w:ascii="仿宋" w:hAnsi="仿宋" w:eastAsia="仿宋" w:cs="仿宋"/>
          <w:b w:val="0"/>
          <w:bCs/>
          <w:color w:val="auto"/>
          <w:sz w:val="32"/>
          <w:szCs w:val="32"/>
          <w:lang w:val="en-US" w:eastAsia="zh-CN" w:bidi="ar"/>
        </w:rPr>
        <w:t>卫生健康</w:t>
      </w:r>
      <w:r>
        <w:rPr>
          <w:rFonts w:hint="eastAsia" w:ascii="仿宋" w:hAnsi="仿宋" w:eastAsia="仿宋" w:cs="仿宋"/>
          <w:b w:val="0"/>
          <w:bCs/>
          <w:color w:val="auto"/>
          <w:sz w:val="32"/>
          <w:szCs w:val="32"/>
          <w:lang w:bidi="ar"/>
        </w:rPr>
        <w:t>主管部门根据有关法律、法规、规章和本办法的要求,制定有关</w:t>
      </w:r>
      <w:r>
        <w:rPr>
          <w:rFonts w:hint="eastAsia" w:ascii="仿宋" w:hAnsi="仿宋" w:eastAsia="仿宋" w:cs="仿宋"/>
          <w:b w:val="0"/>
          <w:bCs w:val="0"/>
          <w:color w:val="auto"/>
          <w:sz w:val="32"/>
          <w:szCs w:val="32"/>
          <w:lang w:val="en-US" w:eastAsia="zh-CN"/>
        </w:rPr>
        <w:t>医疗卫生</w:t>
      </w:r>
      <w:r>
        <w:rPr>
          <w:rFonts w:hint="eastAsia" w:ascii="仿宋" w:hAnsi="仿宋" w:eastAsia="仿宋" w:cs="仿宋"/>
          <w:b w:val="0"/>
          <w:bCs/>
          <w:color w:val="auto"/>
          <w:sz w:val="32"/>
          <w:szCs w:val="32"/>
          <w:lang w:bidi="ar"/>
        </w:rPr>
        <w:t>信用信息共享公开与应用等方面的工作程序、管理制度以及相应的责任追究制度,任何单位和个人应遵循安全管理和保密制度,不得泄露国家秘密、不得侵犯个人隐私和商业秘密。</w:t>
      </w:r>
    </w:p>
    <w:p>
      <w:pPr>
        <w:pageBreakBefore w:val="0"/>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 w:val="0"/>
          <w:bCs/>
          <w:color w:val="auto"/>
          <w:sz w:val="32"/>
          <w:szCs w:val="32"/>
          <w:lang w:bidi="ar"/>
        </w:rPr>
      </w:pPr>
      <w:r>
        <w:rPr>
          <w:rFonts w:hint="eastAsia" w:ascii="仿宋" w:hAnsi="仿宋" w:eastAsia="仿宋" w:cs="仿宋"/>
          <w:b/>
          <w:bCs/>
          <w:color w:val="auto"/>
          <w:kern w:val="2"/>
          <w:sz w:val="32"/>
          <w:szCs w:val="32"/>
          <w:lang w:val="en-US" w:eastAsia="zh-CN" w:bidi="ar-SA"/>
        </w:rPr>
        <w:t>第二十五条</w:t>
      </w:r>
      <w:r>
        <w:rPr>
          <w:rFonts w:hint="eastAsia" w:ascii="仿宋" w:hAnsi="仿宋" w:eastAsia="仿宋" w:cs="仿宋"/>
          <w:b/>
          <w:bCs w:val="0"/>
          <w:color w:val="auto"/>
          <w:sz w:val="32"/>
          <w:szCs w:val="32"/>
          <w:lang w:bidi="ar"/>
        </w:rPr>
        <w:t>【信用信息共享】</w:t>
      </w:r>
      <w:r>
        <w:rPr>
          <w:rFonts w:hint="eastAsia" w:ascii="仿宋" w:hAnsi="仿宋" w:eastAsia="仿宋" w:cs="仿宋"/>
          <w:b w:val="0"/>
          <w:bCs/>
          <w:color w:val="auto"/>
          <w:sz w:val="32"/>
          <w:szCs w:val="32"/>
          <w:lang w:bidi="ar"/>
        </w:rPr>
        <w:t>各级</w:t>
      </w:r>
      <w:r>
        <w:rPr>
          <w:rFonts w:hint="eastAsia" w:ascii="仿宋" w:hAnsi="仿宋" w:eastAsia="仿宋" w:cs="仿宋"/>
          <w:b w:val="0"/>
          <w:bCs/>
          <w:color w:val="auto"/>
          <w:sz w:val="32"/>
          <w:szCs w:val="32"/>
          <w:lang w:val="en-US" w:eastAsia="zh-CN" w:bidi="ar"/>
        </w:rPr>
        <w:t>卫生健康行政</w:t>
      </w:r>
      <w:r>
        <w:rPr>
          <w:rFonts w:hint="eastAsia" w:ascii="仿宋" w:hAnsi="仿宋" w:eastAsia="仿宋" w:cs="仿宋"/>
          <w:b w:val="0"/>
          <w:bCs/>
          <w:color w:val="auto"/>
          <w:sz w:val="32"/>
          <w:szCs w:val="32"/>
          <w:lang w:bidi="ar"/>
        </w:rPr>
        <w:t>部门按照信用信息目录,通过数据交换,实时向信用平台提供信息。信用平台</w:t>
      </w:r>
      <w:r>
        <w:rPr>
          <w:rFonts w:hint="eastAsia" w:ascii="仿宋" w:hAnsi="仿宋" w:eastAsia="仿宋" w:cs="仿宋"/>
          <w:b w:val="0"/>
          <w:bCs/>
          <w:color w:val="auto"/>
          <w:sz w:val="32"/>
          <w:szCs w:val="32"/>
          <w:lang w:val="en-US" w:eastAsia="zh-CN" w:bidi="ar"/>
        </w:rPr>
        <w:t>作</w:t>
      </w:r>
      <w:r>
        <w:rPr>
          <w:rFonts w:hint="eastAsia" w:ascii="仿宋" w:hAnsi="仿宋" w:eastAsia="仿宋" w:cs="仿宋"/>
          <w:b w:val="0"/>
          <w:bCs/>
          <w:color w:val="auto"/>
          <w:sz w:val="32"/>
          <w:szCs w:val="32"/>
          <w:lang w:bidi="ar"/>
        </w:rPr>
        <w:t>为信息共享中枢,依据有关规定和协议向</w:t>
      </w:r>
      <w:r>
        <w:rPr>
          <w:rFonts w:hint="eastAsia" w:ascii="仿宋" w:hAnsi="仿宋" w:eastAsia="仿宋" w:cs="仿宋"/>
          <w:b w:val="0"/>
          <w:bCs/>
          <w:color w:val="auto"/>
          <w:sz w:val="32"/>
          <w:szCs w:val="32"/>
          <w:lang w:val="en-US" w:eastAsia="zh-CN" w:bidi="ar"/>
        </w:rPr>
        <w:t>国家</w:t>
      </w:r>
      <w:r>
        <w:rPr>
          <w:rFonts w:hint="eastAsia" w:ascii="仿宋" w:hAnsi="仿宋" w:eastAsia="仿宋" w:cs="仿宋"/>
          <w:b w:val="0"/>
          <w:bCs/>
          <w:color w:val="auto"/>
          <w:sz w:val="32"/>
          <w:szCs w:val="32"/>
          <w:lang w:bidi="ar"/>
        </w:rPr>
        <w:t>信用信息平台、省信用信息平台及相关业务系统提供数据交换、共享等功能,实现纵向打通、横向互动。</w:t>
      </w:r>
    </w:p>
    <w:p>
      <w:pPr>
        <w:pageBreakBefore w:val="0"/>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 w:val="0"/>
          <w:bCs/>
          <w:color w:val="auto"/>
          <w:sz w:val="32"/>
          <w:szCs w:val="32"/>
          <w:lang w:bidi="ar"/>
        </w:rPr>
      </w:pPr>
      <w:r>
        <w:rPr>
          <w:rFonts w:hint="eastAsia" w:ascii="仿宋" w:hAnsi="仿宋" w:eastAsia="仿宋" w:cs="仿宋"/>
          <w:b/>
          <w:bCs/>
          <w:color w:val="auto"/>
          <w:kern w:val="2"/>
          <w:sz w:val="32"/>
          <w:szCs w:val="32"/>
          <w:lang w:val="en-US" w:eastAsia="zh-CN" w:bidi="ar-SA"/>
        </w:rPr>
        <w:t>第二十六条</w:t>
      </w:r>
      <w:r>
        <w:rPr>
          <w:rFonts w:hint="eastAsia" w:ascii="仿宋" w:hAnsi="仿宋" w:eastAsia="仿宋" w:cs="仿宋"/>
          <w:b/>
          <w:bCs w:val="0"/>
          <w:color w:val="auto"/>
          <w:sz w:val="32"/>
          <w:szCs w:val="32"/>
          <w:lang w:bidi="ar"/>
        </w:rPr>
        <w:t>【信用信息公开】</w:t>
      </w:r>
      <w:r>
        <w:rPr>
          <w:rFonts w:hint="eastAsia" w:ascii="仿宋" w:hAnsi="仿宋" w:eastAsia="仿宋" w:cs="仿宋"/>
          <w:b w:val="0"/>
          <w:bCs/>
          <w:color w:val="auto"/>
          <w:sz w:val="32"/>
          <w:szCs w:val="32"/>
          <w:lang w:bidi="ar"/>
        </w:rPr>
        <w:t>信用平台依据信息提供方确定的信息公开范围,通过“信用</w:t>
      </w:r>
      <w:r>
        <w:rPr>
          <w:rFonts w:hint="eastAsia" w:ascii="仿宋" w:hAnsi="仿宋" w:eastAsia="仿宋" w:cs="仿宋"/>
          <w:b w:val="0"/>
          <w:bCs/>
          <w:color w:val="auto"/>
          <w:sz w:val="32"/>
          <w:szCs w:val="32"/>
          <w:lang w:val="en-US" w:eastAsia="zh-CN" w:bidi="ar"/>
        </w:rPr>
        <w:t>中国（海南）</w:t>
      </w:r>
      <w:r>
        <w:rPr>
          <w:rFonts w:hint="eastAsia" w:ascii="仿宋" w:hAnsi="仿宋" w:eastAsia="仿宋" w:cs="仿宋"/>
          <w:b w:val="0"/>
          <w:bCs/>
          <w:color w:val="auto"/>
          <w:sz w:val="32"/>
          <w:szCs w:val="32"/>
          <w:lang w:bidi="ar"/>
        </w:rPr>
        <w:t>”网站</w:t>
      </w:r>
      <w:r>
        <w:rPr>
          <w:rFonts w:hint="eastAsia" w:ascii="仿宋" w:hAnsi="仿宋" w:eastAsia="仿宋" w:cs="仿宋"/>
          <w:b w:val="0"/>
          <w:bCs/>
          <w:color w:val="auto"/>
          <w:sz w:val="32"/>
          <w:szCs w:val="32"/>
          <w:lang w:eastAsia="zh-CN" w:bidi="ar"/>
        </w:rPr>
        <w:t>、</w:t>
      </w:r>
      <w:r>
        <w:rPr>
          <w:rFonts w:hint="eastAsia" w:ascii="仿宋" w:hAnsi="仿宋" w:eastAsia="仿宋" w:cs="仿宋"/>
          <w:b w:val="0"/>
          <w:bCs/>
          <w:color w:val="auto"/>
          <w:sz w:val="32"/>
          <w:szCs w:val="32"/>
          <w:lang w:val="en-US" w:eastAsia="zh-CN" w:bidi="ar"/>
        </w:rPr>
        <w:t>省卫健委官方网站</w:t>
      </w:r>
      <w:r>
        <w:rPr>
          <w:rFonts w:hint="eastAsia" w:ascii="仿宋" w:hAnsi="仿宋" w:eastAsia="仿宋" w:cs="仿宋"/>
          <w:b w:val="0"/>
          <w:bCs/>
          <w:color w:val="auto"/>
          <w:sz w:val="32"/>
          <w:szCs w:val="32"/>
          <w:lang w:bidi="ar"/>
        </w:rPr>
        <w:t>,及时公开、发布</w:t>
      </w:r>
      <w:r>
        <w:rPr>
          <w:rFonts w:hint="eastAsia" w:ascii="仿宋" w:hAnsi="仿宋" w:eastAsia="仿宋" w:cs="仿宋"/>
          <w:b w:val="0"/>
          <w:bCs w:val="0"/>
          <w:color w:val="auto"/>
          <w:sz w:val="32"/>
          <w:szCs w:val="32"/>
          <w:lang w:val="en-US" w:eastAsia="zh-CN"/>
        </w:rPr>
        <w:t>医疗卫生</w:t>
      </w:r>
      <w:r>
        <w:rPr>
          <w:rFonts w:hint="eastAsia" w:ascii="仿宋" w:hAnsi="仿宋" w:eastAsia="仿宋" w:cs="仿宋"/>
          <w:b w:val="0"/>
          <w:bCs/>
          <w:color w:val="auto"/>
          <w:sz w:val="32"/>
          <w:szCs w:val="32"/>
          <w:lang w:bidi="ar"/>
        </w:rPr>
        <w:t>信用信息。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1"/>
        <w:rPr>
          <w:rFonts w:hint="eastAsia" w:ascii="仿宋" w:hAnsi="仿宋" w:eastAsia="仿宋" w:cs="仿宋"/>
          <w:b w:val="0"/>
          <w:bCs/>
          <w:color w:val="auto"/>
          <w:sz w:val="32"/>
          <w:szCs w:val="32"/>
          <w:lang w:bidi="ar"/>
        </w:rPr>
      </w:pPr>
      <w:r>
        <w:rPr>
          <w:rFonts w:hint="eastAsia" w:ascii="仿宋" w:hAnsi="仿宋" w:eastAsia="仿宋" w:cs="仿宋"/>
          <w:b/>
          <w:bCs/>
          <w:color w:val="auto"/>
          <w:kern w:val="2"/>
          <w:sz w:val="32"/>
          <w:szCs w:val="32"/>
          <w:lang w:val="en-US" w:eastAsia="zh-CN" w:bidi="ar-SA"/>
        </w:rPr>
        <w:t>第二十七条</w:t>
      </w:r>
      <w:r>
        <w:rPr>
          <w:rFonts w:hint="eastAsia" w:ascii="仿宋" w:hAnsi="仿宋" w:eastAsia="仿宋" w:cs="仿宋"/>
          <w:b/>
          <w:bCs w:val="0"/>
          <w:color w:val="auto"/>
          <w:sz w:val="32"/>
          <w:szCs w:val="32"/>
          <w:lang w:bidi="ar"/>
        </w:rPr>
        <w:t>【信用信息</w:t>
      </w:r>
      <w:r>
        <w:rPr>
          <w:rFonts w:hint="eastAsia" w:ascii="仿宋" w:hAnsi="仿宋" w:eastAsia="仿宋" w:cs="仿宋"/>
          <w:b/>
          <w:bCs w:val="0"/>
          <w:color w:val="auto"/>
          <w:sz w:val="32"/>
          <w:szCs w:val="32"/>
          <w:lang w:val="en-US" w:eastAsia="zh-CN" w:bidi="ar"/>
        </w:rPr>
        <w:t>查询</w:t>
      </w:r>
      <w:r>
        <w:rPr>
          <w:rFonts w:hint="eastAsia" w:ascii="仿宋" w:hAnsi="仿宋" w:eastAsia="仿宋" w:cs="仿宋"/>
          <w:b/>
          <w:bCs w:val="0"/>
          <w:color w:val="auto"/>
          <w:sz w:val="32"/>
          <w:szCs w:val="32"/>
          <w:lang w:bidi="ar"/>
        </w:rPr>
        <w:t>】</w:t>
      </w:r>
      <w:r>
        <w:rPr>
          <w:rFonts w:hint="eastAsia" w:ascii="仿宋" w:hAnsi="仿宋" w:eastAsia="仿宋" w:cs="仿宋"/>
          <w:b w:val="0"/>
          <w:bCs/>
          <w:color w:val="auto"/>
          <w:sz w:val="32"/>
          <w:szCs w:val="32"/>
          <w:lang w:val="en-US" w:eastAsia="zh-CN" w:bidi="ar"/>
        </w:rPr>
        <w:t>信用主体</w:t>
      </w:r>
      <w:r>
        <w:rPr>
          <w:rFonts w:hint="eastAsia" w:ascii="仿宋" w:hAnsi="仿宋" w:eastAsia="仿宋" w:cs="仿宋"/>
          <w:b w:val="0"/>
          <w:bCs/>
          <w:color w:val="auto"/>
          <w:sz w:val="32"/>
          <w:szCs w:val="32"/>
          <w:lang w:bidi="ar"/>
        </w:rPr>
        <w:t>可通过“信用</w:t>
      </w:r>
      <w:r>
        <w:rPr>
          <w:rFonts w:hint="eastAsia" w:ascii="仿宋" w:hAnsi="仿宋" w:eastAsia="仿宋" w:cs="仿宋"/>
          <w:b w:val="0"/>
          <w:bCs/>
          <w:color w:val="auto"/>
          <w:sz w:val="32"/>
          <w:szCs w:val="32"/>
          <w:lang w:val="en-US" w:eastAsia="zh-CN" w:bidi="ar"/>
        </w:rPr>
        <w:t>中国（海南）</w:t>
      </w:r>
      <w:r>
        <w:rPr>
          <w:rFonts w:hint="eastAsia" w:ascii="仿宋" w:hAnsi="仿宋" w:eastAsia="仿宋" w:cs="仿宋"/>
          <w:b w:val="0"/>
          <w:bCs/>
          <w:color w:val="auto"/>
          <w:sz w:val="32"/>
          <w:szCs w:val="32"/>
          <w:lang w:bidi="ar"/>
        </w:rPr>
        <w:t>”网站</w:t>
      </w:r>
      <w:r>
        <w:rPr>
          <w:rFonts w:hint="eastAsia" w:ascii="仿宋" w:hAnsi="仿宋" w:eastAsia="仿宋" w:cs="仿宋"/>
          <w:b w:val="0"/>
          <w:bCs/>
          <w:color w:val="auto"/>
          <w:sz w:val="32"/>
          <w:szCs w:val="32"/>
          <w:lang w:eastAsia="zh-CN" w:bidi="ar"/>
        </w:rPr>
        <w:t>、</w:t>
      </w:r>
      <w:r>
        <w:rPr>
          <w:rFonts w:hint="eastAsia" w:ascii="仿宋" w:hAnsi="仿宋" w:eastAsia="仿宋" w:cs="仿宋"/>
          <w:b w:val="0"/>
          <w:bCs/>
          <w:color w:val="auto"/>
          <w:sz w:val="32"/>
          <w:szCs w:val="32"/>
          <w:lang w:val="en-US" w:eastAsia="zh-CN" w:bidi="ar"/>
        </w:rPr>
        <w:t>省卫健委官方网站</w:t>
      </w:r>
      <w:r>
        <w:rPr>
          <w:rFonts w:hint="eastAsia" w:ascii="仿宋" w:hAnsi="仿宋" w:eastAsia="仿宋" w:cs="仿宋"/>
          <w:b w:val="0"/>
          <w:bCs/>
          <w:color w:val="auto"/>
          <w:sz w:val="32"/>
          <w:szCs w:val="32"/>
          <w:lang w:bidi="ar"/>
        </w:rPr>
        <w:t>查询</w:t>
      </w:r>
      <w:r>
        <w:rPr>
          <w:rFonts w:hint="eastAsia" w:ascii="仿宋" w:hAnsi="仿宋" w:eastAsia="仿宋" w:cs="仿宋"/>
          <w:b w:val="0"/>
          <w:bCs w:val="0"/>
          <w:color w:val="auto"/>
          <w:sz w:val="32"/>
          <w:szCs w:val="32"/>
          <w:lang w:val="en-US" w:eastAsia="zh-CN"/>
        </w:rPr>
        <w:t>医疗卫生</w:t>
      </w:r>
      <w:r>
        <w:rPr>
          <w:rFonts w:hint="eastAsia" w:ascii="仿宋" w:hAnsi="仿宋" w:eastAsia="仿宋" w:cs="仿宋"/>
          <w:b w:val="0"/>
          <w:bCs/>
          <w:color w:val="auto"/>
          <w:sz w:val="32"/>
          <w:szCs w:val="32"/>
          <w:lang w:bidi="ar"/>
        </w:rPr>
        <w:t>信用信息。</w:t>
      </w:r>
      <w:r>
        <w:rPr>
          <w:rFonts w:hint="eastAsia" w:ascii="仿宋_GB2312" w:hAnsi="仿宋_GB2312" w:eastAsia="仿宋_GB2312" w:cs="仿宋_GB2312"/>
          <w:color w:val="auto"/>
          <w:kern w:val="0"/>
          <w:sz w:val="32"/>
          <w:szCs w:val="32"/>
          <w:lang w:val="en-US" w:eastAsia="zh-CN" w:bidi="ar-SA"/>
        </w:rPr>
        <w:t>依法不能公开的公共信用信息，经信用主体自身实名认证或者书</w:t>
      </w:r>
      <w:r>
        <w:rPr>
          <w:rFonts w:hint="eastAsia" w:ascii="仿宋_GB2312" w:hAnsi="仿宋" w:eastAsia="仿宋_GB2312" w:cs="仿宋"/>
          <w:color w:val="auto"/>
          <w:sz w:val="32"/>
          <w:szCs w:val="32"/>
        </w:rPr>
        <w:t>面授权可以查询，并按照约定的用途使用。</w:t>
      </w:r>
    </w:p>
    <w:p>
      <w:pPr>
        <w:pStyle w:val="2"/>
        <w:keepNext/>
        <w:keepLines/>
        <w:pageBreakBefore w:val="0"/>
        <w:widowControl w:val="0"/>
        <w:kinsoku/>
        <w:wordWrap/>
        <w:overflowPunct/>
        <w:topLinePunct w:val="0"/>
        <w:autoSpaceDE/>
        <w:autoSpaceDN w:val="0"/>
        <w:bidi w:val="0"/>
        <w:adjustRightInd/>
        <w:snapToGrid/>
        <w:spacing w:before="157" w:beforeLines="50" w:beforeAutospacing="0" w:after="157" w:afterLines="50" w:afterAutospacing="0" w:line="560" w:lineRule="exact"/>
        <w:ind w:left="0" w:leftChars="0" w:firstLine="0" w:firstLineChars="0"/>
        <w:jc w:val="center"/>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第七章 评价与分级分类监管</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Cs/>
          <w:color w:val="auto"/>
          <w:sz w:val="32"/>
          <w:szCs w:val="32"/>
          <w:lang w:val="en-US" w:eastAsia="zh-CN" w:bidi="ar"/>
        </w:rPr>
      </w:pPr>
      <w:r>
        <w:rPr>
          <w:rFonts w:hint="eastAsia" w:ascii="仿宋" w:hAnsi="仿宋" w:eastAsia="仿宋" w:cs="仿宋"/>
          <w:b/>
          <w:bCs w:val="0"/>
          <w:color w:val="auto"/>
          <w:sz w:val="32"/>
          <w:szCs w:val="32"/>
          <w:lang w:val="en-US" w:eastAsia="zh-CN" w:bidi="ar"/>
        </w:rPr>
        <w:t>第二十八条【评价制度】</w:t>
      </w:r>
      <w:r>
        <w:rPr>
          <w:rFonts w:hint="eastAsia" w:ascii="仿宋" w:hAnsi="仿宋" w:eastAsia="仿宋" w:cs="仿宋"/>
          <w:bCs/>
          <w:color w:val="auto"/>
          <w:sz w:val="32"/>
          <w:szCs w:val="32"/>
          <w:lang w:val="en-US" w:eastAsia="zh-CN" w:bidi="ar"/>
        </w:rPr>
        <w:t>省卫健委各处室单位</w:t>
      </w:r>
      <w:r>
        <w:rPr>
          <w:rFonts w:hint="eastAsia" w:ascii="仿宋" w:hAnsi="仿宋" w:eastAsia="仿宋" w:cs="仿宋"/>
          <w:bCs/>
          <w:color w:val="auto"/>
          <w:sz w:val="32"/>
          <w:szCs w:val="32"/>
          <w:lang w:bidi="ar"/>
        </w:rPr>
        <w:t>依据职责</w:t>
      </w:r>
      <w:r>
        <w:rPr>
          <w:rFonts w:hint="eastAsia" w:ascii="仿宋" w:hAnsi="仿宋" w:eastAsia="仿宋" w:cs="仿宋"/>
          <w:bCs/>
          <w:color w:val="auto"/>
          <w:sz w:val="32"/>
          <w:szCs w:val="32"/>
          <w:lang w:val="en-US" w:eastAsia="zh-CN" w:bidi="ar"/>
        </w:rPr>
        <w:t>建立</w:t>
      </w:r>
      <w:r>
        <w:rPr>
          <w:rFonts w:hint="eastAsia" w:ascii="仿宋" w:hAnsi="仿宋" w:eastAsia="仿宋" w:cs="仿宋"/>
          <w:b w:val="0"/>
          <w:bCs w:val="0"/>
          <w:color w:val="auto"/>
          <w:sz w:val="32"/>
          <w:szCs w:val="32"/>
          <w:lang w:val="en-US" w:eastAsia="zh-CN"/>
        </w:rPr>
        <w:t>医疗卫生</w:t>
      </w:r>
      <w:r>
        <w:rPr>
          <w:rFonts w:hint="eastAsia" w:ascii="仿宋" w:hAnsi="仿宋" w:eastAsia="仿宋" w:cs="仿宋"/>
          <w:bCs/>
          <w:color w:val="auto"/>
          <w:sz w:val="32"/>
          <w:szCs w:val="32"/>
          <w:lang w:bidi="ar"/>
        </w:rPr>
        <w:t>行业不同领域的信用评价办法、指标和程序，对</w:t>
      </w:r>
      <w:r>
        <w:rPr>
          <w:rFonts w:hint="eastAsia" w:ascii="仿宋" w:hAnsi="仿宋" w:eastAsia="仿宋" w:cs="仿宋"/>
          <w:bCs/>
          <w:color w:val="auto"/>
          <w:sz w:val="32"/>
          <w:szCs w:val="32"/>
          <w:lang w:val="en-US" w:eastAsia="zh-CN" w:bidi="ar"/>
        </w:rPr>
        <w:t>市场</w:t>
      </w:r>
      <w:r>
        <w:rPr>
          <w:rFonts w:hint="eastAsia" w:ascii="仿宋" w:hAnsi="仿宋" w:eastAsia="仿宋" w:cs="仿宋"/>
          <w:bCs/>
          <w:color w:val="auto"/>
          <w:sz w:val="32"/>
          <w:szCs w:val="32"/>
          <w:lang w:bidi="ar"/>
        </w:rPr>
        <w:t>主体开展信用评价，确定信用等级，实行分级分类监管。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val="0"/>
          <w:color w:val="auto"/>
          <w:sz w:val="32"/>
          <w:szCs w:val="32"/>
          <w:lang w:val="en-US" w:eastAsia="zh-CN" w:bidi="ar"/>
        </w:rPr>
        <w:t>第二十九条【评价原则】</w:t>
      </w:r>
      <w:r>
        <w:rPr>
          <w:rFonts w:hint="eastAsia" w:ascii="仿宋" w:hAnsi="仿宋" w:eastAsia="仿宋" w:cs="仿宋"/>
          <w:b w:val="0"/>
          <w:bCs w:val="0"/>
          <w:color w:val="auto"/>
          <w:sz w:val="32"/>
          <w:szCs w:val="32"/>
          <w:lang w:val="en-US" w:eastAsia="zh-CN"/>
        </w:rPr>
        <w:t>信用评价应当遵循标准化、普适化、公益性、可解释性原则。作为卫生健康行政部门及相关部门机构内部监管和风险防控参考，评价结果向社会公开。建立风险监控模型，用于监管工作参考。</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1"/>
        <w:rPr>
          <w:rFonts w:hint="eastAsia" w:ascii="仿宋" w:hAnsi="仿宋" w:eastAsia="仿宋" w:cs="仿宋"/>
          <w:bCs/>
          <w:color w:val="auto"/>
          <w:sz w:val="32"/>
          <w:szCs w:val="32"/>
          <w:lang w:val="en-US" w:eastAsia="zh-CN" w:bidi="ar"/>
        </w:rPr>
      </w:pPr>
      <w:r>
        <w:rPr>
          <w:rFonts w:hint="eastAsia" w:ascii="仿宋" w:hAnsi="仿宋" w:eastAsia="仿宋" w:cs="仿宋"/>
          <w:b w:val="0"/>
          <w:bCs w:val="0"/>
          <w:color w:val="auto"/>
          <w:sz w:val="32"/>
          <w:szCs w:val="32"/>
          <w:lang w:val="en-US" w:eastAsia="zh-CN"/>
        </w:rPr>
        <w:t>医疗卫生信用评价的信息采集、发布、应用、管理，应当遵循统一标准、客观公正、科学规范、动态更新原则。</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Cs/>
          <w:color w:val="auto"/>
          <w:sz w:val="32"/>
          <w:szCs w:val="32"/>
          <w:lang w:val="en-US" w:eastAsia="zh-CN" w:bidi="ar"/>
        </w:rPr>
      </w:pPr>
      <w:r>
        <w:rPr>
          <w:rFonts w:hint="eastAsia" w:ascii="仿宋" w:hAnsi="仿宋" w:eastAsia="仿宋" w:cs="仿宋"/>
          <w:b/>
          <w:bCs w:val="0"/>
          <w:color w:val="auto"/>
          <w:sz w:val="32"/>
          <w:szCs w:val="32"/>
          <w:lang w:val="en-US" w:eastAsia="zh-CN" w:bidi="ar"/>
        </w:rPr>
        <w:t>第三十条【等级评价】</w:t>
      </w:r>
      <w:r>
        <w:rPr>
          <w:rFonts w:hint="eastAsia" w:ascii="仿宋" w:hAnsi="仿宋" w:eastAsia="仿宋" w:cs="仿宋"/>
          <w:bCs/>
          <w:color w:val="auto"/>
          <w:sz w:val="32"/>
          <w:szCs w:val="32"/>
          <w:lang w:val="en-US" w:eastAsia="zh-CN" w:bidi="ar"/>
        </w:rPr>
        <w:t>全省</w:t>
      </w:r>
      <w:r>
        <w:rPr>
          <w:rFonts w:hint="eastAsia" w:ascii="仿宋" w:hAnsi="仿宋" w:eastAsia="仿宋" w:cs="仿宋"/>
          <w:b w:val="0"/>
          <w:bCs w:val="0"/>
          <w:color w:val="auto"/>
          <w:sz w:val="32"/>
          <w:szCs w:val="32"/>
          <w:lang w:val="en-US" w:eastAsia="zh-CN"/>
        </w:rPr>
        <w:t>医疗卫生</w:t>
      </w:r>
      <w:r>
        <w:rPr>
          <w:rFonts w:hint="eastAsia" w:ascii="仿宋" w:hAnsi="仿宋" w:eastAsia="仿宋" w:cs="仿宋"/>
          <w:bCs/>
          <w:color w:val="auto"/>
          <w:sz w:val="32"/>
          <w:szCs w:val="32"/>
          <w:lang w:val="en-US" w:eastAsia="zh-CN" w:bidi="ar"/>
        </w:rPr>
        <w:t>领域信用评价实行计分制。从业企业信用原则上分为A、B、C、D四个等级，分别对应</w:t>
      </w:r>
      <w:r>
        <w:rPr>
          <w:rFonts w:hint="eastAsia" w:ascii="仿宋" w:hAnsi="仿宋" w:eastAsia="仿宋" w:cs="仿宋"/>
          <w:b w:val="0"/>
          <w:bCs w:val="0"/>
          <w:color w:val="auto"/>
          <w:sz w:val="32"/>
          <w:szCs w:val="32"/>
          <w:lang w:val="en-US" w:eastAsia="zh-CN"/>
        </w:rPr>
        <w:t>诚实守信</w:t>
      </w:r>
      <w:r>
        <w:rPr>
          <w:rFonts w:hint="eastAsia" w:ascii="仿宋" w:hAnsi="仿宋" w:eastAsia="仿宋" w:cs="仿宋"/>
          <w:bCs/>
          <w:color w:val="auto"/>
          <w:sz w:val="32"/>
          <w:szCs w:val="32"/>
          <w:lang w:val="en-US" w:eastAsia="zh-CN" w:bidi="ar"/>
        </w:rPr>
        <w:t>、</w:t>
      </w:r>
      <w:r>
        <w:rPr>
          <w:rFonts w:hint="eastAsia" w:ascii="仿宋" w:hAnsi="仿宋" w:eastAsia="仿宋" w:cs="仿宋"/>
          <w:b w:val="0"/>
          <w:bCs w:val="0"/>
          <w:color w:val="auto"/>
          <w:sz w:val="32"/>
          <w:szCs w:val="32"/>
          <w:lang w:val="en-US" w:eastAsia="zh-CN"/>
        </w:rPr>
        <w:t>一般守信</w:t>
      </w:r>
      <w:r>
        <w:rPr>
          <w:rFonts w:hint="eastAsia" w:ascii="仿宋" w:hAnsi="仿宋" w:eastAsia="仿宋" w:cs="仿宋"/>
          <w:bCs/>
          <w:color w:val="auto"/>
          <w:sz w:val="32"/>
          <w:szCs w:val="32"/>
          <w:lang w:val="en-US" w:eastAsia="zh-CN" w:bidi="ar"/>
        </w:rPr>
        <w:t>、</w:t>
      </w:r>
      <w:r>
        <w:rPr>
          <w:rFonts w:hint="eastAsia" w:ascii="仿宋" w:hAnsi="仿宋" w:eastAsia="仿宋" w:cs="仿宋"/>
          <w:b w:val="0"/>
          <w:bCs w:val="0"/>
          <w:color w:val="auto"/>
          <w:sz w:val="32"/>
          <w:szCs w:val="32"/>
          <w:lang w:val="en-US" w:eastAsia="zh-CN"/>
        </w:rPr>
        <w:t>一般失信</w:t>
      </w:r>
      <w:r>
        <w:rPr>
          <w:rFonts w:hint="eastAsia" w:ascii="仿宋" w:hAnsi="仿宋" w:eastAsia="仿宋" w:cs="仿宋"/>
          <w:bCs/>
          <w:color w:val="auto"/>
          <w:sz w:val="32"/>
          <w:szCs w:val="32"/>
          <w:lang w:val="en-US" w:eastAsia="zh-CN" w:bidi="ar"/>
        </w:rPr>
        <w:t>、</w:t>
      </w:r>
      <w:r>
        <w:rPr>
          <w:rFonts w:hint="eastAsia" w:ascii="仿宋" w:hAnsi="仿宋" w:eastAsia="仿宋" w:cs="仿宋"/>
          <w:b w:val="0"/>
          <w:bCs w:val="0"/>
          <w:color w:val="auto"/>
          <w:sz w:val="32"/>
          <w:szCs w:val="32"/>
          <w:lang w:val="en-US" w:eastAsia="zh-CN"/>
        </w:rPr>
        <w:t>重点失信</w:t>
      </w:r>
      <w:r>
        <w:rPr>
          <w:rFonts w:hint="eastAsia" w:ascii="仿宋" w:hAnsi="仿宋" w:eastAsia="仿宋" w:cs="仿宋"/>
          <w:bCs/>
          <w:color w:val="auto"/>
          <w:sz w:val="32"/>
          <w:szCs w:val="32"/>
          <w:lang w:val="en-US" w:eastAsia="zh-CN" w:bidi="ar"/>
        </w:rPr>
        <w:t>。市场主体的具体信用等级评价细则，应根据</w:t>
      </w:r>
      <w:r>
        <w:rPr>
          <w:rFonts w:hint="eastAsia" w:ascii="仿宋" w:hAnsi="仿宋" w:eastAsia="仿宋" w:cs="仿宋"/>
          <w:b w:val="0"/>
          <w:bCs w:val="0"/>
          <w:color w:val="auto"/>
          <w:sz w:val="32"/>
          <w:szCs w:val="32"/>
          <w:lang w:val="en-US" w:eastAsia="zh-CN"/>
        </w:rPr>
        <w:t>医疗卫生</w:t>
      </w:r>
      <w:r>
        <w:rPr>
          <w:rFonts w:hint="eastAsia" w:ascii="仿宋" w:hAnsi="仿宋" w:eastAsia="仿宋" w:cs="仿宋"/>
          <w:bCs/>
          <w:color w:val="auto"/>
          <w:sz w:val="32"/>
          <w:szCs w:val="32"/>
          <w:lang w:val="en-US" w:eastAsia="zh-CN" w:bidi="ar"/>
        </w:rPr>
        <w:t>各领域实际情况制定。</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Cs/>
          <w:color w:val="auto"/>
          <w:sz w:val="32"/>
          <w:szCs w:val="32"/>
          <w:lang w:val="en-US" w:eastAsia="zh-CN" w:bidi="ar"/>
        </w:rPr>
      </w:pPr>
      <w:r>
        <w:rPr>
          <w:rFonts w:hint="eastAsia" w:ascii="仿宋" w:hAnsi="仿宋" w:eastAsia="仿宋" w:cs="仿宋"/>
          <w:b/>
          <w:bCs w:val="0"/>
          <w:color w:val="auto"/>
          <w:sz w:val="32"/>
          <w:szCs w:val="32"/>
          <w:lang w:val="en-US" w:eastAsia="zh-CN" w:bidi="ar"/>
        </w:rPr>
        <w:t>第三十一条【事前信用监管】</w:t>
      </w:r>
      <w:r>
        <w:rPr>
          <w:rFonts w:hint="eastAsia" w:ascii="仿宋" w:hAnsi="仿宋" w:eastAsia="仿宋" w:cs="仿宋"/>
          <w:bCs/>
          <w:color w:val="auto"/>
          <w:sz w:val="32"/>
          <w:szCs w:val="32"/>
          <w:lang w:val="en-US" w:eastAsia="zh-CN" w:bidi="ar"/>
        </w:rPr>
        <w:t>各级卫生健康行政部门在行政审批中依据信用记录或信用报告，对符合条件的从业主体依法依规实行告知承诺、优先办理、容缺受理等措施，对失信主体依法依规采取从严审查、限制准入等措施。</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Cs/>
          <w:color w:val="auto"/>
          <w:sz w:val="32"/>
          <w:szCs w:val="32"/>
          <w:lang w:val="en-US" w:eastAsia="zh-CN" w:bidi="ar"/>
        </w:rPr>
      </w:pPr>
      <w:r>
        <w:rPr>
          <w:rFonts w:hint="eastAsia" w:ascii="仿宋" w:hAnsi="仿宋" w:eastAsia="仿宋" w:cs="仿宋"/>
          <w:b/>
          <w:bCs w:val="0"/>
          <w:color w:val="auto"/>
          <w:sz w:val="32"/>
          <w:szCs w:val="32"/>
          <w:lang w:val="en-US" w:eastAsia="zh-CN" w:bidi="ar"/>
        </w:rPr>
        <w:t>第三十二条【分级分类监管】</w:t>
      </w:r>
      <w:r>
        <w:rPr>
          <w:rFonts w:hint="eastAsia" w:ascii="仿宋" w:hAnsi="仿宋" w:eastAsia="仿宋" w:cs="仿宋"/>
          <w:bCs/>
          <w:color w:val="auto"/>
          <w:sz w:val="32"/>
          <w:szCs w:val="32"/>
          <w:lang w:val="en-US" w:eastAsia="zh-CN" w:bidi="ar"/>
        </w:rPr>
        <w:t>各级卫生健康行政部门应将企业信用评价结果信息作为开展“双随机”抽查等的重要依据，对不同风险等级、信用水平的检查对象采取差异化分类监管措施。对信用等级为</w:t>
      </w:r>
      <w:r>
        <w:rPr>
          <w:rFonts w:hint="eastAsia" w:ascii="仿宋" w:hAnsi="仿宋" w:eastAsia="仿宋" w:cs="仿宋"/>
          <w:b w:val="0"/>
          <w:bCs w:val="0"/>
          <w:color w:val="auto"/>
          <w:sz w:val="32"/>
          <w:szCs w:val="32"/>
          <w:lang w:val="en-US" w:eastAsia="zh-CN"/>
        </w:rPr>
        <w:t>诚实守信</w:t>
      </w:r>
      <w:r>
        <w:rPr>
          <w:rFonts w:hint="eastAsia" w:ascii="仿宋" w:hAnsi="仿宋" w:eastAsia="仿宋" w:cs="仿宋"/>
          <w:bCs/>
          <w:color w:val="auto"/>
          <w:sz w:val="32"/>
          <w:szCs w:val="32"/>
          <w:lang w:val="en-US" w:eastAsia="zh-CN" w:bidi="ar"/>
        </w:rPr>
        <w:t>的企业可合理降低抽查比例，适当减少监管频次；对信用等级为</w:t>
      </w:r>
      <w:r>
        <w:rPr>
          <w:rFonts w:hint="eastAsia" w:ascii="仿宋" w:hAnsi="仿宋" w:eastAsia="仿宋" w:cs="仿宋"/>
          <w:b w:val="0"/>
          <w:bCs w:val="0"/>
          <w:color w:val="auto"/>
          <w:sz w:val="32"/>
          <w:szCs w:val="32"/>
          <w:lang w:val="en-US" w:eastAsia="zh-CN"/>
        </w:rPr>
        <w:t>一般失信</w:t>
      </w:r>
      <w:r>
        <w:rPr>
          <w:rFonts w:hint="eastAsia" w:ascii="仿宋" w:hAnsi="仿宋" w:eastAsia="仿宋" w:cs="仿宋"/>
          <w:bCs/>
          <w:color w:val="auto"/>
          <w:sz w:val="32"/>
          <w:szCs w:val="32"/>
          <w:lang w:val="en-US" w:eastAsia="zh-CN" w:bidi="ar"/>
        </w:rPr>
        <w:t>、重点失信的企业可合理提高抽查比例，适当增加监管频次。</w:t>
      </w:r>
    </w:p>
    <w:p>
      <w:pPr>
        <w:pStyle w:val="2"/>
        <w:keepNext/>
        <w:keepLines/>
        <w:pageBreakBefore w:val="0"/>
        <w:widowControl w:val="0"/>
        <w:kinsoku/>
        <w:wordWrap/>
        <w:overflowPunct/>
        <w:topLinePunct w:val="0"/>
        <w:autoSpaceDE/>
        <w:autoSpaceDN w:val="0"/>
        <w:bidi w:val="0"/>
        <w:adjustRightInd/>
        <w:snapToGrid/>
        <w:spacing w:before="157" w:beforeLines="50" w:beforeAutospacing="0" w:after="157" w:afterLines="50" w:afterAutospacing="0" w:line="560" w:lineRule="exact"/>
        <w:ind w:left="0" w:leftChars="0" w:firstLine="0" w:firstLineChars="0"/>
        <w:jc w:val="center"/>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第八章 守信激励与失信惩戒</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Cs/>
          <w:color w:val="auto"/>
          <w:sz w:val="32"/>
          <w:szCs w:val="32"/>
          <w:lang w:val="en-US" w:eastAsia="zh-CN" w:bidi="ar"/>
        </w:rPr>
      </w:pPr>
      <w:r>
        <w:rPr>
          <w:rFonts w:hint="eastAsia" w:ascii="仿宋" w:hAnsi="仿宋" w:eastAsia="仿宋" w:cs="仿宋"/>
          <w:b/>
          <w:bCs w:val="0"/>
          <w:color w:val="auto"/>
          <w:sz w:val="32"/>
          <w:szCs w:val="32"/>
          <w:lang w:val="en-US" w:eastAsia="zh-CN" w:bidi="ar"/>
        </w:rPr>
        <w:t>第三十三条【守信激励措施】</w:t>
      </w:r>
      <w:r>
        <w:rPr>
          <w:rFonts w:hint="eastAsia" w:ascii="仿宋" w:hAnsi="仿宋" w:eastAsia="仿宋" w:cs="仿宋"/>
          <w:bCs/>
          <w:color w:val="auto"/>
          <w:sz w:val="32"/>
          <w:szCs w:val="32"/>
          <w:lang w:val="en-US" w:eastAsia="zh-CN" w:bidi="ar"/>
        </w:rPr>
        <w:t>各级卫生健康行政部门、有关职能单位依照法律、法规和国家有关规定，倡导和褒扬诚实守信，对信用状况良好的信用主体可以采取下列激励措施：</w:t>
      </w:r>
    </w:p>
    <w:p>
      <w:pPr>
        <w:pageBreakBefore w:val="0"/>
        <w:numPr>
          <w:ilvl w:val="0"/>
          <w:numId w:val="1"/>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1"/>
        <w:rPr>
          <w:rFonts w:hint="eastAsia" w:ascii="仿宋" w:hAnsi="仿宋" w:eastAsia="仿宋" w:cs="仿宋"/>
          <w:bCs/>
          <w:color w:val="auto"/>
          <w:sz w:val="32"/>
          <w:szCs w:val="32"/>
          <w:lang w:val="en-US" w:eastAsia="zh-CN" w:bidi="ar"/>
        </w:rPr>
      </w:pPr>
      <w:r>
        <w:rPr>
          <w:rFonts w:hint="eastAsia" w:ascii="仿宋" w:hAnsi="仿宋" w:eastAsia="仿宋" w:cs="仿宋"/>
          <w:bCs/>
          <w:color w:val="auto"/>
          <w:sz w:val="32"/>
          <w:szCs w:val="32"/>
          <w:lang w:val="en-US" w:eastAsia="zh-CN" w:bidi="ar"/>
        </w:rPr>
        <w:t>在行政审批和项目核准时，实施告知承诺等简化办理、快速办理的便利服务措施；</w:t>
      </w:r>
    </w:p>
    <w:p>
      <w:pPr>
        <w:pageBreakBefore w:val="0"/>
        <w:numPr>
          <w:ilvl w:val="0"/>
          <w:numId w:val="1"/>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1"/>
        <w:rPr>
          <w:rFonts w:hint="eastAsia" w:ascii="仿宋" w:hAnsi="仿宋" w:eastAsia="仿宋" w:cs="仿宋"/>
          <w:bCs/>
          <w:color w:val="auto"/>
          <w:sz w:val="32"/>
          <w:szCs w:val="32"/>
          <w:lang w:val="en-US" w:eastAsia="zh-CN" w:bidi="ar"/>
        </w:rPr>
      </w:pPr>
      <w:r>
        <w:rPr>
          <w:rFonts w:hint="eastAsia" w:ascii="仿宋" w:hAnsi="仿宋" w:eastAsia="仿宋" w:cs="仿宋"/>
          <w:bCs/>
          <w:color w:val="auto"/>
          <w:sz w:val="32"/>
          <w:szCs w:val="32"/>
          <w:lang w:val="en-US" w:eastAsia="zh-CN" w:bidi="ar"/>
        </w:rPr>
        <w:t>在开展政府采购和安排专项资金时，同等条件下列为优先选择对象；</w:t>
      </w:r>
    </w:p>
    <w:p>
      <w:pPr>
        <w:pageBreakBefore w:val="0"/>
        <w:numPr>
          <w:ilvl w:val="0"/>
          <w:numId w:val="1"/>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1"/>
        <w:rPr>
          <w:rFonts w:hint="eastAsia" w:ascii="仿宋" w:hAnsi="仿宋" w:eastAsia="仿宋" w:cs="仿宋"/>
          <w:bCs/>
          <w:color w:val="auto"/>
          <w:sz w:val="32"/>
          <w:szCs w:val="32"/>
          <w:lang w:val="en-US" w:eastAsia="zh-CN" w:bidi="ar"/>
        </w:rPr>
      </w:pPr>
      <w:r>
        <w:rPr>
          <w:rFonts w:hint="eastAsia" w:ascii="仿宋" w:hAnsi="仿宋" w:eastAsia="仿宋" w:cs="仿宋"/>
          <w:bCs/>
          <w:color w:val="auto"/>
          <w:sz w:val="32"/>
          <w:szCs w:val="32"/>
          <w:lang w:val="en-US" w:eastAsia="zh-CN" w:bidi="ar"/>
        </w:rPr>
        <w:t>在日常检查、专项检查中合理优化抽查比例，适当减少检查频次；</w:t>
      </w:r>
    </w:p>
    <w:p>
      <w:pPr>
        <w:pageBreakBefore w:val="0"/>
        <w:numPr>
          <w:ilvl w:val="0"/>
          <w:numId w:val="1"/>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1"/>
        <w:rPr>
          <w:rFonts w:hint="eastAsia" w:ascii="仿宋" w:hAnsi="仿宋" w:eastAsia="仿宋" w:cs="仿宋"/>
          <w:bCs/>
          <w:color w:val="auto"/>
          <w:sz w:val="32"/>
          <w:szCs w:val="32"/>
          <w:lang w:val="en-US" w:eastAsia="zh-CN" w:bidi="ar"/>
        </w:rPr>
      </w:pPr>
      <w:r>
        <w:rPr>
          <w:rFonts w:hint="eastAsia" w:ascii="仿宋" w:hAnsi="仿宋" w:eastAsia="仿宋" w:cs="仿宋"/>
          <w:bCs/>
          <w:color w:val="auto"/>
          <w:sz w:val="32"/>
          <w:szCs w:val="32"/>
          <w:lang w:val="en-US" w:eastAsia="zh-CN" w:bidi="ar"/>
        </w:rPr>
        <w:t>在行业评优评先时，同等条件下优先考虑；</w:t>
      </w:r>
    </w:p>
    <w:p>
      <w:pPr>
        <w:pageBreakBefore w:val="0"/>
        <w:numPr>
          <w:ilvl w:val="0"/>
          <w:numId w:val="1"/>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1"/>
        <w:rPr>
          <w:rFonts w:hint="eastAsia" w:ascii="仿宋" w:hAnsi="仿宋" w:eastAsia="仿宋" w:cs="仿宋"/>
          <w:bCs/>
          <w:color w:val="auto"/>
          <w:sz w:val="32"/>
          <w:szCs w:val="32"/>
          <w:lang w:val="en-US" w:eastAsia="zh-CN" w:bidi="ar"/>
        </w:rPr>
      </w:pPr>
      <w:r>
        <w:rPr>
          <w:rFonts w:hint="eastAsia" w:ascii="仿宋" w:hAnsi="仿宋" w:eastAsia="仿宋" w:cs="仿宋"/>
          <w:bCs/>
          <w:color w:val="auto"/>
          <w:sz w:val="32"/>
          <w:szCs w:val="32"/>
          <w:lang w:val="en-US" w:eastAsia="zh-CN" w:bidi="ar"/>
        </w:rPr>
        <w:t>在“信用海南（海南）”网站、省卫健委官方网站等媒体上宣传；</w:t>
      </w:r>
    </w:p>
    <w:p>
      <w:pPr>
        <w:pageBreakBefore w:val="0"/>
        <w:numPr>
          <w:ilvl w:val="0"/>
          <w:numId w:val="1"/>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1"/>
        <w:rPr>
          <w:rFonts w:hint="eastAsia" w:ascii="仿宋" w:hAnsi="仿宋" w:eastAsia="仿宋" w:cs="仿宋"/>
          <w:bCs/>
          <w:color w:val="auto"/>
          <w:sz w:val="32"/>
          <w:szCs w:val="32"/>
          <w:lang w:val="en-US" w:eastAsia="zh-CN" w:bidi="ar"/>
        </w:rPr>
      </w:pPr>
      <w:r>
        <w:rPr>
          <w:rFonts w:hint="eastAsia" w:ascii="仿宋" w:hAnsi="仿宋" w:eastAsia="仿宋" w:cs="仿宋"/>
          <w:bCs/>
          <w:color w:val="auto"/>
          <w:sz w:val="32"/>
          <w:szCs w:val="32"/>
          <w:lang w:val="en-US" w:eastAsia="zh-CN" w:bidi="ar"/>
        </w:rPr>
        <w:t>其他符合法律法规或党中央、国务院政策文件要求的措施；</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Cs/>
          <w:color w:val="auto"/>
          <w:sz w:val="32"/>
          <w:szCs w:val="32"/>
          <w:lang w:val="en-US" w:eastAsia="zh-CN" w:bidi="ar"/>
        </w:rPr>
      </w:pPr>
      <w:r>
        <w:rPr>
          <w:rFonts w:hint="eastAsia" w:ascii="仿宋" w:hAnsi="仿宋" w:eastAsia="仿宋" w:cs="仿宋"/>
          <w:b/>
          <w:bCs w:val="0"/>
          <w:color w:val="auto"/>
          <w:sz w:val="32"/>
          <w:szCs w:val="32"/>
          <w:lang w:val="en-US" w:eastAsia="zh-CN" w:bidi="ar"/>
        </w:rPr>
        <w:t>第三十四条【失信惩戒措施清单管理】</w:t>
      </w:r>
      <w:r>
        <w:rPr>
          <w:rFonts w:hint="eastAsia" w:ascii="仿宋" w:hAnsi="仿宋" w:eastAsia="仿宋" w:cs="仿宋"/>
          <w:bCs/>
          <w:color w:val="auto"/>
          <w:sz w:val="32"/>
          <w:szCs w:val="32"/>
          <w:lang w:val="en-US" w:eastAsia="zh-CN" w:bidi="ar"/>
        </w:rPr>
        <w:t>对失信主体采取减损权益或增加义务的惩戒和约束，必须基于具体的失信行为事实，以法律、法规或者党中央、国务院政策文件为依据，根据《</w:t>
      </w:r>
      <w:r>
        <w:rPr>
          <w:rFonts w:hint="eastAsia" w:ascii="仿宋" w:hAnsi="仿宋" w:eastAsia="仿宋" w:cs="仿宋"/>
          <w:bCs/>
          <w:color w:val="auto"/>
          <w:sz w:val="32"/>
          <w:szCs w:val="32"/>
          <w:lang w:val="en-US" w:eastAsia="zh-CN" w:bidi="ar"/>
        </w:rPr>
        <w:fldChar w:fldCharType="begin"/>
      </w:r>
      <w:r>
        <w:rPr>
          <w:rFonts w:hint="eastAsia" w:ascii="仿宋" w:hAnsi="仿宋" w:eastAsia="仿宋" w:cs="仿宋"/>
          <w:bCs/>
          <w:color w:val="auto"/>
          <w:sz w:val="32"/>
          <w:szCs w:val="32"/>
          <w:lang w:val="en-US" w:eastAsia="zh-CN" w:bidi="ar"/>
        </w:rPr>
        <w:instrText xml:space="preserve"> HYPERLINK "https://www.baidu.com/link?url=ThPq4v7mY0N9YhpOcvCwpggDKbF5r1eeXzstkzRTF-Pe1A6Lzc63lj-3AiNB4gEnp5UJyPL0nPcfTxqzssJaGlpLUrg6l7iP37Q_aj-M-hy&amp;wd=&amp;eqid=bd82ffc8000151e0000000066346cd66" \t "https://www.baidu.com/_blank" </w:instrText>
      </w:r>
      <w:r>
        <w:rPr>
          <w:rFonts w:hint="eastAsia" w:ascii="仿宋" w:hAnsi="仿宋" w:eastAsia="仿宋" w:cs="仿宋"/>
          <w:bCs/>
          <w:color w:val="auto"/>
          <w:sz w:val="32"/>
          <w:szCs w:val="32"/>
          <w:lang w:val="en-US" w:eastAsia="zh-CN" w:bidi="ar"/>
        </w:rPr>
        <w:fldChar w:fldCharType="separate"/>
      </w:r>
      <w:r>
        <w:rPr>
          <w:rFonts w:hint="eastAsia" w:ascii="仿宋" w:hAnsi="仿宋" w:eastAsia="仿宋" w:cs="仿宋"/>
          <w:bCs/>
          <w:color w:val="auto"/>
          <w:sz w:val="32"/>
          <w:szCs w:val="32"/>
          <w:lang w:val="en-US" w:eastAsia="zh-CN" w:bidi="ar"/>
        </w:rPr>
        <w:t>全国失信惩戒措施基础清单</w:t>
      </w:r>
      <w:r>
        <w:rPr>
          <w:rFonts w:hint="eastAsia" w:ascii="仿宋" w:hAnsi="仿宋" w:eastAsia="仿宋" w:cs="仿宋"/>
          <w:bCs/>
          <w:color w:val="auto"/>
          <w:sz w:val="32"/>
          <w:szCs w:val="32"/>
          <w:lang w:val="en-US" w:eastAsia="zh-CN" w:bidi="ar"/>
        </w:rPr>
        <w:fldChar w:fldCharType="end"/>
      </w:r>
      <w:r>
        <w:rPr>
          <w:rFonts w:hint="eastAsia" w:ascii="仿宋" w:hAnsi="仿宋" w:eastAsia="仿宋" w:cs="仿宋"/>
          <w:bCs/>
          <w:color w:val="auto"/>
          <w:sz w:val="32"/>
          <w:szCs w:val="32"/>
          <w:lang w:val="en-US" w:eastAsia="zh-CN" w:bidi="ar"/>
        </w:rPr>
        <w:t>》和《海南自由贸易港失信惩戒措施清单》，实行清单制管理。</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Cs/>
          <w:color w:val="auto"/>
          <w:sz w:val="32"/>
          <w:szCs w:val="32"/>
          <w:lang w:val="en-US" w:eastAsia="zh-CN" w:bidi="ar"/>
        </w:rPr>
      </w:pPr>
      <w:r>
        <w:rPr>
          <w:rFonts w:hint="eastAsia" w:ascii="仿宋" w:hAnsi="仿宋" w:eastAsia="仿宋" w:cs="仿宋"/>
          <w:b/>
          <w:bCs w:val="0"/>
          <w:color w:val="auto"/>
          <w:sz w:val="32"/>
          <w:szCs w:val="32"/>
          <w:lang w:val="en-US" w:eastAsia="zh-CN" w:bidi="ar"/>
        </w:rPr>
        <w:t>第三十五条【失信惩戒措施】</w:t>
      </w:r>
      <w:r>
        <w:rPr>
          <w:rFonts w:hint="eastAsia" w:ascii="仿宋" w:hAnsi="仿宋" w:eastAsia="仿宋" w:cs="仿宋"/>
          <w:bCs/>
          <w:color w:val="auto"/>
          <w:sz w:val="32"/>
          <w:szCs w:val="32"/>
          <w:lang w:val="en-US" w:eastAsia="zh-CN" w:bidi="ar"/>
        </w:rPr>
        <w:t>按照合法、关联、比例原则，根据失信行为的性质、情节和社会危害程度，采取轻重适度的惩戒措施。各级卫生健康行政部门、各有关职能单位对一般失信行为主体相关信息依法依规予以公开。对纳入卫生健康严重失信主体名单，以及被国务院有关部门列入失信联合惩戒对象名单的信用主体，严格依照《</w:t>
      </w:r>
      <w:r>
        <w:rPr>
          <w:rFonts w:hint="eastAsia" w:ascii="仿宋" w:hAnsi="仿宋" w:eastAsia="仿宋" w:cs="仿宋"/>
          <w:bCs/>
          <w:color w:val="auto"/>
          <w:sz w:val="32"/>
          <w:szCs w:val="32"/>
          <w:lang w:val="en-US" w:eastAsia="zh-CN" w:bidi="ar"/>
        </w:rPr>
        <w:fldChar w:fldCharType="begin"/>
      </w:r>
      <w:r>
        <w:rPr>
          <w:rFonts w:hint="eastAsia" w:ascii="仿宋" w:hAnsi="仿宋" w:eastAsia="仿宋" w:cs="仿宋"/>
          <w:bCs/>
          <w:color w:val="auto"/>
          <w:sz w:val="32"/>
          <w:szCs w:val="32"/>
          <w:lang w:val="en-US" w:eastAsia="zh-CN" w:bidi="ar"/>
        </w:rPr>
        <w:instrText xml:space="preserve"> HYPERLINK "https://www.baidu.com/link?url=ThPq4v7mY0N9YhpOcvCwpggDKbF5r1eeXzstkzRTF-Pe1A6Lzc63lj-3AiNB4gEnp5UJyPL0nPcfTxqzssJaGlpLUrg6l7iP37Q_aj-M-hy&amp;wd=&amp;eqid=bd82ffc8000151e0000000066346cd66" \t "https://www.baidu.com/_blank" </w:instrText>
      </w:r>
      <w:r>
        <w:rPr>
          <w:rFonts w:hint="eastAsia" w:ascii="仿宋" w:hAnsi="仿宋" w:eastAsia="仿宋" w:cs="仿宋"/>
          <w:bCs/>
          <w:color w:val="auto"/>
          <w:sz w:val="32"/>
          <w:szCs w:val="32"/>
          <w:lang w:val="en-US" w:eastAsia="zh-CN" w:bidi="ar"/>
        </w:rPr>
        <w:fldChar w:fldCharType="separate"/>
      </w:r>
      <w:r>
        <w:rPr>
          <w:rFonts w:hint="eastAsia" w:ascii="仿宋" w:hAnsi="仿宋" w:eastAsia="仿宋" w:cs="仿宋"/>
          <w:bCs/>
          <w:color w:val="auto"/>
          <w:sz w:val="32"/>
          <w:szCs w:val="32"/>
          <w:lang w:val="en-US" w:eastAsia="zh-CN" w:bidi="ar"/>
        </w:rPr>
        <w:t>全国失信惩戒措施基础清单</w:t>
      </w:r>
      <w:r>
        <w:rPr>
          <w:rFonts w:hint="eastAsia" w:ascii="仿宋" w:hAnsi="仿宋" w:eastAsia="仿宋" w:cs="仿宋"/>
          <w:bCs/>
          <w:color w:val="auto"/>
          <w:sz w:val="32"/>
          <w:szCs w:val="32"/>
          <w:lang w:val="en-US" w:eastAsia="zh-CN" w:bidi="ar"/>
        </w:rPr>
        <w:fldChar w:fldCharType="end"/>
      </w:r>
      <w:r>
        <w:rPr>
          <w:rFonts w:hint="eastAsia" w:ascii="仿宋" w:hAnsi="仿宋" w:eastAsia="仿宋" w:cs="仿宋"/>
          <w:bCs/>
          <w:color w:val="auto"/>
          <w:sz w:val="32"/>
          <w:szCs w:val="32"/>
          <w:lang w:val="en-US" w:eastAsia="zh-CN" w:bidi="ar"/>
        </w:rPr>
        <w:t>》和《海南自由贸易港失信惩戒措施清单》采取相应惩戒措施。</w:t>
      </w:r>
    </w:p>
    <w:p>
      <w:pPr>
        <w:pStyle w:val="2"/>
        <w:keepNext/>
        <w:keepLines/>
        <w:pageBreakBefore w:val="0"/>
        <w:widowControl w:val="0"/>
        <w:kinsoku/>
        <w:wordWrap/>
        <w:overflowPunct/>
        <w:topLinePunct w:val="0"/>
        <w:autoSpaceDE/>
        <w:autoSpaceDN w:val="0"/>
        <w:bidi w:val="0"/>
        <w:adjustRightInd/>
        <w:snapToGrid/>
        <w:spacing w:before="157" w:beforeLines="50" w:beforeAutospacing="0" w:after="157" w:afterLines="50" w:afterAutospacing="0" w:line="560" w:lineRule="exact"/>
        <w:ind w:left="0" w:leftChars="0" w:firstLine="0" w:firstLineChars="0"/>
        <w:jc w:val="center"/>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第九章 异议处理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 w:hAnsi="仿宋" w:eastAsia="仿宋" w:cs="仿宋"/>
          <w:b/>
          <w:bCs w:val="0"/>
          <w:color w:val="auto"/>
          <w:kern w:val="2"/>
          <w:sz w:val="32"/>
          <w:szCs w:val="32"/>
          <w:lang w:val="en-US" w:eastAsia="zh-CN" w:bidi="ar"/>
        </w:rPr>
      </w:pPr>
      <w:r>
        <w:rPr>
          <w:rFonts w:hint="eastAsia" w:ascii="仿宋" w:hAnsi="仿宋" w:eastAsia="仿宋" w:cs="仿宋"/>
          <w:b/>
          <w:bCs w:val="0"/>
          <w:color w:val="auto"/>
          <w:kern w:val="2"/>
          <w:sz w:val="32"/>
          <w:szCs w:val="32"/>
          <w:lang w:val="en-US" w:eastAsia="zh-CN" w:bidi="ar"/>
        </w:rPr>
        <w:t>第三十六条【异议处理单位】</w:t>
      </w:r>
      <w:r>
        <w:rPr>
          <w:rFonts w:hint="eastAsia" w:ascii="仿宋" w:hAnsi="仿宋" w:eastAsia="仿宋" w:cs="仿宋"/>
          <w:b w:val="0"/>
          <w:bCs w:val="0"/>
          <w:color w:val="auto"/>
          <w:sz w:val="32"/>
          <w:szCs w:val="32"/>
          <w:lang w:val="en-US" w:eastAsia="zh-CN"/>
        </w:rPr>
        <w:t>医疗卫生信用信息提供单位负责异议处理的受理、材料审查、情况核查、作出决定、报送决定等工作。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val="0"/>
          <w:color w:val="auto"/>
          <w:kern w:val="2"/>
          <w:sz w:val="32"/>
          <w:szCs w:val="32"/>
          <w:lang w:val="en-US" w:eastAsia="zh-CN" w:bidi="ar"/>
        </w:rPr>
        <w:t>第三十七条【异议申请】</w:t>
      </w:r>
      <w:r>
        <w:rPr>
          <w:rFonts w:hint="eastAsia" w:ascii="仿宋" w:hAnsi="仿宋" w:eastAsia="仿宋" w:cs="仿宋"/>
          <w:b w:val="0"/>
          <w:bCs w:val="0"/>
          <w:color w:val="auto"/>
          <w:sz w:val="32"/>
          <w:szCs w:val="32"/>
          <w:lang w:val="en-US" w:eastAsia="zh-CN"/>
        </w:rPr>
        <w:t>信用主体认为其医疗卫生信用信息存在下列情形之一的，可以向各级卫生健康行政部门提出异议申请：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（一）信息与事实不符，存在关键信息记载错误或者遗漏；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（二）信息超过规定期限仍在披露；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（三）不符合严重失信名单条件而被列入严重失信名单或者应当移出未被移出严重失信名单；</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1"/>
        <w:rPr>
          <w:rFonts w:hint="eastAsia" w:ascii="仿宋" w:hAnsi="仿宋" w:eastAsia="仿宋" w:cs="仿宋"/>
          <w:b/>
          <w:bCs w:val="0"/>
          <w:color w:val="auto"/>
          <w:kern w:val="2"/>
          <w:sz w:val="32"/>
          <w:szCs w:val="32"/>
          <w:lang w:val="en-US" w:eastAsia="zh-CN" w:bidi="ar"/>
        </w:rPr>
      </w:pPr>
      <w:r>
        <w:rPr>
          <w:rFonts w:hint="eastAsia" w:ascii="仿宋" w:hAnsi="仿宋" w:eastAsia="仿宋" w:cs="仿宋"/>
          <w:b w:val="0"/>
          <w:bCs w:val="0"/>
          <w:color w:val="auto"/>
          <w:sz w:val="32"/>
          <w:szCs w:val="32"/>
          <w:lang w:val="en-US" w:eastAsia="zh-CN"/>
        </w:rPr>
        <w:t>（四）其他法律法规规定可以提出异议申请的情形。</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Cs/>
          <w:color w:val="auto"/>
          <w:sz w:val="32"/>
          <w:szCs w:val="32"/>
          <w:lang w:val="en-US" w:eastAsia="zh-CN" w:bidi="ar"/>
        </w:rPr>
      </w:pPr>
      <w:r>
        <w:rPr>
          <w:rFonts w:hint="eastAsia" w:ascii="仿宋" w:hAnsi="仿宋" w:eastAsia="仿宋" w:cs="仿宋"/>
          <w:b/>
          <w:bCs w:val="0"/>
          <w:color w:val="auto"/>
          <w:kern w:val="2"/>
          <w:sz w:val="32"/>
          <w:szCs w:val="32"/>
          <w:lang w:val="en-US" w:eastAsia="zh-CN" w:bidi="ar"/>
        </w:rPr>
        <w:t>第三十八条【异议受理】</w:t>
      </w:r>
      <w:r>
        <w:rPr>
          <w:rFonts w:hint="eastAsia" w:ascii="仿宋" w:hAnsi="仿宋" w:eastAsia="仿宋" w:cs="仿宋"/>
          <w:bCs/>
          <w:color w:val="auto"/>
          <w:sz w:val="32"/>
          <w:szCs w:val="32"/>
          <w:lang w:val="en-US" w:eastAsia="zh-CN" w:bidi="ar"/>
        </w:rPr>
        <w:t>申请人通过“信用中国（海南）”网站、省卫健委官方网站或书面向信用平台运行机构提出异议处理申请。</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1"/>
        <w:rPr>
          <w:rFonts w:hint="eastAsia" w:ascii="仿宋" w:hAnsi="仿宋" w:eastAsia="仿宋" w:cs="仿宋"/>
          <w:bCs/>
          <w:color w:val="auto"/>
          <w:sz w:val="32"/>
          <w:szCs w:val="32"/>
          <w:lang w:val="en-US" w:eastAsia="zh-CN" w:bidi="ar"/>
        </w:rPr>
      </w:pPr>
      <w:r>
        <w:rPr>
          <w:rFonts w:hint="eastAsia" w:ascii="仿宋" w:hAnsi="仿宋" w:eastAsia="仿宋" w:cs="仿宋"/>
          <w:bCs/>
          <w:color w:val="auto"/>
          <w:sz w:val="32"/>
          <w:szCs w:val="32"/>
          <w:lang w:val="en-US" w:eastAsia="zh-CN" w:bidi="ar"/>
        </w:rPr>
        <w:t>信用平台运行机构收到异议申请后进行初审，异议申请事项属于信用平台运行机构更正范围的，应自收到异议申请3个工作日内依法依规作出更正，将处理结果告知申请人；属于信用信息提供单位更正范围的，信用平台运行机构在2个工作日内将异议申请推送给相应的信用信息提供单位。</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1"/>
        <w:rPr>
          <w:rFonts w:hint="eastAsia" w:ascii="仿宋" w:hAnsi="仿宋" w:eastAsia="仿宋" w:cs="仿宋"/>
          <w:bCs/>
          <w:color w:val="auto"/>
          <w:kern w:val="2"/>
          <w:sz w:val="32"/>
          <w:szCs w:val="32"/>
          <w:lang w:val="en-US" w:eastAsia="zh-CN" w:bidi="ar"/>
        </w:rPr>
      </w:pPr>
      <w:r>
        <w:rPr>
          <w:rFonts w:hint="eastAsia" w:ascii="仿宋" w:hAnsi="仿宋" w:eastAsia="仿宋" w:cs="仿宋"/>
          <w:bCs/>
          <w:color w:val="auto"/>
          <w:sz w:val="32"/>
          <w:szCs w:val="32"/>
          <w:lang w:val="en-US" w:eastAsia="zh-CN" w:bidi="ar"/>
        </w:rPr>
        <w:t>信用信息提供单位收到异议申请后3个工作日内对异议申请进行审核，作出是否受理的决定，对不予受理的应说明理由。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 w:hAnsi="仿宋" w:eastAsia="仿宋" w:cs="仿宋"/>
          <w:bCs/>
          <w:color w:val="auto"/>
          <w:sz w:val="32"/>
          <w:szCs w:val="32"/>
          <w:lang w:val="en-US" w:eastAsia="zh-CN" w:bidi="ar"/>
        </w:rPr>
      </w:pPr>
      <w:r>
        <w:rPr>
          <w:rFonts w:hint="eastAsia" w:ascii="仿宋" w:hAnsi="仿宋" w:eastAsia="仿宋" w:cs="仿宋"/>
          <w:b/>
          <w:bCs w:val="0"/>
          <w:color w:val="auto"/>
          <w:kern w:val="2"/>
          <w:sz w:val="32"/>
          <w:szCs w:val="32"/>
          <w:lang w:val="en-US" w:eastAsia="zh-CN" w:bidi="ar"/>
        </w:rPr>
        <w:t>第三十九条【异议信息修改】</w:t>
      </w:r>
      <w:r>
        <w:rPr>
          <w:rFonts w:hint="eastAsia" w:ascii="仿宋" w:hAnsi="仿宋" w:eastAsia="仿宋" w:cs="仿宋"/>
          <w:b w:val="0"/>
          <w:bCs w:val="0"/>
          <w:color w:val="auto"/>
          <w:sz w:val="32"/>
          <w:szCs w:val="32"/>
          <w:lang w:val="en-US" w:eastAsia="zh-CN"/>
        </w:rPr>
        <w:t>发现信用信息错误、失效或者发生变更的，信用信息提供单位应当在3个工作日内进行修改，并向省卫生健康信用信息系统和同级公共信用信息平台提供修改后的信息。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val="0"/>
          <w:color w:val="auto"/>
          <w:sz w:val="32"/>
          <w:szCs w:val="32"/>
          <w:lang w:val="en-US" w:eastAsia="zh-CN" w:bidi="ar"/>
        </w:rPr>
        <w:t>第四十条【异议处理】</w:t>
      </w:r>
      <w:r>
        <w:rPr>
          <w:rFonts w:hint="eastAsia" w:ascii="仿宋" w:hAnsi="仿宋" w:eastAsia="仿宋" w:cs="仿宋"/>
          <w:b w:val="0"/>
          <w:bCs w:val="0"/>
          <w:color w:val="auto"/>
          <w:sz w:val="32"/>
          <w:szCs w:val="32"/>
          <w:lang w:val="en-US" w:eastAsia="zh-CN"/>
        </w:rPr>
        <w:t>符合异议申请条件且属于信用信息提供单位责任的，信用信息提供单位应尽快调查核实，并在7个工作日内将处理决定和异议处理后的信用信息反馈至省信用平台运行机构。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情况复杂需要延期的，经信用信息提供单位负责人批准，可延长7个工作日。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 w:hAnsi="仿宋" w:eastAsia="仿宋" w:cs="仿宋"/>
          <w:bCs/>
          <w:color w:val="auto"/>
          <w:sz w:val="32"/>
          <w:szCs w:val="32"/>
          <w:lang w:val="en-US" w:eastAsia="zh-CN" w:bidi="ar"/>
        </w:rPr>
      </w:pPr>
      <w:r>
        <w:rPr>
          <w:rFonts w:hint="eastAsia" w:ascii="仿宋" w:hAnsi="仿宋" w:eastAsia="仿宋" w:cs="仿宋"/>
          <w:b w:val="0"/>
          <w:bCs w:val="0"/>
          <w:color w:val="auto"/>
          <w:sz w:val="32"/>
          <w:szCs w:val="32"/>
          <w:lang w:val="en-US" w:eastAsia="zh-CN"/>
        </w:rPr>
        <w:t>信用平台运行机构在收到信用信息提供单位处理决定2个工作日内对异议处理决定进行复核，作出维持、修改或删除公示的决定，并将处理结果告知申请人并说明理由。</w:t>
      </w:r>
    </w:p>
    <w:p>
      <w:pPr>
        <w:pStyle w:val="2"/>
        <w:keepNext/>
        <w:keepLines/>
        <w:pageBreakBefore w:val="0"/>
        <w:widowControl w:val="0"/>
        <w:kinsoku/>
        <w:wordWrap/>
        <w:overflowPunct/>
        <w:topLinePunct w:val="0"/>
        <w:autoSpaceDE/>
        <w:autoSpaceDN w:val="0"/>
        <w:bidi w:val="0"/>
        <w:adjustRightInd/>
        <w:snapToGrid/>
        <w:spacing w:before="157" w:beforeLines="50" w:beforeAutospacing="0" w:after="157" w:afterLines="50" w:afterAutospacing="0" w:line="560" w:lineRule="exact"/>
        <w:ind w:left="0" w:leftChars="0" w:firstLine="0" w:firstLineChars="0"/>
        <w:jc w:val="center"/>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第十章 信用修复</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 w:val="0"/>
          <w:bCs/>
          <w:color w:val="auto"/>
          <w:sz w:val="32"/>
          <w:szCs w:val="32"/>
          <w:lang w:val="en-US" w:eastAsia="zh-CN" w:bidi="ar"/>
        </w:rPr>
      </w:pPr>
      <w:r>
        <w:rPr>
          <w:rFonts w:hint="eastAsia" w:ascii="仿宋" w:hAnsi="仿宋" w:eastAsia="仿宋" w:cs="仿宋"/>
          <w:b/>
          <w:bCs w:val="0"/>
          <w:color w:val="auto"/>
          <w:sz w:val="32"/>
          <w:szCs w:val="32"/>
          <w:lang w:val="en-US" w:eastAsia="zh-CN" w:bidi="ar"/>
        </w:rPr>
        <w:t>第四十一条【修复要求】</w:t>
      </w:r>
      <w:r>
        <w:rPr>
          <w:rFonts w:hint="eastAsia" w:ascii="仿宋" w:hAnsi="仿宋" w:eastAsia="仿宋" w:cs="仿宋"/>
          <w:bCs/>
          <w:color w:val="auto"/>
          <w:sz w:val="32"/>
          <w:szCs w:val="20"/>
          <w:lang w:val="en-US" w:eastAsia="zh-CN" w:bidi="ar"/>
        </w:rPr>
        <w:t>省卫健委</w:t>
      </w:r>
      <w:r>
        <w:rPr>
          <w:rFonts w:hint="eastAsia" w:ascii="仿宋" w:hAnsi="仿宋" w:eastAsia="仿宋" w:cs="仿宋"/>
          <w:bCs/>
          <w:color w:val="auto"/>
          <w:sz w:val="32"/>
          <w:szCs w:val="20"/>
          <w:lang w:bidi="ar"/>
        </w:rPr>
        <w:t>制定</w:t>
      </w:r>
      <w:r>
        <w:rPr>
          <w:rFonts w:hint="eastAsia" w:ascii="仿宋" w:hAnsi="仿宋" w:eastAsia="仿宋" w:cs="仿宋"/>
          <w:b w:val="0"/>
          <w:bCs w:val="0"/>
          <w:color w:val="auto"/>
          <w:sz w:val="32"/>
          <w:szCs w:val="32"/>
          <w:lang w:val="en-US" w:eastAsia="zh-CN"/>
        </w:rPr>
        <w:t>医疗卫生</w:t>
      </w:r>
      <w:r>
        <w:rPr>
          <w:rFonts w:hint="eastAsia" w:ascii="仿宋" w:hAnsi="仿宋" w:eastAsia="仿宋" w:cs="仿宋"/>
          <w:bCs/>
          <w:color w:val="auto"/>
          <w:sz w:val="32"/>
          <w:szCs w:val="20"/>
          <w:lang w:bidi="ar"/>
        </w:rPr>
        <w:t>信用修复规</w:t>
      </w:r>
      <w:r>
        <w:rPr>
          <w:rFonts w:hint="eastAsia" w:ascii="仿宋" w:hAnsi="仿宋" w:eastAsia="仿宋" w:cs="仿宋"/>
          <w:b w:val="0"/>
          <w:bCs/>
          <w:color w:val="auto"/>
          <w:sz w:val="32"/>
          <w:szCs w:val="20"/>
          <w:lang w:bidi="ar"/>
        </w:rPr>
        <w:t>定</w:t>
      </w:r>
      <w:r>
        <w:rPr>
          <w:rFonts w:hint="eastAsia" w:ascii="仿宋" w:hAnsi="仿宋" w:eastAsia="仿宋" w:cs="仿宋"/>
          <w:b w:val="0"/>
          <w:bCs/>
          <w:color w:val="auto"/>
          <w:sz w:val="32"/>
          <w:szCs w:val="20"/>
          <w:lang w:eastAsia="zh-CN" w:bidi="ar"/>
        </w:rPr>
        <w:t>，</w:t>
      </w:r>
      <w:r>
        <w:rPr>
          <w:rFonts w:hint="eastAsia" w:ascii="仿宋" w:hAnsi="仿宋" w:eastAsia="仿宋" w:cs="仿宋"/>
          <w:b w:val="0"/>
          <w:bCs/>
          <w:color w:val="auto"/>
          <w:sz w:val="32"/>
          <w:szCs w:val="32"/>
          <w:lang w:val="en-US" w:eastAsia="zh-CN"/>
        </w:rPr>
        <w:t>建立有利于失信主体自我纠错、主动自新的信用修复工作机制。</w:t>
      </w:r>
      <w:r>
        <w:rPr>
          <w:rFonts w:hint="eastAsia" w:ascii="仿宋" w:hAnsi="仿宋" w:eastAsia="仿宋" w:cs="仿宋"/>
          <w:b w:val="0"/>
          <w:bCs/>
          <w:color w:val="auto"/>
          <w:sz w:val="32"/>
          <w:szCs w:val="20"/>
          <w:lang w:bidi="ar"/>
        </w:rPr>
        <w:t>各级</w:t>
      </w:r>
      <w:r>
        <w:rPr>
          <w:rFonts w:hint="eastAsia" w:ascii="仿宋" w:hAnsi="仿宋" w:eastAsia="仿宋" w:cs="仿宋"/>
          <w:b w:val="0"/>
          <w:bCs/>
          <w:color w:val="auto"/>
          <w:sz w:val="32"/>
          <w:szCs w:val="20"/>
          <w:lang w:val="en-US" w:eastAsia="zh-CN" w:bidi="ar"/>
        </w:rPr>
        <w:t>卫生健康行政部门</w:t>
      </w:r>
      <w:r>
        <w:rPr>
          <w:rFonts w:hint="eastAsia" w:ascii="仿宋" w:hAnsi="仿宋" w:eastAsia="仿宋" w:cs="仿宋"/>
          <w:b w:val="0"/>
          <w:bCs/>
          <w:color w:val="auto"/>
          <w:sz w:val="32"/>
          <w:szCs w:val="20"/>
          <w:lang w:bidi="ar"/>
        </w:rPr>
        <w:t>按照“谁认定、谁修复”的原则开展信用修复工作。失信主体已按要求纠正失信行为、消除不良影响的，可申请信用修复。不得以任何形式向申请信用修复的主体收取费用。</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 w:val="0"/>
          <w:bCs/>
          <w:color w:val="auto"/>
          <w:sz w:val="32"/>
          <w:szCs w:val="32"/>
          <w:lang w:val="en-US" w:eastAsia="zh-CN" w:bidi="ar"/>
        </w:rPr>
      </w:pPr>
      <w:r>
        <w:rPr>
          <w:rFonts w:hint="eastAsia" w:ascii="仿宋" w:hAnsi="仿宋" w:eastAsia="仿宋" w:cs="仿宋"/>
          <w:b/>
          <w:bCs w:val="0"/>
          <w:color w:val="auto"/>
          <w:sz w:val="32"/>
          <w:szCs w:val="32"/>
          <w:lang w:val="en-US" w:eastAsia="zh-CN" w:bidi="ar"/>
        </w:rPr>
        <w:t>第四十二条【修复程序】</w:t>
      </w:r>
      <w:r>
        <w:rPr>
          <w:rFonts w:hint="eastAsia" w:ascii="仿宋" w:hAnsi="仿宋" w:eastAsia="仿宋" w:cs="仿宋"/>
          <w:b w:val="0"/>
          <w:bCs/>
          <w:color w:val="auto"/>
          <w:sz w:val="32"/>
          <w:szCs w:val="32"/>
          <w:lang w:val="en-US" w:eastAsia="zh-CN" w:bidi="ar"/>
        </w:rPr>
        <w:t>信用修复的主要程序包括:</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1"/>
        <w:rPr>
          <w:rFonts w:hint="eastAsia" w:ascii="仿宋" w:hAnsi="仿宋" w:eastAsia="仿宋" w:cs="仿宋"/>
          <w:b w:val="0"/>
          <w:bCs/>
          <w:color w:val="auto"/>
          <w:sz w:val="32"/>
          <w:szCs w:val="32"/>
          <w:lang w:val="en-US" w:eastAsia="zh-CN" w:bidi="ar"/>
        </w:rPr>
      </w:pPr>
      <w:r>
        <w:rPr>
          <w:rFonts w:hint="eastAsia" w:ascii="仿宋" w:hAnsi="仿宋" w:eastAsia="仿宋" w:cs="仿宋"/>
          <w:b w:val="0"/>
          <w:bCs/>
          <w:color w:val="auto"/>
          <w:sz w:val="32"/>
          <w:szCs w:val="32"/>
          <w:lang w:val="en-US" w:eastAsia="zh-CN" w:bidi="ar"/>
        </w:rPr>
        <w:t>（一）提出申请。申请人自被列入严重失信主体名单或被认定发生一般失信行为已经达到最短公示期,且按照有关规定履行相关义务,完成整改要求的,可向认定部门（单位）提交《信用修复申请书》和《信用修复承诺书》。</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1"/>
        <w:rPr>
          <w:rFonts w:hint="eastAsia" w:ascii="仿宋" w:hAnsi="仿宋" w:eastAsia="仿宋" w:cs="仿宋"/>
          <w:b w:val="0"/>
          <w:bCs/>
          <w:color w:val="auto"/>
          <w:sz w:val="32"/>
          <w:szCs w:val="32"/>
          <w:lang w:val="en-US" w:eastAsia="zh-CN" w:bidi="ar"/>
        </w:rPr>
      </w:pPr>
      <w:r>
        <w:rPr>
          <w:rFonts w:hint="eastAsia" w:ascii="仿宋" w:hAnsi="仿宋" w:eastAsia="仿宋" w:cs="仿宋"/>
          <w:b w:val="0"/>
          <w:bCs/>
          <w:color w:val="auto"/>
          <w:sz w:val="32"/>
          <w:szCs w:val="32"/>
          <w:lang w:val="en-US" w:eastAsia="zh-CN" w:bidi="ar"/>
        </w:rPr>
        <w:t>（二）受理申请。认定部门（单位）在规定时限内对申请材料进行初步审核。不予受理的书面告知理由。</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2"/>
        <w:rPr>
          <w:rFonts w:hint="eastAsia" w:ascii="仿宋" w:hAnsi="仿宋" w:eastAsia="仿宋" w:cs="仿宋"/>
          <w:b w:val="0"/>
          <w:bCs/>
          <w:color w:val="auto"/>
          <w:sz w:val="32"/>
          <w:szCs w:val="32"/>
          <w:lang w:val="en-US" w:eastAsia="zh-CN" w:bidi="ar"/>
        </w:rPr>
      </w:pPr>
      <w:r>
        <w:rPr>
          <w:rFonts w:hint="eastAsia" w:ascii="仿宋" w:hAnsi="仿宋" w:eastAsia="仿宋" w:cs="仿宋"/>
          <w:b w:val="0"/>
          <w:bCs/>
          <w:color w:val="auto"/>
          <w:sz w:val="32"/>
          <w:szCs w:val="32"/>
          <w:lang w:val="en-US" w:eastAsia="zh-CN" w:bidi="ar"/>
        </w:rPr>
        <w:t>（三）开展核查。认定部门（单位）在规定时限内对申请人失信行为整改情况进行核查。</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1"/>
        <w:rPr>
          <w:rFonts w:hint="eastAsia" w:ascii="仿宋" w:hAnsi="仿宋" w:eastAsia="仿宋" w:cs="仿宋"/>
          <w:b w:val="0"/>
          <w:bCs/>
          <w:color w:val="auto"/>
          <w:sz w:val="32"/>
          <w:szCs w:val="32"/>
          <w:lang w:val="en-US" w:eastAsia="zh-CN" w:bidi="ar"/>
        </w:rPr>
      </w:pPr>
      <w:r>
        <w:rPr>
          <w:rFonts w:hint="eastAsia" w:ascii="仿宋" w:hAnsi="仿宋" w:eastAsia="仿宋" w:cs="仿宋"/>
          <w:b w:val="0"/>
          <w:bCs/>
          <w:color w:val="auto"/>
          <w:sz w:val="32"/>
          <w:szCs w:val="32"/>
          <w:lang w:val="en-US" w:eastAsia="zh-CN" w:bidi="ar"/>
        </w:rPr>
        <w:t>（四）修复公示。对于符合信用修复条件的,确认信用修复,并在</w:t>
      </w:r>
      <w:r>
        <w:rPr>
          <w:rFonts w:hint="eastAsia" w:ascii="仿宋" w:hAnsi="仿宋" w:eastAsia="仿宋" w:cs="仿宋"/>
          <w:bCs/>
          <w:color w:val="auto"/>
          <w:sz w:val="32"/>
          <w:szCs w:val="32"/>
          <w:lang w:val="en-US" w:eastAsia="zh-CN" w:bidi="ar"/>
        </w:rPr>
        <w:t>“信用中国（海南）”网站、省卫健委官方网站</w:t>
      </w:r>
      <w:r>
        <w:rPr>
          <w:rFonts w:hint="eastAsia" w:ascii="仿宋" w:hAnsi="仿宋" w:eastAsia="仿宋" w:cs="仿宋"/>
          <w:b w:val="0"/>
          <w:bCs/>
          <w:color w:val="auto"/>
          <w:sz w:val="32"/>
          <w:szCs w:val="32"/>
          <w:lang w:val="en-US" w:eastAsia="zh-CN" w:bidi="ar"/>
        </w:rPr>
        <w:t>进行公示,公示期限不少于5个工作日。</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1"/>
        <w:rPr>
          <w:rFonts w:hint="eastAsia" w:ascii="仿宋" w:hAnsi="仿宋" w:eastAsia="仿宋" w:cs="仿宋"/>
          <w:b w:val="0"/>
          <w:bCs/>
          <w:color w:val="auto"/>
          <w:sz w:val="32"/>
          <w:szCs w:val="32"/>
          <w:lang w:val="en-US" w:eastAsia="zh-CN" w:bidi="ar"/>
        </w:rPr>
      </w:pPr>
      <w:r>
        <w:rPr>
          <w:rFonts w:hint="eastAsia" w:ascii="仿宋" w:hAnsi="仿宋" w:eastAsia="仿宋" w:cs="仿宋"/>
          <w:b w:val="0"/>
          <w:bCs/>
          <w:color w:val="auto"/>
          <w:sz w:val="32"/>
          <w:szCs w:val="32"/>
          <w:lang w:val="en-US" w:eastAsia="zh-CN" w:bidi="ar"/>
        </w:rPr>
        <w:t>（五）实施修复。认定部门（单位）及时告知申请人信用修复处理结果。符合修复要求的,及时终止共享公开相关失信信息,移出严重失信主体名单,不再实施失信惩戒。</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1"/>
        <w:rPr>
          <w:rFonts w:hint="eastAsia" w:ascii="仿宋" w:hAnsi="仿宋" w:eastAsia="仿宋" w:cs="仿宋"/>
          <w:b w:val="0"/>
          <w:bCs/>
          <w:color w:val="auto"/>
          <w:sz w:val="32"/>
          <w:szCs w:val="32"/>
          <w:lang w:val="en-US" w:eastAsia="zh-CN" w:bidi="ar"/>
        </w:rPr>
      </w:pPr>
      <w:r>
        <w:rPr>
          <w:rFonts w:hint="eastAsia" w:ascii="仿宋" w:hAnsi="仿宋" w:eastAsia="仿宋" w:cs="仿宋"/>
          <w:b/>
          <w:bCs w:val="0"/>
          <w:color w:val="auto"/>
          <w:sz w:val="32"/>
          <w:szCs w:val="32"/>
          <w:lang w:val="en-US" w:eastAsia="zh-CN" w:bidi="ar"/>
        </w:rPr>
        <w:t>第四十三条【不予修复情形】</w:t>
      </w:r>
      <w:r>
        <w:rPr>
          <w:rFonts w:hint="eastAsia" w:ascii="仿宋" w:hAnsi="仿宋" w:eastAsia="仿宋" w:cs="仿宋"/>
          <w:b w:val="0"/>
          <w:bCs/>
          <w:color w:val="auto"/>
          <w:sz w:val="32"/>
          <w:szCs w:val="32"/>
          <w:lang w:val="en-US" w:eastAsia="zh-CN" w:bidi="ar"/>
        </w:rPr>
        <w:t>具有下列情形之一的,不得予以信用修复:</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2"/>
        <w:rPr>
          <w:rFonts w:hint="eastAsia" w:ascii="仿宋" w:hAnsi="仿宋" w:eastAsia="仿宋" w:cs="仿宋"/>
          <w:b w:val="0"/>
          <w:bCs/>
          <w:color w:val="auto"/>
          <w:sz w:val="32"/>
          <w:szCs w:val="32"/>
          <w:lang w:val="en-US" w:eastAsia="zh-CN" w:bidi="ar"/>
        </w:rPr>
      </w:pPr>
      <w:r>
        <w:rPr>
          <w:rFonts w:hint="eastAsia" w:ascii="仿宋" w:hAnsi="仿宋" w:eastAsia="仿宋" w:cs="仿宋"/>
          <w:b w:val="0"/>
          <w:bCs/>
          <w:color w:val="auto"/>
          <w:sz w:val="32"/>
          <w:szCs w:val="32"/>
          <w:lang w:val="en-US" w:eastAsia="zh-CN" w:bidi="ar"/>
        </w:rPr>
        <w:t>（一）在最短公示期三个月内的行政处罚信息,距离上一次信用修复时间不到1年的;</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2"/>
        <w:rPr>
          <w:rFonts w:hint="eastAsia" w:ascii="仿宋" w:hAnsi="仿宋" w:eastAsia="仿宋" w:cs="仿宋"/>
          <w:b w:val="0"/>
          <w:bCs/>
          <w:color w:val="auto"/>
          <w:sz w:val="32"/>
          <w:szCs w:val="32"/>
          <w:lang w:val="en-US" w:eastAsia="zh-CN" w:bidi="ar"/>
        </w:rPr>
      </w:pPr>
      <w:r>
        <w:rPr>
          <w:rFonts w:hint="eastAsia" w:ascii="仿宋" w:hAnsi="仿宋" w:eastAsia="仿宋" w:cs="仿宋"/>
          <w:b w:val="0"/>
          <w:bCs/>
          <w:color w:val="auto"/>
          <w:sz w:val="32"/>
          <w:szCs w:val="32"/>
          <w:lang w:val="en-US" w:eastAsia="zh-CN" w:bidi="ar"/>
        </w:rPr>
        <w:t>（二）整改不到位或被认定为失信期间存在其他失信行为的;</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2"/>
        <w:rPr>
          <w:rFonts w:hint="eastAsia" w:ascii="仿宋" w:hAnsi="仿宋" w:eastAsia="仿宋" w:cs="仿宋"/>
          <w:b w:val="0"/>
          <w:bCs/>
          <w:color w:val="auto"/>
          <w:sz w:val="32"/>
          <w:szCs w:val="32"/>
          <w:lang w:val="en-US" w:eastAsia="zh-CN" w:bidi="ar"/>
        </w:rPr>
      </w:pPr>
      <w:r>
        <w:rPr>
          <w:rFonts w:hint="eastAsia" w:ascii="仿宋" w:hAnsi="仿宋" w:eastAsia="仿宋" w:cs="仿宋"/>
          <w:b w:val="0"/>
          <w:bCs/>
          <w:color w:val="auto"/>
          <w:sz w:val="32"/>
          <w:szCs w:val="32"/>
          <w:lang w:val="en-US" w:eastAsia="zh-CN" w:bidi="ar"/>
        </w:rPr>
        <w:t>（三）无故不参加约谈的,或约谈事项不落实的;</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2"/>
        <w:rPr>
          <w:rFonts w:hint="eastAsia" w:ascii="仿宋" w:hAnsi="仿宋" w:eastAsia="仿宋" w:cs="仿宋"/>
          <w:b w:val="0"/>
          <w:bCs/>
          <w:color w:val="auto"/>
          <w:sz w:val="32"/>
          <w:szCs w:val="32"/>
          <w:lang w:val="en-US" w:eastAsia="zh-CN" w:bidi="ar"/>
        </w:rPr>
      </w:pPr>
      <w:r>
        <w:rPr>
          <w:rFonts w:hint="eastAsia" w:ascii="仿宋" w:hAnsi="仿宋" w:eastAsia="仿宋" w:cs="仿宋"/>
          <w:b w:val="0"/>
          <w:bCs/>
          <w:color w:val="auto"/>
          <w:sz w:val="32"/>
          <w:szCs w:val="32"/>
          <w:lang w:val="en-US" w:eastAsia="zh-CN" w:bidi="ar"/>
        </w:rPr>
        <w:t>（四）信用修复过程中存在弄虚作假、故意隐瞒事实的;</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2"/>
        <w:rPr>
          <w:rFonts w:hint="eastAsia" w:ascii="仿宋" w:hAnsi="仿宋" w:eastAsia="仿宋" w:cs="仿宋"/>
          <w:b w:val="0"/>
          <w:bCs/>
          <w:color w:val="auto"/>
          <w:sz w:val="32"/>
          <w:szCs w:val="32"/>
          <w:lang w:val="en-US" w:eastAsia="zh-CN" w:bidi="ar"/>
        </w:rPr>
      </w:pPr>
      <w:r>
        <w:rPr>
          <w:rFonts w:hint="eastAsia" w:ascii="仿宋" w:hAnsi="仿宋" w:eastAsia="仿宋" w:cs="仿宋"/>
          <w:b w:val="0"/>
          <w:bCs/>
          <w:color w:val="auto"/>
          <w:sz w:val="32"/>
          <w:szCs w:val="32"/>
          <w:lang w:val="en-US" w:eastAsia="zh-CN" w:bidi="ar"/>
        </w:rPr>
        <w:t>（五）法律、法规和党中央、国务院政策文件明确规定不可修复的。</w:t>
      </w:r>
    </w:p>
    <w:p>
      <w:pPr>
        <w:pStyle w:val="2"/>
        <w:keepNext/>
        <w:keepLines/>
        <w:pageBreakBefore w:val="0"/>
        <w:widowControl w:val="0"/>
        <w:kinsoku/>
        <w:wordWrap/>
        <w:overflowPunct/>
        <w:topLinePunct w:val="0"/>
        <w:autoSpaceDE/>
        <w:autoSpaceDN w:val="0"/>
        <w:bidi w:val="0"/>
        <w:adjustRightInd/>
        <w:snapToGrid/>
        <w:spacing w:before="157" w:beforeLines="50" w:beforeAutospacing="0" w:after="157" w:afterLines="50" w:afterAutospacing="0" w:line="560" w:lineRule="exact"/>
        <w:ind w:left="0" w:leftChars="0" w:firstLine="0" w:firstLineChars="0"/>
        <w:jc w:val="center"/>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第十一章 信用应用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 w:hAnsi="仿宋" w:eastAsia="仿宋" w:cs="仿宋"/>
          <w:b/>
          <w:bCs w:val="0"/>
          <w:color w:val="auto"/>
          <w:sz w:val="32"/>
          <w:szCs w:val="32"/>
          <w:lang w:val="en-US" w:eastAsia="zh-CN" w:bidi="ar"/>
        </w:rPr>
      </w:pPr>
      <w:r>
        <w:rPr>
          <w:rFonts w:hint="eastAsia" w:ascii="仿宋" w:hAnsi="仿宋" w:eastAsia="仿宋" w:cs="仿宋"/>
          <w:b/>
          <w:bCs w:val="0"/>
          <w:color w:val="auto"/>
          <w:sz w:val="32"/>
          <w:szCs w:val="32"/>
          <w:lang w:val="en-US" w:eastAsia="zh-CN" w:bidi="ar"/>
        </w:rPr>
        <w:t>第四十四条【评价结果应用】</w:t>
      </w:r>
      <w:r>
        <w:rPr>
          <w:rFonts w:hint="eastAsia" w:ascii="仿宋" w:hAnsi="仿宋" w:eastAsia="仿宋" w:cs="仿宋"/>
          <w:b w:val="0"/>
          <w:bCs w:val="0"/>
          <w:color w:val="auto"/>
          <w:sz w:val="32"/>
          <w:szCs w:val="32"/>
          <w:lang w:val="en-US" w:eastAsia="zh-CN"/>
        </w:rPr>
        <w:t>各级卫生健康行政部门将卫生健康信用评价结果共享给信用管理主管部门及相关职能部门开展联合奖惩，推动卫生健康信用评价结果在行政许可、采购招标、评先评优、信贷支持、资质等级评定、安排和拨付有关财政补贴资金等工作中广泛应用，促进信用主体主动提升信用等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val="0"/>
          <w:color w:val="auto"/>
          <w:sz w:val="32"/>
          <w:szCs w:val="32"/>
          <w:lang w:val="en-US" w:eastAsia="zh-CN" w:bidi="ar"/>
        </w:rPr>
        <w:t>第四十七条【信用互认】</w:t>
      </w:r>
      <w:r>
        <w:rPr>
          <w:rFonts w:hint="eastAsia" w:ascii="仿宋" w:hAnsi="仿宋" w:eastAsia="仿宋" w:cs="仿宋"/>
          <w:b w:val="0"/>
          <w:bCs w:val="0"/>
          <w:color w:val="auto"/>
          <w:sz w:val="32"/>
          <w:szCs w:val="32"/>
          <w:lang w:val="en-US" w:eastAsia="zh-CN"/>
        </w:rPr>
        <w:t>省卫健委建立信用触发反馈机制，加强对守信行为的联合激励和失信行为的联合惩戒。省卫健委建立医疗卫生领域的信用联合奖惩对象认定名单，为其他部门对信用主体采取联合奖惩措施提供参考。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1"/>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各级卫生健康管理部门加强联系本地发展改革委员会、大数据管理、医疗保障、药品监督管理、人力资源社会保障、市场监督管理、税务等部门，建立信用信息共享机制，推动医疗卫生信用管理与其他社会信用主体联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第四十八条【信用查验】</w:t>
      </w:r>
      <w:r>
        <w:rPr>
          <w:rFonts w:hint="eastAsia" w:ascii="仿宋" w:hAnsi="仿宋" w:eastAsia="仿宋" w:cs="仿宋"/>
          <w:b w:val="0"/>
          <w:bCs w:val="0"/>
          <w:color w:val="auto"/>
          <w:sz w:val="32"/>
          <w:szCs w:val="32"/>
          <w:lang w:val="en-US" w:eastAsia="zh-CN"/>
        </w:rPr>
        <w:t>省卫健委建立信用查验机制，编制使用信用记录事项清单，将信用查验嵌入到各办事流程和相关业务系统，对于涉及经济利益的事项，充分发挥市场化信用报告作用，完善对监管、服务和交易对象的信用查验。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 w:hAnsi="仿宋" w:eastAsia="仿宋" w:cs="仿宋"/>
          <w:bCs/>
          <w:color w:val="auto"/>
          <w:sz w:val="32"/>
          <w:szCs w:val="32"/>
          <w:lang w:val="en-US" w:eastAsia="zh-CN" w:bidi="ar"/>
        </w:rPr>
      </w:pPr>
      <w:r>
        <w:rPr>
          <w:rFonts w:hint="eastAsia" w:ascii="仿宋" w:hAnsi="仿宋" w:eastAsia="仿宋" w:cs="仿宋"/>
          <w:b/>
          <w:bCs/>
          <w:color w:val="auto"/>
          <w:sz w:val="32"/>
          <w:szCs w:val="32"/>
          <w:lang w:val="en-US" w:eastAsia="zh-CN"/>
        </w:rPr>
        <w:t>第四十九条【“信用+”创新应用】</w:t>
      </w:r>
      <w:r>
        <w:rPr>
          <w:rFonts w:hint="eastAsia" w:ascii="仿宋" w:hAnsi="仿宋" w:eastAsia="仿宋" w:cs="仿宋"/>
          <w:b w:val="0"/>
          <w:bCs w:val="0"/>
          <w:color w:val="auto"/>
          <w:sz w:val="32"/>
          <w:szCs w:val="32"/>
          <w:lang w:val="en-US" w:eastAsia="zh-CN"/>
        </w:rPr>
        <w:t>鼓励部分基础条件较好、监管需求迫切的各级卫生健康行政部门，结合行业信用评价和分级分类监管，探索建立医疗卫生领域信用信息与其他领域的共享整合机制，在医师诊疗、行政审批、信易医等领域开展“信易+”创新应用，逐步开启信用应用工作。</w:t>
      </w:r>
    </w:p>
    <w:p>
      <w:pPr>
        <w:pStyle w:val="2"/>
        <w:keepNext/>
        <w:keepLines/>
        <w:pageBreakBefore w:val="0"/>
        <w:widowControl w:val="0"/>
        <w:kinsoku/>
        <w:wordWrap/>
        <w:overflowPunct/>
        <w:topLinePunct w:val="0"/>
        <w:autoSpaceDE/>
        <w:autoSpaceDN w:val="0"/>
        <w:bidi w:val="0"/>
        <w:adjustRightInd/>
        <w:snapToGrid/>
        <w:spacing w:before="157" w:beforeLines="50" w:beforeAutospacing="0" w:after="157" w:afterLines="50" w:afterAutospacing="0" w:line="560" w:lineRule="exact"/>
        <w:ind w:left="0" w:leftChars="0" w:firstLine="0" w:firstLineChars="0"/>
        <w:jc w:val="center"/>
        <w:textAlignment w:val="auto"/>
        <w:rPr>
          <w:rFonts w:hint="default"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第十二章 监督管理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val="0"/>
          <w:color w:val="auto"/>
          <w:sz w:val="32"/>
          <w:szCs w:val="32"/>
          <w:lang w:val="en-US" w:eastAsia="zh-CN" w:bidi="ar"/>
        </w:rPr>
        <w:t>第五十条【监督检查】</w:t>
      </w:r>
      <w:r>
        <w:rPr>
          <w:rFonts w:hint="eastAsia" w:ascii="仿宋" w:hAnsi="仿宋" w:eastAsia="仿宋" w:cs="仿宋"/>
          <w:b w:val="0"/>
          <w:bCs/>
          <w:color w:val="auto"/>
          <w:sz w:val="32"/>
          <w:szCs w:val="32"/>
          <w:lang w:val="en-US" w:eastAsia="zh-CN"/>
        </w:rPr>
        <w:t>建</w:t>
      </w:r>
      <w:r>
        <w:rPr>
          <w:rFonts w:hint="eastAsia" w:ascii="仿宋" w:hAnsi="仿宋" w:eastAsia="仿宋" w:cs="仿宋"/>
          <w:b w:val="0"/>
          <w:bCs w:val="0"/>
          <w:color w:val="auto"/>
          <w:sz w:val="32"/>
          <w:szCs w:val="32"/>
          <w:lang w:val="en-US" w:eastAsia="zh-CN"/>
        </w:rPr>
        <w:t>立信用信息归集和应用情况监督机制，组织定期编制信用信息归集、应用情况报告，将信息提供单位和信息使用单位的信用信息归集和应用情况作为督导工作的重要内容。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 w:hAnsi="仿宋" w:eastAsia="仿宋" w:cs="仿宋"/>
          <w:bCs/>
          <w:color w:val="auto"/>
          <w:sz w:val="32"/>
          <w:szCs w:val="32"/>
          <w:lang w:val="en-US" w:eastAsia="zh-CN" w:bidi="ar"/>
        </w:rPr>
      </w:pPr>
      <w:r>
        <w:rPr>
          <w:rFonts w:hint="eastAsia" w:ascii="仿宋" w:hAnsi="仿宋" w:eastAsia="仿宋" w:cs="仿宋"/>
          <w:b w:val="0"/>
          <w:bCs w:val="0"/>
          <w:color w:val="auto"/>
          <w:sz w:val="32"/>
          <w:szCs w:val="32"/>
          <w:lang w:val="en-US" w:eastAsia="zh-CN"/>
        </w:rPr>
        <w:t>健全信用联合激励惩戒的跟踪、监测、统计、评估机制并建立相应的督查、考核制度。对信用信息归集、共享和激励惩戒措施落实不力的部门和单位，进行通报和督促整改，切实把各项联合激励和联合惩戒措施落实到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 w:hAnsi="仿宋" w:eastAsia="仿宋" w:cs="仿宋"/>
          <w:bCs/>
          <w:color w:val="auto"/>
          <w:sz w:val="32"/>
          <w:szCs w:val="32"/>
          <w:lang w:val="en-US" w:eastAsia="zh-CN" w:bidi="ar"/>
        </w:rPr>
      </w:pPr>
      <w:r>
        <w:rPr>
          <w:rFonts w:hint="eastAsia" w:ascii="仿宋" w:hAnsi="仿宋" w:eastAsia="仿宋" w:cs="仿宋"/>
          <w:b/>
          <w:bCs w:val="0"/>
          <w:color w:val="auto"/>
          <w:sz w:val="32"/>
          <w:szCs w:val="32"/>
          <w:lang w:val="en-US" w:eastAsia="zh-CN" w:bidi="ar"/>
        </w:rPr>
        <w:t>第五十一条【信息安全】</w:t>
      </w:r>
      <w:r>
        <w:rPr>
          <w:rFonts w:hint="eastAsia" w:ascii="仿宋" w:hAnsi="仿宋" w:eastAsia="仿宋" w:cs="仿宋"/>
          <w:b w:val="0"/>
          <w:bCs w:val="0"/>
          <w:color w:val="auto"/>
          <w:sz w:val="32"/>
          <w:szCs w:val="32"/>
          <w:lang w:val="en-US" w:eastAsia="zh-CN"/>
        </w:rPr>
        <w:t>信用平台建设维护单位和信用信息提供单位应建立健全医疗卫生领域信用信息的安全管理制度、日常管理和应急处理制度,采取安全保密措施,保障信用信息归集、查询、披露和应用全过程的安全。</w:t>
      </w:r>
    </w:p>
    <w:p>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leftChars="0" w:firstLine="643" w:firstLineChars="200"/>
        <w:jc w:val="both"/>
        <w:textAlignment w:val="auto"/>
        <w:rPr>
          <w:rFonts w:hint="eastAsia" w:ascii="仿宋" w:hAnsi="仿宋" w:eastAsia="仿宋" w:cs="仿宋"/>
          <w:bCs/>
          <w:color w:val="auto"/>
          <w:sz w:val="32"/>
          <w:szCs w:val="32"/>
          <w:lang w:val="en-US" w:eastAsia="zh-CN" w:bidi="ar"/>
        </w:rPr>
      </w:pPr>
      <w:r>
        <w:rPr>
          <w:rFonts w:hint="eastAsia" w:ascii="仿宋" w:hAnsi="仿宋" w:eastAsia="仿宋" w:cs="仿宋"/>
          <w:b/>
          <w:bCs w:val="0"/>
          <w:color w:val="auto"/>
          <w:sz w:val="32"/>
          <w:szCs w:val="32"/>
          <w:lang w:val="en-US" w:eastAsia="zh-CN" w:bidi="ar"/>
        </w:rPr>
        <w:t>第五十二条【主体权益保护】</w:t>
      </w:r>
      <w:r>
        <w:rPr>
          <w:rFonts w:hint="eastAsia" w:ascii="仿宋" w:hAnsi="仿宋" w:eastAsia="仿宋" w:cs="仿宋"/>
          <w:b w:val="0"/>
          <w:bCs w:val="0"/>
          <w:color w:val="auto"/>
          <w:sz w:val="32"/>
          <w:szCs w:val="32"/>
          <w:lang w:val="en-US" w:eastAsia="zh-CN"/>
        </w:rPr>
        <w:t>卫生健康行政部门和委托的机构</w:t>
      </w:r>
      <w:r>
        <w:rPr>
          <w:rFonts w:hint="eastAsia" w:ascii="仿宋" w:hAnsi="仿宋" w:eastAsia="仿宋" w:cs="仿宋"/>
          <w:bCs/>
          <w:color w:val="auto"/>
          <w:sz w:val="32"/>
          <w:szCs w:val="32"/>
          <w:lang w:val="en-US" w:eastAsia="zh-CN" w:bidi="ar"/>
        </w:rPr>
        <w:t>及其工作人员实施下列行为之一的，由法律、法规规定的相关主管部门或者纪检监察部门责令改正；情节严重的，依法给予处分；构成犯罪的，依法追究刑事责任。</w:t>
      </w:r>
    </w:p>
    <w:p>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bCs/>
          <w:color w:val="auto"/>
          <w:sz w:val="32"/>
          <w:szCs w:val="32"/>
          <w:lang w:val="en-US" w:eastAsia="zh-CN" w:bidi="ar"/>
        </w:rPr>
      </w:pPr>
      <w:r>
        <w:rPr>
          <w:rFonts w:hint="eastAsia" w:ascii="仿宋" w:hAnsi="仿宋" w:eastAsia="仿宋" w:cs="仿宋"/>
          <w:bCs/>
          <w:color w:val="auto"/>
          <w:sz w:val="32"/>
          <w:szCs w:val="32"/>
          <w:lang w:val="en-US" w:eastAsia="zh-CN" w:bidi="ar"/>
        </w:rPr>
        <w:t>（一）未按规定采集、归集、披露、共享、查询和应用社会信用信息或者未按规定受理信用异议处理；</w:t>
      </w:r>
    </w:p>
    <w:p>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bCs/>
          <w:color w:val="auto"/>
          <w:sz w:val="32"/>
          <w:szCs w:val="32"/>
          <w:lang w:val="en-US" w:eastAsia="zh-CN" w:bidi="ar"/>
        </w:rPr>
      </w:pPr>
      <w:r>
        <w:rPr>
          <w:rFonts w:hint="eastAsia" w:ascii="仿宋" w:hAnsi="仿宋" w:eastAsia="仿宋" w:cs="仿宋"/>
          <w:bCs/>
          <w:color w:val="auto"/>
          <w:sz w:val="32"/>
          <w:szCs w:val="32"/>
          <w:lang w:val="en-US" w:eastAsia="zh-CN" w:bidi="ar"/>
        </w:rPr>
        <w:t>（二）篡改、虚构、隐匿、违规删除社会信用信息；</w:t>
      </w:r>
    </w:p>
    <w:p>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bCs/>
          <w:color w:val="auto"/>
          <w:sz w:val="32"/>
          <w:szCs w:val="32"/>
          <w:lang w:val="en-US" w:eastAsia="zh-CN" w:bidi="ar"/>
        </w:rPr>
      </w:pPr>
      <w:r>
        <w:rPr>
          <w:rFonts w:hint="eastAsia" w:ascii="仿宋" w:hAnsi="仿宋" w:eastAsia="仿宋" w:cs="仿宋"/>
          <w:bCs/>
          <w:color w:val="auto"/>
          <w:sz w:val="32"/>
          <w:szCs w:val="32"/>
          <w:lang w:val="en-US" w:eastAsia="zh-CN" w:bidi="ar"/>
        </w:rPr>
        <w:t>（三）泄露未经授权公开的社会信用信息；</w:t>
      </w:r>
    </w:p>
    <w:p>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bCs/>
          <w:color w:val="auto"/>
          <w:sz w:val="32"/>
          <w:szCs w:val="32"/>
          <w:lang w:val="en-US" w:eastAsia="zh-CN" w:bidi="ar"/>
        </w:rPr>
      </w:pPr>
      <w:r>
        <w:rPr>
          <w:rFonts w:hint="eastAsia" w:ascii="仿宋" w:hAnsi="仿宋" w:eastAsia="仿宋" w:cs="仿宋"/>
          <w:bCs/>
          <w:color w:val="auto"/>
          <w:sz w:val="32"/>
          <w:szCs w:val="32"/>
          <w:lang w:val="en-US" w:eastAsia="zh-CN" w:bidi="ar"/>
        </w:rPr>
        <w:t>（四）泄露涉及国家秘密、商业秘密、个人隐私的社会信用信息；</w:t>
      </w:r>
    </w:p>
    <w:p>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bCs/>
          <w:color w:val="auto"/>
          <w:sz w:val="32"/>
          <w:szCs w:val="32"/>
          <w:lang w:val="en-US" w:eastAsia="zh-CN" w:bidi="ar"/>
        </w:rPr>
      </w:pPr>
      <w:r>
        <w:rPr>
          <w:rFonts w:hint="eastAsia" w:ascii="仿宋" w:hAnsi="仿宋" w:eastAsia="仿宋" w:cs="仿宋"/>
          <w:bCs/>
          <w:color w:val="auto"/>
          <w:sz w:val="32"/>
          <w:szCs w:val="32"/>
          <w:lang w:val="en-US" w:eastAsia="zh-CN" w:bidi="ar"/>
        </w:rPr>
        <w:t>（五）违反国家规定获取或者向他人出售、提供社会信用信息；</w:t>
      </w:r>
    </w:p>
    <w:p>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bCs/>
          <w:color w:val="auto"/>
          <w:sz w:val="32"/>
          <w:szCs w:val="32"/>
          <w:lang w:val="en-US" w:eastAsia="zh-CN" w:bidi="ar"/>
        </w:rPr>
      </w:pPr>
      <w:r>
        <w:rPr>
          <w:rFonts w:hint="eastAsia" w:ascii="仿宋" w:hAnsi="仿宋" w:eastAsia="仿宋" w:cs="仿宋"/>
          <w:bCs/>
          <w:color w:val="auto"/>
          <w:sz w:val="32"/>
          <w:szCs w:val="32"/>
          <w:lang w:val="en-US" w:eastAsia="zh-CN" w:bidi="ar"/>
        </w:rPr>
        <w:t>（六）违法实施信用激励和惩戒措施；</w:t>
      </w:r>
    </w:p>
    <w:p>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bCs/>
          <w:color w:val="auto"/>
          <w:sz w:val="32"/>
          <w:szCs w:val="32"/>
          <w:lang w:val="en-US" w:eastAsia="zh-CN" w:bidi="ar"/>
        </w:rPr>
      </w:pPr>
      <w:r>
        <w:rPr>
          <w:rFonts w:hint="eastAsia" w:ascii="仿宋" w:hAnsi="仿宋" w:eastAsia="仿宋" w:cs="仿宋"/>
          <w:bCs/>
          <w:color w:val="auto"/>
          <w:sz w:val="32"/>
          <w:szCs w:val="32"/>
          <w:lang w:val="en-US" w:eastAsia="zh-CN" w:bidi="ar"/>
        </w:rPr>
        <w:t>（七）违反信用信息安全管理制度造成信息丢失；</w:t>
      </w:r>
    </w:p>
    <w:p>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bCs/>
          <w:color w:val="auto"/>
          <w:sz w:val="32"/>
          <w:szCs w:val="32"/>
          <w:lang w:val="en-US" w:eastAsia="zh-CN" w:bidi="ar"/>
        </w:rPr>
      </w:pPr>
      <w:r>
        <w:rPr>
          <w:rFonts w:hint="eastAsia" w:ascii="仿宋" w:hAnsi="仿宋" w:eastAsia="仿宋" w:cs="仿宋"/>
          <w:bCs/>
          <w:color w:val="auto"/>
          <w:sz w:val="32"/>
          <w:szCs w:val="32"/>
          <w:lang w:val="en-US" w:eastAsia="zh-CN" w:bidi="ar"/>
        </w:rPr>
        <w:t>（八）法律法规禁止的其他行为。</w:t>
      </w:r>
    </w:p>
    <w:p>
      <w:pPr>
        <w:pStyle w:val="2"/>
        <w:keepNext/>
        <w:keepLines/>
        <w:pageBreakBefore w:val="0"/>
        <w:widowControl w:val="0"/>
        <w:kinsoku/>
        <w:wordWrap/>
        <w:overflowPunct/>
        <w:topLinePunct w:val="0"/>
        <w:autoSpaceDE/>
        <w:autoSpaceDN w:val="0"/>
        <w:bidi w:val="0"/>
        <w:adjustRightInd/>
        <w:snapToGrid/>
        <w:spacing w:before="157" w:beforeLines="50" w:beforeAutospacing="0" w:after="157" w:afterLines="50" w:afterAutospacing="0" w:line="560" w:lineRule="exact"/>
        <w:ind w:left="0" w:leftChars="0" w:firstLine="0" w:firstLineChars="0"/>
        <w:jc w:val="center"/>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第十三章 附则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val="0"/>
          <w:color w:val="auto"/>
          <w:sz w:val="32"/>
          <w:szCs w:val="32"/>
          <w:lang w:val="en-US" w:eastAsia="zh-CN" w:bidi="ar"/>
        </w:rPr>
        <w:t>第五十三条【办法解释】</w:t>
      </w:r>
      <w:r>
        <w:rPr>
          <w:rFonts w:hint="eastAsia" w:ascii="仿宋" w:hAnsi="仿宋" w:eastAsia="仿宋" w:cs="仿宋"/>
          <w:b w:val="0"/>
          <w:bCs w:val="0"/>
          <w:color w:val="auto"/>
          <w:sz w:val="32"/>
          <w:szCs w:val="32"/>
          <w:lang w:val="en-US" w:eastAsia="zh-CN"/>
        </w:rPr>
        <w:t>本办法由海南省卫生健康委员会负责解释。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val="0"/>
          <w:color w:val="auto"/>
          <w:sz w:val="32"/>
          <w:szCs w:val="32"/>
          <w:lang w:val="en-US" w:eastAsia="zh-CN" w:bidi="ar"/>
        </w:rPr>
        <w:t>第五十四条【生效时限】</w:t>
      </w:r>
      <w:r>
        <w:rPr>
          <w:rFonts w:hint="eastAsia" w:ascii="仿宋" w:hAnsi="仿宋" w:eastAsia="仿宋" w:cs="仿宋"/>
          <w:b w:val="0"/>
          <w:bCs w:val="0"/>
          <w:color w:val="auto"/>
          <w:sz w:val="32"/>
          <w:szCs w:val="32"/>
          <w:lang w:val="en-US" w:eastAsia="zh-CN"/>
        </w:rPr>
        <w:t xml:space="preserve">本办法自  </w:t>
      </w:r>
      <w:bookmarkStart w:id="3" w:name="_GoBack"/>
      <w:bookmarkEnd w:id="3"/>
      <w:r>
        <w:rPr>
          <w:rFonts w:hint="eastAsia" w:ascii="仿宋" w:hAnsi="仿宋" w:eastAsia="仿宋" w:cs="仿宋"/>
          <w:b w:val="0"/>
          <w:bCs w:val="0"/>
          <w:color w:val="auto"/>
          <w:sz w:val="32"/>
          <w:szCs w:val="32"/>
          <w:lang w:val="en-US" w:eastAsia="zh-CN"/>
        </w:rPr>
        <w:t>年  月   日起施行。</w:t>
      </w: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3" w:firstLineChars="200"/>
        <w:textAlignment w:val="auto"/>
        <w:outlineLvl w:val="9"/>
        <w:rPr>
          <w:rFonts w:hint="eastAsia" w:ascii="仿宋" w:hAnsi="仿宋" w:eastAsia="仿宋" w:cs="仿宋"/>
          <w:b/>
          <w:bCs w:val="0"/>
          <w:color w:val="auto"/>
          <w:sz w:val="32"/>
          <w:szCs w:val="32"/>
          <w:lang w:val="en-US" w:eastAsia="zh-CN" w:bidi="ar"/>
        </w:rPr>
      </w:pPr>
    </w:p>
    <w:p>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仿宋" w:hAnsi="仿宋" w:eastAsia="仿宋" w:cs="仿宋"/>
          <w:bCs/>
          <w:color w:val="auto"/>
          <w:kern w:val="2"/>
          <w:sz w:val="32"/>
          <w:szCs w:val="32"/>
          <w:lang w:val="en-US" w:eastAsia="zh-CN" w:bidi="ar"/>
        </w:rPr>
      </w:pPr>
    </w:p>
    <w:p>
      <w:pPr>
        <w:pageBreakBefore w:val="0"/>
        <w:tabs>
          <w:tab w:val="left" w:pos="0"/>
        </w:tabs>
        <w:kinsoku/>
        <w:wordWrap/>
        <w:overflowPunct/>
        <w:topLinePunct w:val="0"/>
        <w:autoSpaceDE w:val="0"/>
        <w:autoSpaceDN w:val="0"/>
        <w:bidi w:val="0"/>
        <w:adjustRightInd/>
        <w:snapToGrid/>
        <w:spacing w:beforeAutospacing="0" w:afterAutospacing="0" w:line="560" w:lineRule="exact"/>
        <w:ind w:firstLine="640" w:firstLineChars="200"/>
        <w:textAlignment w:val="auto"/>
        <w:outlineLvl w:val="9"/>
        <w:rPr>
          <w:rFonts w:hint="eastAsia" w:ascii="仿宋" w:hAnsi="仿宋" w:eastAsia="仿宋" w:cs="仿宋"/>
          <w:bCs/>
          <w:color w:val="auto"/>
          <w:sz w:val="32"/>
          <w:szCs w:val="32"/>
          <w:lang w:bidi="ar"/>
        </w:rPr>
      </w:pPr>
    </w:p>
    <w:p>
      <w:pPr>
        <w:pageBreakBefore w:val="0"/>
        <w:tabs>
          <w:tab w:val="left" w:pos="0"/>
        </w:tabs>
        <w:kinsoku/>
        <w:wordWrap/>
        <w:overflowPunct/>
        <w:topLinePunct w:val="0"/>
        <w:autoSpaceDE w:val="0"/>
        <w:autoSpaceDN w:val="0"/>
        <w:bidi w:val="0"/>
        <w:adjustRightInd/>
        <w:snapToGrid/>
        <w:spacing w:beforeAutospacing="0" w:afterAutospacing="0" w:line="560" w:lineRule="exact"/>
        <w:ind w:firstLine="640" w:firstLineChars="200"/>
        <w:textAlignment w:val="auto"/>
        <w:outlineLvl w:val="9"/>
        <w:rPr>
          <w:rFonts w:hint="eastAsia" w:ascii="仿宋" w:hAnsi="仿宋" w:eastAsia="仿宋" w:cs="仿宋"/>
          <w:bCs/>
          <w:color w:val="auto"/>
          <w:sz w:val="32"/>
          <w:szCs w:val="20"/>
          <w:lang w:bidi="ar"/>
        </w:rPr>
      </w:pPr>
    </w:p>
    <w:p>
      <w:pPr>
        <w:pStyle w:val="6"/>
        <w:pageBreakBefore w:val="0"/>
        <w:tabs>
          <w:tab w:val="left" w:pos="0"/>
        </w:tabs>
        <w:kinsoku/>
        <w:wordWrap/>
        <w:overflowPunct/>
        <w:topLinePunct w:val="0"/>
        <w:autoSpaceDE w:val="0"/>
        <w:autoSpaceDN w:val="0"/>
        <w:bidi w:val="0"/>
        <w:adjustRightInd/>
        <w:snapToGrid/>
        <w:spacing w:before="0" w:beforeAutospacing="0" w:after="0" w:afterAutospacing="0" w:line="560" w:lineRule="exact"/>
        <w:ind w:firstLine="640" w:firstLineChars="200"/>
        <w:jc w:val="left"/>
        <w:textAlignment w:val="auto"/>
        <w:outlineLvl w:val="9"/>
        <w:rPr>
          <w:rFonts w:hint="eastAsia" w:ascii="仿宋" w:hAnsi="仿宋" w:eastAsia="仿宋" w:cs="仿宋"/>
          <w:bCs/>
          <w:color w:val="auto"/>
          <w:sz w:val="32"/>
          <w:szCs w:val="32"/>
          <w:lang w:bidi="ar"/>
        </w:rPr>
      </w:pPr>
    </w:p>
    <w:p>
      <w:pPr>
        <w:pageBreakBefore w:val="0"/>
        <w:kinsoku/>
        <w:wordWrap/>
        <w:overflowPunct/>
        <w:topLinePunct w:val="0"/>
        <w:bidi w:val="0"/>
        <w:adjustRightInd/>
        <w:snapToGrid/>
        <w:spacing w:beforeAutospacing="0" w:afterAutospacing="0" w:line="560" w:lineRule="exact"/>
        <w:textAlignment w:val="auto"/>
        <w:rPr>
          <w:rFonts w:hint="eastAsia" w:eastAsia="宋体"/>
          <w:color w:val="auto"/>
          <w:lang w:val="en-US" w:eastAsia="zh-CN"/>
        </w:rPr>
      </w:pPr>
    </w:p>
    <w:sectPr>
      <w:footerReference r:id="rId3" w:type="default"/>
      <w:pgSz w:w="11906" w:h="16838"/>
      <w:pgMar w:top="1417" w:right="1417" w:bottom="1417"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embedRegular r:id="rId1" w:fontKey="{BCA758FD-AF53-47DA-AC34-B2B28B4822C5}"/>
  </w:font>
  <w:font w:name="楷体">
    <w:panose1 w:val="02010609060101010101"/>
    <w:charset w:val="86"/>
    <w:family w:val="auto"/>
    <w:pitch w:val="default"/>
    <w:sig w:usb0="800002BF" w:usb1="38CF7CFA" w:usb2="00000016" w:usb3="00000000" w:csb0="00040001" w:csb1="00000000"/>
    <w:embedRegular r:id="rId2" w:fontKey="{E9D1F2E0-F448-45F7-909A-9702F63BC9AA}"/>
  </w:font>
  <w:font w:name="仿宋">
    <w:panose1 w:val="02010609060101010101"/>
    <w:charset w:val="86"/>
    <w:family w:val="modern"/>
    <w:pitch w:val="default"/>
    <w:sig w:usb0="800002BF" w:usb1="38CF7CFA" w:usb2="00000016" w:usb3="00000000" w:csb0="00040001" w:csb1="00000000"/>
    <w:embedRegular r:id="rId3" w:fontKey="{C0D69768-FAA4-44CA-A31B-6826B6B48F19}"/>
  </w:font>
  <w:font w:name="仿宋_GB2312">
    <w:panose1 w:val="02010609030101010101"/>
    <w:charset w:val="86"/>
    <w:family w:val="modern"/>
    <w:pitch w:val="default"/>
    <w:sig w:usb0="00000001" w:usb1="080E0000" w:usb2="00000000" w:usb3="00000000" w:csb0="00040000" w:csb1="00000000"/>
    <w:embedRegular r:id="rId4" w:fontKey="{A3E69BD2-FAB8-4C82-B5B6-5315F9F8BB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2834A"/>
    <w:multiLevelType w:val="singleLevel"/>
    <w:tmpl w:val="3A12834A"/>
    <w:lvl w:ilvl="0" w:tentative="0">
      <w:start w:val="1"/>
      <w:numFmt w:val="chineseCounting"/>
      <w:suff w:val="nothing"/>
      <w:lvlText w:val="（%1）"/>
      <w:lvlJc w:val="left"/>
      <w:pPr>
        <w:ind w:left="3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YjJhNWY5ZTRhNzNiNTU3MjAzNDVlM2Y1MGM5MjYifQ=="/>
  </w:docVars>
  <w:rsids>
    <w:rsidRoot w:val="00000000"/>
    <w:rsid w:val="01B85F94"/>
    <w:rsid w:val="187300AC"/>
    <w:rsid w:val="19793E03"/>
    <w:rsid w:val="1A077661"/>
    <w:rsid w:val="1A8472A0"/>
    <w:rsid w:val="204A474C"/>
    <w:rsid w:val="367E0853"/>
    <w:rsid w:val="4A9D7187"/>
    <w:rsid w:val="4CE865CF"/>
    <w:rsid w:val="4DDA06F9"/>
    <w:rsid w:val="56CE4A87"/>
    <w:rsid w:val="58A957AC"/>
    <w:rsid w:val="5BD660BC"/>
    <w:rsid w:val="77112A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等线" w:hAnsi="等线" w:eastAsia="等线"/>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000000"/>
      <w:u w:val="none"/>
    </w:rPr>
  </w:style>
  <w:style w:type="character" w:styleId="16">
    <w:name w:val="HTML Code"/>
    <w:basedOn w:val="8"/>
    <w:qFormat/>
    <w:uiPriority w:val="0"/>
    <w:rPr>
      <w:rFonts w:hint="default" w:ascii="monospace" w:hAnsi="monospace" w:eastAsia="monospace" w:cs="monospace"/>
      <w:sz w:val="21"/>
      <w:szCs w:val="21"/>
    </w:rPr>
  </w:style>
  <w:style w:type="character" w:styleId="17">
    <w:name w:val="HTML Cite"/>
    <w:basedOn w:val="8"/>
    <w:qFormat/>
    <w:uiPriority w:val="0"/>
  </w:style>
  <w:style w:type="character" w:styleId="18">
    <w:name w:val="HTML Keyboard"/>
    <w:basedOn w:val="8"/>
    <w:qFormat/>
    <w:uiPriority w:val="0"/>
    <w:rPr>
      <w:rFonts w:hint="default" w:ascii="monospace" w:hAnsi="monospace" w:eastAsia="monospace" w:cs="monospace"/>
      <w:sz w:val="21"/>
      <w:szCs w:val="21"/>
    </w:rPr>
  </w:style>
  <w:style w:type="character" w:styleId="19">
    <w:name w:val="HTML Sample"/>
    <w:basedOn w:val="8"/>
    <w:qFormat/>
    <w:uiPriority w:val="0"/>
    <w:rPr>
      <w:rFonts w:ascii="monospace" w:hAnsi="monospace" w:eastAsia="monospace" w:cs="monospace"/>
      <w:sz w:val="21"/>
      <w:szCs w:val="21"/>
    </w:rPr>
  </w:style>
  <w:style w:type="paragraph" w:customStyle="1" w:styleId="20">
    <w:name w:val="List Paragraph"/>
    <w:basedOn w:val="1"/>
    <w:qFormat/>
    <w:uiPriority w:val="34"/>
    <w:pPr>
      <w:ind w:firstLine="420" w:firstLineChars="200"/>
    </w:pPr>
  </w:style>
  <w:style w:type="character" w:customStyle="1" w:styleId="21">
    <w:name w:val="t"/>
    <w:basedOn w:val="8"/>
    <w:qFormat/>
    <w:uiPriority w:val="0"/>
    <w:rPr>
      <w:color w:val="213F93"/>
      <w:sz w:val="33"/>
      <w:szCs w:val="33"/>
    </w:rPr>
  </w:style>
  <w:style w:type="character" w:customStyle="1" w:styleId="22">
    <w:name w:val="t1"/>
    <w:basedOn w:val="8"/>
    <w:qFormat/>
    <w:uiPriority w:val="0"/>
    <w:rPr>
      <w:b/>
      <w:bCs/>
    </w:rPr>
  </w:style>
  <w:style w:type="character" w:customStyle="1" w:styleId="23">
    <w:name w:val="t2"/>
    <w:basedOn w:val="8"/>
    <w:qFormat/>
    <w:uiPriority w:val="0"/>
    <w:rPr>
      <w:sz w:val="21"/>
      <w:szCs w:val="21"/>
    </w:rPr>
  </w:style>
  <w:style w:type="character" w:customStyle="1" w:styleId="24">
    <w:name w:val="t3"/>
    <w:basedOn w:val="8"/>
    <w:qFormat/>
    <w:uiPriority w:val="0"/>
    <w:rPr>
      <w:color w:val="207393"/>
      <w:sz w:val="19"/>
      <w:szCs w:val="19"/>
    </w:rPr>
  </w:style>
  <w:style w:type="character" w:customStyle="1" w:styleId="25">
    <w:name w:val="t4"/>
    <w:basedOn w:val="8"/>
    <w:qFormat/>
    <w:uiPriority w:val="0"/>
    <w:rPr>
      <w:color w:val="1C3E9D"/>
      <w:sz w:val="21"/>
      <w:szCs w:val="21"/>
    </w:rPr>
  </w:style>
  <w:style w:type="character" w:customStyle="1" w:styleId="26">
    <w:name w:val="t5"/>
    <w:basedOn w:val="8"/>
    <w:qFormat/>
    <w:uiPriority w:val="0"/>
    <w:rPr>
      <w:sz w:val="21"/>
      <w:szCs w:val="21"/>
    </w:rPr>
  </w:style>
  <w:style w:type="character" w:customStyle="1" w:styleId="27">
    <w:name w:val="t6"/>
    <w:basedOn w:val="8"/>
    <w:qFormat/>
    <w:uiPriority w:val="0"/>
    <w:rPr>
      <w:sz w:val="21"/>
      <w:szCs w:val="21"/>
    </w:rPr>
  </w:style>
  <w:style w:type="character" w:customStyle="1" w:styleId="28">
    <w:name w:val="t7"/>
    <w:basedOn w:val="8"/>
    <w:qFormat/>
    <w:uiPriority w:val="0"/>
    <w:rPr>
      <w:sz w:val="21"/>
      <w:szCs w:val="21"/>
    </w:rPr>
  </w:style>
  <w:style w:type="character" w:customStyle="1" w:styleId="29">
    <w:name w:val="t8"/>
    <w:basedOn w:val="8"/>
    <w:qFormat/>
    <w:uiPriority w:val="0"/>
  </w:style>
  <w:style w:type="character" w:customStyle="1" w:styleId="30">
    <w:name w:val="t9"/>
    <w:basedOn w:val="8"/>
    <w:qFormat/>
    <w:uiPriority w:val="0"/>
    <w:rPr>
      <w:color w:val="FFFFFF"/>
      <w:spacing w:val="60"/>
      <w:sz w:val="38"/>
      <w:szCs w:val="38"/>
    </w:rPr>
  </w:style>
  <w:style w:type="character" w:customStyle="1" w:styleId="31">
    <w:name w:val="ti"/>
    <w:basedOn w:val="8"/>
    <w:qFormat/>
    <w:uiPriority w:val="0"/>
    <w:rPr>
      <w:sz w:val="14"/>
      <w:szCs w:val="14"/>
    </w:rPr>
  </w:style>
  <w:style w:type="character" w:customStyle="1" w:styleId="32">
    <w:name w:val="la"/>
    <w:basedOn w:val="8"/>
    <w:qFormat/>
    <w:uiPriority w:val="0"/>
    <w:rPr>
      <w:color w:val="FFFFFF"/>
      <w:sz w:val="21"/>
      <w:szCs w:val="21"/>
      <w:shd w:val="clear" w:fill="4062C1"/>
    </w:rPr>
  </w:style>
  <w:style w:type="character" w:customStyle="1" w:styleId="33">
    <w:name w:val="active"/>
    <w:basedOn w:val="8"/>
    <w:qFormat/>
    <w:uiPriority w:val="0"/>
    <w:rPr>
      <w:color w:val="FFFFFF"/>
      <w:shd w:val="clear" w:fill="547EC2"/>
    </w:rPr>
  </w:style>
  <w:style w:type="character" w:customStyle="1" w:styleId="34">
    <w:name w:val="active1"/>
    <w:basedOn w:val="8"/>
    <w:qFormat/>
    <w:uiPriority w:val="0"/>
    <w:rPr>
      <w:shd w:val="clear" w:fill="527DC4"/>
    </w:rPr>
  </w:style>
  <w:style w:type="character" w:customStyle="1" w:styleId="35">
    <w:name w:val="active2"/>
    <w:basedOn w:val="8"/>
    <w:qFormat/>
    <w:uiPriority w:val="0"/>
    <w:rPr>
      <w:color w:val="FFFFFF"/>
      <w:bdr w:val="single" w:color="FFFFFF" w:sz="4" w:space="0"/>
      <w:shd w:val="clear" w:fill="244FAC"/>
    </w:rPr>
  </w:style>
  <w:style w:type="character" w:customStyle="1" w:styleId="36">
    <w:name w:val="subt"/>
    <w:basedOn w:val="8"/>
    <w:qFormat/>
    <w:uiPriority w:val="0"/>
    <w:rPr>
      <w:rFonts w:ascii="宋体" w:hAnsi="宋体" w:eastAsia="宋体" w:cs="宋体"/>
      <w:color w:val="333333"/>
      <w:sz w:val="31"/>
      <w:szCs w:val="31"/>
    </w:rPr>
  </w:style>
  <w:style w:type="character" w:customStyle="1" w:styleId="37">
    <w:name w:val="ly"/>
    <w:basedOn w:val="8"/>
    <w:qFormat/>
    <w:uiPriority w:val="0"/>
    <w:rPr>
      <w:color w:val="999999"/>
    </w:rPr>
  </w:style>
  <w:style w:type="character" w:customStyle="1" w:styleId="38">
    <w:name w:val="rm"/>
    <w:basedOn w:val="8"/>
    <w:qFormat/>
    <w:uiPriority w:val="0"/>
    <w:rPr>
      <w:color w:val="D86C1D"/>
      <w:sz w:val="14"/>
      <w:szCs w:val="14"/>
    </w:rPr>
  </w:style>
  <w:style w:type="character" w:customStyle="1" w:styleId="39">
    <w:name w:val="fr2"/>
    <w:basedOn w:val="8"/>
    <w:qFormat/>
    <w:uiPriority w:val="0"/>
    <w:rPr>
      <w:color w:val="999999"/>
    </w:rPr>
  </w:style>
  <w:style w:type="character" w:customStyle="1" w:styleId="40">
    <w:name w:val="tm"/>
    <w:basedOn w:val="8"/>
    <w:qFormat/>
    <w:uiPriority w:val="0"/>
    <w:rPr>
      <w:color w:val="999999"/>
    </w:rPr>
  </w:style>
  <w:style w:type="character" w:customStyle="1" w:styleId="41">
    <w:name w:val="bsharetext"/>
    <w:basedOn w:val="8"/>
    <w:qFormat/>
    <w:uiPriority w:val="0"/>
  </w:style>
  <w:style w:type="character" w:customStyle="1" w:styleId="42">
    <w:name w:val="rt"/>
    <w:basedOn w:val="8"/>
    <w:qFormat/>
    <w:uiPriority w:val="0"/>
    <w:rPr>
      <w:color w:val="999999"/>
    </w:rPr>
  </w:style>
  <w:style w:type="character" w:customStyle="1" w:styleId="43">
    <w:name w:val="zj"/>
    <w:basedOn w:val="8"/>
    <w:qFormat/>
    <w:uiPriority w:val="0"/>
    <w:rPr>
      <w:color w:val="FFFFFF"/>
      <w:sz w:val="14"/>
      <w:szCs w:val="14"/>
      <w:shd w:val="clear" w:fill="C33B51"/>
    </w:rPr>
  </w:style>
  <w:style w:type="character" w:customStyle="1" w:styleId="44">
    <w:name w:val="qw"/>
    <w:basedOn w:val="8"/>
    <w:qFormat/>
    <w:uiPriority w:val="0"/>
    <w:rPr>
      <w:color w:val="5786C8"/>
      <w:sz w:val="16"/>
      <w:szCs w:val="16"/>
    </w:rPr>
  </w:style>
  <w:style w:type="character" w:customStyle="1" w:styleId="45">
    <w:name w:val="dropselect_box"/>
    <w:basedOn w:val="8"/>
    <w:qFormat/>
    <w:uiPriority w:val="0"/>
  </w:style>
  <w:style w:type="character" w:customStyle="1" w:styleId="46">
    <w:name w:val="first-child"/>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7666</Words>
  <Characters>7685</Characters>
  <Lines>0</Lines>
  <Paragraphs>0</Paragraphs>
  <TotalTime>1</TotalTime>
  <ScaleCrop>false</ScaleCrop>
  <LinksUpToDate>false</LinksUpToDate>
  <CharactersWithSpaces>7698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2022-10-12T17:17:00Z</dcterms:created>
  <dc:creator>海婷</dc:creator>
  <cp:lastModifiedBy>谭晶</cp:lastModifiedBy>
  <cp:lastPrinted>2022-10-13T17:45:00Z</cp:lastPrinted>
  <dcterms:modified xsi:type="dcterms:W3CDTF">2022-10-25T04:07:45Z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2C89EB12D5BF77DDAACC4C6351B86248</vt:lpwstr>
  </property>
</Properties>
</file>