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21" w:rsidRPr="00341113" w:rsidRDefault="00341113" w:rsidP="00341113">
      <w:pPr>
        <w:rPr>
          <w:sz w:val="36"/>
          <w:szCs w:val="36"/>
        </w:rPr>
      </w:pPr>
      <w:r w:rsidRPr="00341113">
        <w:rPr>
          <w:sz w:val="36"/>
          <w:szCs w:val="36"/>
        </w:rPr>
        <w:t>关于依法科学精准做好新冠肺炎疫情防控工作的通知</w:t>
      </w:r>
    </w:p>
    <w:p w:rsidR="00341113" w:rsidRDefault="00341113" w:rsidP="00341113">
      <w:pPr>
        <w:pStyle w:val="a3"/>
        <w:jc w:val="center"/>
        <w:rPr>
          <w:rFonts w:ascii="仿宋" w:eastAsia="仿宋" w:hAnsi="仿宋"/>
          <w:color w:val="474646"/>
          <w:sz w:val="32"/>
          <w:szCs w:val="32"/>
        </w:rPr>
      </w:pPr>
      <w:r>
        <w:rPr>
          <w:rFonts w:ascii="仿宋" w:eastAsia="仿宋" w:hAnsi="仿宋" w:hint="eastAsia"/>
          <w:color w:val="474646"/>
          <w:sz w:val="32"/>
          <w:szCs w:val="32"/>
        </w:rPr>
        <w:t>联防联控机制发〔2020〕28号</w:t>
      </w:r>
    </w:p>
    <w:p w:rsidR="00341113" w:rsidRDefault="00341113" w:rsidP="00341113">
      <w:pPr>
        <w:pStyle w:val="a3"/>
        <w:rPr>
          <w:rFonts w:ascii="仿宋" w:eastAsia="仿宋" w:hAnsi="仿宋"/>
          <w:color w:val="474646"/>
          <w:sz w:val="32"/>
          <w:szCs w:val="32"/>
        </w:rPr>
      </w:pPr>
      <w:r>
        <w:rPr>
          <w:rFonts w:ascii="仿宋" w:eastAsia="仿宋" w:hAnsi="仿宋" w:hint="eastAsia"/>
          <w:color w:val="474646"/>
          <w:sz w:val="32"/>
          <w:szCs w:val="32"/>
        </w:rPr>
        <w:t> </w:t>
      </w:r>
    </w:p>
    <w:p w:rsidR="00341113" w:rsidRDefault="00341113" w:rsidP="00341113">
      <w:pPr>
        <w:pStyle w:val="a3"/>
        <w:jc w:val="both"/>
        <w:rPr>
          <w:rFonts w:ascii="仿宋" w:eastAsia="仿宋" w:hAnsi="仿宋"/>
          <w:color w:val="474646"/>
          <w:sz w:val="32"/>
          <w:szCs w:val="32"/>
        </w:rPr>
      </w:pPr>
      <w:r>
        <w:rPr>
          <w:rFonts w:ascii="仿宋" w:eastAsia="仿宋" w:hAnsi="仿宋" w:hint="eastAsia"/>
          <w:color w:val="474646"/>
          <w:sz w:val="32"/>
          <w:szCs w:val="32"/>
        </w:rPr>
        <w:t>各省、自治区、直辖市及新疆生产建设兵团应对新型冠状病毒肺炎疫情联防联控机制（领导小组、指挥部）：</w:t>
      </w:r>
      <w:r>
        <w:rPr>
          <w:rFonts w:ascii="仿宋" w:eastAsia="仿宋" w:hAnsi="仿宋" w:hint="eastAsia"/>
          <w:color w:val="474646"/>
          <w:sz w:val="32"/>
          <w:szCs w:val="32"/>
        </w:rPr>
        <w:br/>
        <w:t xml:space="preserve">　　为贯彻落实国务院应对新型冠状病毒肺炎疫情联防联控机制关于科学防治精准施策分区分级做好新冠肺炎疫情防控工作的指导意见，进一步提高新冠肺炎疫情防控工作的科学性、精准性，依据《中华人民共和国传染病防治法》、《突发公共卫生事件应急条例》等法律法规，现就做好防控工作有关事项通知如下：</w:t>
      </w:r>
      <w:r>
        <w:rPr>
          <w:rFonts w:ascii="仿宋" w:eastAsia="仿宋" w:hAnsi="仿宋" w:hint="eastAsia"/>
          <w:color w:val="474646"/>
          <w:sz w:val="32"/>
          <w:szCs w:val="32"/>
        </w:rPr>
        <w:br/>
      </w:r>
      <w:r>
        <w:rPr>
          <w:rFonts w:ascii="黑体" w:eastAsia="黑体" w:hAnsi="黑体" w:hint="eastAsia"/>
          <w:color w:val="474646"/>
          <w:sz w:val="32"/>
          <w:szCs w:val="32"/>
        </w:rPr>
        <w:t xml:space="preserve">　　一、</w:t>
      </w:r>
      <w:r>
        <w:rPr>
          <w:rFonts w:ascii="黑体" w:eastAsia="黑体" w:hAnsi="黑体" w:hint="eastAsia"/>
          <w:color w:val="474646"/>
          <w:sz w:val="32"/>
          <w:szCs w:val="32"/>
        </w:rPr>
        <w:t> </w:t>
      </w:r>
      <w:r>
        <w:rPr>
          <w:rFonts w:ascii="黑体" w:eastAsia="黑体" w:hAnsi="黑体" w:hint="eastAsia"/>
          <w:color w:val="474646"/>
          <w:sz w:val="32"/>
          <w:szCs w:val="32"/>
        </w:rPr>
        <w:t>总体要求</w:t>
      </w:r>
      <w:r>
        <w:rPr>
          <w:rFonts w:ascii="黑体" w:eastAsia="黑体" w:hAnsi="黑体" w:hint="eastAsia"/>
          <w:color w:val="474646"/>
          <w:sz w:val="32"/>
          <w:szCs w:val="32"/>
        </w:rPr>
        <w:br/>
      </w:r>
      <w:r>
        <w:rPr>
          <w:rFonts w:ascii="仿宋" w:eastAsia="仿宋" w:hAnsi="仿宋" w:hint="eastAsia"/>
          <w:color w:val="474646"/>
          <w:sz w:val="32"/>
          <w:szCs w:val="32"/>
        </w:rPr>
        <w:t xml:space="preserve">　　根据当前疫情防控形势发展趋势变化，突出重点、统筹兼顾、分类指导、分区施策，坚持依法防控、科学防治、精准施策，加强重点人群、重点场所管控，着力抓实抓细各项措施，提高疫情防控的科学性、精准性和针对性。</w:t>
      </w:r>
      <w:r>
        <w:rPr>
          <w:rFonts w:ascii="仿宋" w:eastAsia="仿宋" w:hAnsi="仿宋" w:hint="eastAsia"/>
          <w:color w:val="474646"/>
          <w:sz w:val="32"/>
          <w:szCs w:val="32"/>
        </w:rPr>
        <w:br/>
      </w:r>
      <w:r>
        <w:rPr>
          <w:rFonts w:ascii="黑体" w:eastAsia="黑体" w:hAnsi="黑体" w:hint="eastAsia"/>
          <w:color w:val="474646"/>
          <w:sz w:val="32"/>
          <w:szCs w:val="32"/>
        </w:rPr>
        <w:t xml:space="preserve">　　二、</w:t>
      </w:r>
      <w:r>
        <w:rPr>
          <w:rFonts w:ascii="黑体" w:eastAsia="黑体" w:hAnsi="黑体" w:hint="eastAsia"/>
          <w:color w:val="474646"/>
          <w:sz w:val="32"/>
          <w:szCs w:val="32"/>
        </w:rPr>
        <w:t> </w:t>
      </w:r>
      <w:r>
        <w:rPr>
          <w:rFonts w:ascii="黑体" w:eastAsia="黑体" w:hAnsi="黑体" w:hint="eastAsia"/>
          <w:color w:val="474646"/>
          <w:sz w:val="32"/>
          <w:szCs w:val="32"/>
        </w:rPr>
        <w:t>具体措施</w:t>
      </w:r>
      <w:r>
        <w:rPr>
          <w:rFonts w:ascii="黑体" w:eastAsia="黑体" w:hAnsi="黑体" w:hint="eastAsia"/>
          <w:color w:val="474646"/>
          <w:sz w:val="32"/>
          <w:szCs w:val="32"/>
        </w:rPr>
        <w:br/>
      </w:r>
      <w:r>
        <w:rPr>
          <w:rFonts w:ascii="楷体" w:eastAsia="楷体" w:hAnsi="楷体" w:hint="eastAsia"/>
          <w:color w:val="474646"/>
          <w:sz w:val="32"/>
          <w:szCs w:val="32"/>
        </w:rPr>
        <w:t xml:space="preserve">　　（一）加强人员社会管控，严防输入和扩散风险。</w:t>
      </w:r>
      <w:r>
        <w:rPr>
          <w:rFonts w:ascii="楷体" w:eastAsia="楷体" w:hAnsi="楷体" w:hint="eastAsia"/>
          <w:color w:val="474646"/>
          <w:sz w:val="32"/>
          <w:szCs w:val="32"/>
        </w:rPr>
        <w:br/>
      </w:r>
      <w:r>
        <w:rPr>
          <w:rFonts w:ascii="仿宋" w:eastAsia="仿宋" w:hAnsi="仿宋" w:hint="eastAsia"/>
          <w:color w:val="474646"/>
          <w:sz w:val="32"/>
          <w:szCs w:val="32"/>
        </w:rPr>
        <w:t xml:space="preserve">　　1.实行人员分类管理。根据居民近期旅行史或居住史、目前健康状况、病例密切接触史</w:t>
      </w:r>
      <w:proofErr w:type="gramStart"/>
      <w:r>
        <w:rPr>
          <w:rFonts w:ascii="仿宋" w:eastAsia="仿宋" w:hAnsi="仿宋" w:hint="eastAsia"/>
          <w:color w:val="474646"/>
          <w:sz w:val="32"/>
          <w:szCs w:val="32"/>
        </w:rPr>
        <w:t>等判断</w:t>
      </w:r>
      <w:proofErr w:type="gramEnd"/>
      <w:r>
        <w:rPr>
          <w:rFonts w:ascii="仿宋" w:eastAsia="仿宋" w:hAnsi="仿宋" w:hint="eastAsia"/>
          <w:color w:val="474646"/>
          <w:sz w:val="32"/>
          <w:szCs w:val="32"/>
        </w:rPr>
        <w:t>其传播疾病风险，将居民划分为高风险、中风险、低风险人员，采取针对性的管</w:t>
      </w:r>
      <w:r>
        <w:rPr>
          <w:rFonts w:ascii="仿宋" w:eastAsia="仿宋" w:hAnsi="仿宋" w:hint="eastAsia"/>
          <w:color w:val="474646"/>
          <w:sz w:val="32"/>
          <w:szCs w:val="32"/>
        </w:rPr>
        <w:lastRenderedPageBreak/>
        <w:t>控措施。高风险人员在定点医疗机构、定点医学观察机构或居家实施严格的隔离治疗或医学观察，相关机构和社区对其进行严格管控。中风险人员严格落实居家隔离医学观察要求，自觉接受社区管理。低风险人员体温检测正常可出行和复工。对疫情特别严重的湖北省继续采取最严格的防控措施，已实施交通管控的武汉市和湖北省其他地市，严控人员输出；未实施交通管控的地市，人员抵达目的地后一律集中隔离14天。</w:t>
      </w:r>
      <w:r>
        <w:rPr>
          <w:rFonts w:ascii="仿宋" w:eastAsia="仿宋" w:hAnsi="仿宋" w:hint="eastAsia"/>
          <w:color w:val="474646"/>
          <w:sz w:val="32"/>
          <w:szCs w:val="32"/>
        </w:rPr>
        <w:br/>
        <w:t xml:space="preserve">　　2.有效落实“四早”措施。有关部门、医疗卫生机构要认真落实传染病早发现、早报告、早隔离、早治疗的“四早”措施，切断传播途径，防止扩散。要做好新冠肺炎病例、聚集性疫情、社区疫情的监测和报告，鼓励单位和个人发现、报告相关病例和疫情。要强化实验室检测和诊断，切实提升检测质量和诊断时效。要综合运用流行病学调查和大数据分析方法，及时发现可疑病例、密切接触者并进行追踪管理。各地要指定发热门诊、定点收治医院开展发热病人筛查，及时诊断并隔离治疗新冠肺炎病例，做到“应检尽检”、“应收尽收”、“应治尽治”，防止漏诊、误诊，防止轻症转重症。</w:t>
      </w:r>
      <w:r>
        <w:rPr>
          <w:rFonts w:ascii="仿宋" w:eastAsia="仿宋" w:hAnsi="仿宋" w:hint="eastAsia"/>
          <w:color w:val="474646"/>
          <w:sz w:val="32"/>
          <w:szCs w:val="32"/>
        </w:rPr>
        <w:br/>
        <w:t xml:space="preserve">　　3.鼓励实行动态健康认证。鼓励有条件的地区推广个人健康码等信息平台，不具备信息化条件的地区可采用个人健康申报等方式，居民通过网络平台申领电子健康码或通过社区申领纸质</w:t>
      </w:r>
      <w:proofErr w:type="gramStart"/>
      <w:r>
        <w:rPr>
          <w:rFonts w:ascii="仿宋" w:eastAsia="仿宋" w:hAnsi="仿宋" w:hint="eastAsia"/>
          <w:color w:val="474646"/>
          <w:sz w:val="32"/>
          <w:szCs w:val="32"/>
        </w:rPr>
        <w:t>版健康码</w:t>
      </w:r>
      <w:proofErr w:type="gramEnd"/>
      <w:r>
        <w:rPr>
          <w:rFonts w:ascii="仿宋" w:eastAsia="仿宋" w:hAnsi="仿宋" w:hint="eastAsia"/>
          <w:color w:val="474646"/>
          <w:sz w:val="32"/>
          <w:szCs w:val="32"/>
        </w:rPr>
        <w:t>（健康通行卡），获得出行、复工等资</w:t>
      </w:r>
      <w:r>
        <w:rPr>
          <w:rFonts w:ascii="仿宋" w:eastAsia="仿宋" w:hAnsi="仿宋" w:hint="eastAsia"/>
          <w:color w:val="474646"/>
          <w:sz w:val="32"/>
          <w:szCs w:val="32"/>
        </w:rPr>
        <w:lastRenderedPageBreak/>
        <w:t>格。政府有关部门、用人单位、社区等综合判断个人健康风险等级，实现特殊时期动态健康认证。</w:t>
      </w:r>
      <w:r>
        <w:rPr>
          <w:rFonts w:ascii="仿宋" w:eastAsia="仿宋" w:hAnsi="仿宋" w:hint="eastAsia"/>
          <w:color w:val="474646"/>
          <w:sz w:val="32"/>
          <w:szCs w:val="32"/>
        </w:rPr>
        <w:br/>
      </w:r>
      <w:r>
        <w:rPr>
          <w:rFonts w:ascii="楷体" w:eastAsia="楷体" w:hAnsi="楷体" w:hint="eastAsia"/>
          <w:color w:val="474646"/>
          <w:sz w:val="32"/>
          <w:szCs w:val="32"/>
        </w:rPr>
        <w:t xml:space="preserve">　　（二）做好重点场所防控，严防扩散风险。</w:t>
      </w:r>
      <w:r>
        <w:rPr>
          <w:rFonts w:ascii="楷体" w:eastAsia="楷体" w:hAnsi="楷体" w:hint="eastAsia"/>
          <w:color w:val="474646"/>
          <w:sz w:val="32"/>
          <w:szCs w:val="32"/>
        </w:rPr>
        <w:br/>
      </w:r>
      <w:r>
        <w:rPr>
          <w:rFonts w:ascii="仿宋" w:eastAsia="仿宋" w:hAnsi="仿宋" w:hint="eastAsia"/>
          <w:color w:val="474646"/>
          <w:sz w:val="32"/>
          <w:szCs w:val="32"/>
        </w:rPr>
        <w:t xml:space="preserve">　　1.落实社区防控责任。充分发挥社区动员能力，实行网格化、地毯式管理，责任到人，联系到户，确保各项防控措施切实落实、不留死角。针对未发现病例的社区，实行“外防输入”的策略，做好组织动员、健康教育、信息告知、重点地区和高风险地区返回人员管理、环境卫生治理、物资准备等工作。针对出现病例或暴发疫情的社区，实行“内防扩散、外防输出”的策略，在采取上述措施基础上，还应当做好密切接触者管理和消毒等工作。针对出现疫情传播的社区，实行“内防蔓延、外防输出”的策略，进一步实行疫区封锁、限制人员聚集等措施。</w:t>
      </w:r>
      <w:r>
        <w:rPr>
          <w:rFonts w:ascii="仿宋" w:eastAsia="仿宋" w:hAnsi="仿宋" w:hint="eastAsia"/>
          <w:color w:val="474646"/>
          <w:sz w:val="32"/>
          <w:szCs w:val="32"/>
        </w:rPr>
        <w:br/>
        <w:t xml:space="preserve">　　2.落实用工单位防控责任。用工单位严格落实复工复产疫情防控要求，做好返岗员工登记报备并建立员工</w:t>
      </w:r>
      <w:proofErr w:type="gramStart"/>
      <w:r>
        <w:rPr>
          <w:rFonts w:ascii="仿宋" w:eastAsia="仿宋" w:hAnsi="仿宋" w:hint="eastAsia"/>
          <w:color w:val="474646"/>
          <w:sz w:val="32"/>
          <w:szCs w:val="32"/>
        </w:rPr>
        <w:t>健康台</w:t>
      </w:r>
      <w:proofErr w:type="gramEnd"/>
      <w:r>
        <w:rPr>
          <w:rFonts w:ascii="仿宋" w:eastAsia="仿宋" w:hAnsi="仿宋" w:hint="eastAsia"/>
          <w:color w:val="474646"/>
          <w:sz w:val="32"/>
          <w:szCs w:val="32"/>
        </w:rPr>
        <w:t>账。对于需要接受隔离医学观察但无相关症状的员工，经检测筛查排除感染，可适当缩短隔离时间，在做好防护措施的情况下提前返岗。做好办公场所、工区及公共区域、职工宿舍的通风消毒、环境清理等工作，为员工配备必要的个人防护用品。实行“进出检”制度，做好员工日常体温检测和健康监测。实施分区作业、分散错峰就餐，控制会议频次和规模，尽量减少人员聚集。鼓励具备条件的企事业单位采取错时上</w:t>
      </w:r>
      <w:r>
        <w:rPr>
          <w:rFonts w:ascii="仿宋" w:eastAsia="仿宋" w:hAnsi="仿宋" w:hint="eastAsia"/>
          <w:color w:val="474646"/>
          <w:sz w:val="32"/>
          <w:szCs w:val="32"/>
        </w:rPr>
        <w:lastRenderedPageBreak/>
        <w:t>下班、弹性工作制或居家办公方式。单位应当设立隔离观察区域，员工出现可疑症状时应当及时隔离并安排就近就医，配合</w:t>
      </w:r>
      <w:proofErr w:type="gramStart"/>
      <w:r>
        <w:rPr>
          <w:rFonts w:ascii="仿宋" w:eastAsia="仿宋" w:hAnsi="仿宋" w:hint="eastAsia"/>
          <w:color w:val="474646"/>
          <w:sz w:val="32"/>
          <w:szCs w:val="32"/>
        </w:rPr>
        <w:t>当地疾控部门</w:t>
      </w:r>
      <w:proofErr w:type="gramEnd"/>
      <w:r>
        <w:rPr>
          <w:rFonts w:ascii="仿宋" w:eastAsia="仿宋" w:hAnsi="仿宋" w:hint="eastAsia"/>
          <w:color w:val="474646"/>
          <w:sz w:val="32"/>
          <w:szCs w:val="32"/>
        </w:rPr>
        <w:t>做好病例报告、流行病学调查、相关区域封闭消毒等工作。</w:t>
      </w:r>
      <w:r>
        <w:rPr>
          <w:rFonts w:ascii="仿宋" w:eastAsia="仿宋" w:hAnsi="仿宋" w:hint="eastAsia"/>
          <w:color w:val="474646"/>
          <w:sz w:val="32"/>
          <w:szCs w:val="32"/>
        </w:rPr>
        <w:br/>
        <w:t xml:space="preserve">　　3.落实院校防控责任。各地根据疫情发展情况确定开学时间，严禁学生提前返校。院校开学前做好预案和监测设备准备、隔离空间预备、环境卫生改善等工作。开学后学校医务室加强监测，对来自疫情防控重点地区、和确诊病人有过接触以及有相应症状的学生，采取单独隔离措施。开展“晨午晚检”，实行“日报告”、“零报告”制度，加强因病缺勤管理，对因病缺勤学生和教职员工及时追访和上报。校园实行封闭管理，禁止校外人员进入，不组织大型集体活动。学生和教职员工如出现发热、乏力、干咳等可疑症状，应当及时隔离并安排就近就医，发现病例的院校，要及时向辖区</w:t>
      </w:r>
      <w:proofErr w:type="gramStart"/>
      <w:r>
        <w:rPr>
          <w:rFonts w:ascii="仿宋" w:eastAsia="仿宋" w:hAnsi="仿宋" w:hint="eastAsia"/>
          <w:color w:val="474646"/>
          <w:sz w:val="32"/>
          <w:szCs w:val="32"/>
        </w:rPr>
        <w:t>疾控机构</w:t>
      </w:r>
      <w:proofErr w:type="gramEnd"/>
      <w:r>
        <w:rPr>
          <w:rFonts w:ascii="仿宋" w:eastAsia="仿宋" w:hAnsi="仿宋" w:hint="eastAsia"/>
          <w:color w:val="474646"/>
          <w:sz w:val="32"/>
          <w:szCs w:val="32"/>
        </w:rPr>
        <w:t>或医疗机构上报，积极配合做好流行病学调查，以班级为单位，确定防控管理场所，排查甄别密接人员，严格采取消毒隔离等针对性防控措施。</w:t>
      </w:r>
      <w:r>
        <w:rPr>
          <w:rFonts w:ascii="仿宋" w:eastAsia="仿宋" w:hAnsi="仿宋" w:hint="eastAsia"/>
          <w:color w:val="474646"/>
          <w:sz w:val="32"/>
          <w:szCs w:val="32"/>
        </w:rPr>
        <w:br/>
        <w:t xml:space="preserve">　　4.加强公共服务类场所防控。对农贸市场、商场、超市等生活必需类场所及酒店、宾馆等生活服务类场所，在精准有序推动开业的同时，严格落实环境卫生整治、消毒、通风、“进出检”、限流等措施，商超物品尽量提前包装标价，推荐顾客自助购物、自助结算，缩短排队等候时间。提供住宿</w:t>
      </w:r>
      <w:r>
        <w:rPr>
          <w:rFonts w:ascii="仿宋" w:eastAsia="仿宋" w:hAnsi="仿宋" w:hint="eastAsia"/>
          <w:color w:val="474646"/>
          <w:sz w:val="32"/>
          <w:szCs w:val="32"/>
        </w:rPr>
        <w:lastRenderedPageBreak/>
        <w:t>服务的经营单位要如实登记旅客信息，对来自疫情防控重点地区的旅客进行排查并及时报告</w:t>
      </w:r>
      <w:proofErr w:type="gramStart"/>
      <w:r>
        <w:rPr>
          <w:rFonts w:ascii="仿宋" w:eastAsia="仿宋" w:hAnsi="仿宋" w:hint="eastAsia"/>
          <w:color w:val="474646"/>
          <w:sz w:val="32"/>
          <w:szCs w:val="32"/>
        </w:rPr>
        <w:t>当地疾控机构</w:t>
      </w:r>
      <w:proofErr w:type="gramEnd"/>
      <w:r>
        <w:rPr>
          <w:rFonts w:ascii="仿宋" w:eastAsia="仿宋" w:hAnsi="仿宋" w:hint="eastAsia"/>
          <w:color w:val="474646"/>
          <w:sz w:val="32"/>
          <w:szCs w:val="32"/>
        </w:rPr>
        <w:t>，按照</w:t>
      </w:r>
      <w:proofErr w:type="gramStart"/>
      <w:r>
        <w:rPr>
          <w:rFonts w:ascii="仿宋" w:eastAsia="仿宋" w:hAnsi="仿宋" w:hint="eastAsia"/>
          <w:color w:val="474646"/>
          <w:sz w:val="32"/>
          <w:szCs w:val="32"/>
        </w:rPr>
        <w:t>疾控机构</w:t>
      </w:r>
      <w:proofErr w:type="gramEnd"/>
      <w:r>
        <w:rPr>
          <w:rFonts w:ascii="仿宋" w:eastAsia="仿宋" w:hAnsi="仿宋" w:hint="eastAsia"/>
          <w:color w:val="474646"/>
          <w:sz w:val="32"/>
          <w:szCs w:val="32"/>
        </w:rPr>
        <w:t>的指导采取相应措施。对公共交通工具和机场、车站、码头等人员密集场所，按要求设立留验站，配备必要人员设备，严格落实体温筛检等防控措施，发现可疑人员应当劝阻其登乘，进行暂时隔离，并立即通知检疫部门或当地卫生健康部门及时处置。</w:t>
      </w:r>
      <w:r>
        <w:rPr>
          <w:rFonts w:ascii="仿宋" w:eastAsia="仿宋" w:hAnsi="仿宋" w:hint="eastAsia"/>
          <w:color w:val="474646"/>
          <w:sz w:val="32"/>
          <w:szCs w:val="32"/>
        </w:rPr>
        <w:br/>
        <w:t xml:space="preserve">　　5.加强特殊场所疫情防控。对监管场所、养老机构、福利院、精神卫生医疗机构等特殊场所，重点防控输入性疫情和内部疾病传播。要开展预防性卫生措施，全面排查入监干警职工、养老机构、福利院、精神卫生医疗机构工作人员等，落实体温检测和健康监测制度，禁止有可疑症状的人员上岗。要密切关注服刑人员、机构老年人、儿童、精神障碍患者的健康状况，出现新冠肺炎可疑症状，应当立即隔离观察并及时送医排查。要做好防控物资配备，加强日常消毒和环境卫生，加强个人卫生防护。出现确诊、疑似病例，应对其可能活动场所开展全面消杀，规范处置个人物品，对</w:t>
      </w:r>
      <w:proofErr w:type="gramStart"/>
      <w:r>
        <w:rPr>
          <w:rFonts w:ascii="仿宋" w:eastAsia="仿宋" w:hAnsi="仿宋" w:hint="eastAsia"/>
          <w:color w:val="474646"/>
          <w:sz w:val="32"/>
          <w:szCs w:val="32"/>
        </w:rPr>
        <w:t>其密切</w:t>
      </w:r>
      <w:proofErr w:type="gramEnd"/>
      <w:r>
        <w:rPr>
          <w:rFonts w:ascii="仿宋" w:eastAsia="仿宋" w:hAnsi="仿宋" w:hint="eastAsia"/>
          <w:color w:val="474646"/>
          <w:sz w:val="32"/>
          <w:szCs w:val="32"/>
        </w:rPr>
        <w:t>接触者按要求进行集中隔离医学观察。</w:t>
      </w:r>
      <w:r>
        <w:rPr>
          <w:rFonts w:ascii="仿宋" w:eastAsia="仿宋" w:hAnsi="仿宋" w:hint="eastAsia"/>
          <w:color w:val="474646"/>
          <w:sz w:val="32"/>
          <w:szCs w:val="32"/>
        </w:rPr>
        <w:br/>
        <w:t xml:space="preserve">　　6.加强农村疫情防控。充分发挥农村基层党组织、村民自治组织以及乡镇卫生院、村卫生室作用，组织动员农民群众开展群防群控。减少集市等人群聚集活动，做好出外打工人员防疫常识教育。对乡镇（涉农街道）和村组实行网格化</w:t>
      </w:r>
      <w:r>
        <w:rPr>
          <w:rFonts w:ascii="仿宋" w:eastAsia="仿宋" w:hAnsi="仿宋" w:hint="eastAsia"/>
          <w:color w:val="474646"/>
          <w:sz w:val="32"/>
          <w:szCs w:val="32"/>
        </w:rPr>
        <w:lastRenderedPageBreak/>
        <w:t>管理，对发现病例的县，对</w:t>
      </w:r>
      <w:proofErr w:type="gramStart"/>
      <w:r>
        <w:rPr>
          <w:rFonts w:ascii="仿宋" w:eastAsia="仿宋" w:hAnsi="仿宋" w:hint="eastAsia"/>
          <w:color w:val="474646"/>
          <w:sz w:val="32"/>
          <w:szCs w:val="32"/>
        </w:rPr>
        <w:t>疫</w:t>
      </w:r>
      <w:proofErr w:type="gramEnd"/>
      <w:r>
        <w:rPr>
          <w:rFonts w:ascii="仿宋" w:eastAsia="仿宋" w:hAnsi="仿宋" w:hint="eastAsia"/>
          <w:color w:val="474646"/>
          <w:sz w:val="32"/>
          <w:szCs w:val="32"/>
        </w:rPr>
        <w:t>点进行终末消毒和环境卫生清理，除有病例村组外，允许其他村组村民有序出行。具备条件且防控措施到位的乡村旅游场所，可逐步有序对外开放，经营主体落实防控责任，确保游客和工作人员健康安全。</w:t>
      </w:r>
      <w:r>
        <w:rPr>
          <w:rFonts w:ascii="仿宋" w:eastAsia="仿宋" w:hAnsi="仿宋" w:hint="eastAsia"/>
          <w:color w:val="474646"/>
          <w:sz w:val="32"/>
          <w:szCs w:val="32"/>
        </w:rPr>
        <w:br/>
      </w:r>
      <w:r>
        <w:rPr>
          <w:rFonts w:ascii="黑体" w:eastAsia="黑体" w:hAnsi="黑体" w:hint="eastAsia"/>
          <w:color w:val="474646"/>
          <w:sz w:val="32"/>
          <w:szCs w:val="32"/>
        </w:rPr>
        <w:t xml:space="preserve">　　三、加强组织领导</w:t>
      </w:r>
      <w:r>
        <w:rPr>
          <w:rFonts w:ascii="黑体" w:eastAsia="黑体" w:hAnsi="黑体" w:hint="eastAsia"/>
          <w:color w:val="474646"/>
          <w:sz w:val="32"/>
          <w:szCs w:val="32"/>
        </w:rPr>
        <w:br/>
      </w:r>
      <w:r>
        <w:rPr>
          <w:rFonts w:ascii="楷体" w:eastAsia="楷体" w:hAnsi="楷体" w:hint="eastAsia"/>
          <w:color w:val="474646"/>
          <w:sz w:val="32"/>
          <w:szCs w:val="32"/>
        </w:rPr>
        <w:t xml:space="preserve">　　（一）强化责任落实。</w:t>
      </w:r>
      <w:r>
        <w:rPr>
          <w:rFonts w:ascii="仿宋" w:eastAsia="仿宋" w:hAnsi="仿宋" w:hint="eastAsia"/>
          <w:color w:val="474646"/>
          <w:sz w:val="32"/>
          <w:szCs w:val="32"/>
        </w:rPr>
        <w:t>各地各级要增强大局意识，</w:t>
      </w:r>
      <w:proofErr w:type="gramStart"/>
      <w:r>
        <w:rPr>
          <w:rFonts w:ascii="仿宋" w:eastAsia="仿宋" w:hAnsi="仿宋" w:hint="eastAsia"/>
          <w:color w:val="474646"/>
          <w:sz w:val="32"/>
          <w:szCs w:val="32"/>
        </w:rPr>
        <w:t>统筹抓好</w:t>
      </w:r>
      <w:proofErr w:type="gramEnd"/>
      <w:r>
        <w:rPr>
          <w:rFonts w:ascii="仿宋" w:eastAsia="仿宋" w:hAnsi="仿宋" w:hint="eastAsia"/>
          <w:color w:val="474646"/>
          <w:sz w:val="32"/>
          <w:szCs w:val="32"/>
        </w:rPr>
        <w:t>疫情防控和经济社会发展，压紧压实属地责任、部门责任、单位责任、家庭责任、个人责任，依法依规落实科学防控、精准施策总要求，推动由全面防控向精准防控、重点防控转变。</w:t>
      </w:r>
      <w:r>
        <w:rPr>
          <w:rFonts w:ascii="仿宋" w:eastAsia="仿宋" w:hAnsi="仿宋" w:hint="eastAsia"/>
          <w:color w:val="474646"/>
          <w:sz w:val="32"/>
          <w:szCs w:val="32"/>
        </w:rPr>
        <w:br/>
      </w:r>
      <w:r>
        <w:rPr>
          <w:rFonts w:ascii="楷体" w:eastAsia="楷体" w:hAnsi="楷体" w:hint="eastAsia"/>
          <w:color w:val="474646"/>
          <w:sz w:val="32"/>
          <w:szCs w:val="32"/>
        </w:rPr>
        <w:t xml:space="preserve">　　（二）强化信息通报。</w:t>
      </w:r>
      <w:r>
        <w:rPr>
          <w:rFonts w:ascii="仿宋" w:eastAsia="仿宋" w:hAnsi="仿宋" w:hint="eastAsia"/>
          <w:color w:val="474646"/>
          <w:sz w:val="32"/>
          <w:szCs w:val="32"/>
        </w:rPr>
        <w:t>各省、自治区、直辖市人民政府要尽快公布当前本省低风险、中风险、高风险县（市、区、旗）名单，落实分区分级管控要求，并将动态调整的风险地区名单作为疫情防控工作措施</w:t>
      </w:r>
      <w:proofErr w:type="gramStart"/>
      <w:r>
        <w:rPr>
          <w:rFonts w:ascii="仿宋" w:eastAsia="仿宋" w:hAnsi="仿宋" w:hint="eastAsia"/>
          <w:color w:val="474646"/>
          <w:sz w:val="32"/>
          <w:szCs w:val="32"/>
        </w:rPr>
        <w:t>日报告</w:t>
      </w:r>
      <w:proofErr w:type="gramEnd"/>
      <w:r>
        <w:rPr>
          <w:rFonts w:ascii="仿宋" w:eastAsia="仿宋" w:hAnsi="仿宋" w:hint="eastAsia"/>
          <w:color w:val="474646"/>
          <w:sz w:val="32"/>
          <w:szCs w:val="32"/>
        </w:rPr>
        <w:t>内容及时报送国家卫生健康委。</w:t>
      </w:r>
      <w:r>
        <w:rPr>
          <w:rFonts w:ascii="仿宋" w:eastAsia="仿宋" w:hAnsi="仿宋" w:hint="eastAsia"/>
          <w:color w:val="474646"/>
          <w:sz w:val="32"/>
          <w:szCs w:val="32"/>
        </w:rPr>
        <w:br/>
      </w:r>
      <w:r>
        <w:rPr>
          <w:rFonts w:ascii="楷体" w:eastAsia="楷体" w:hAnsi="楷体" w:hint="eastAsia"/>
          <w:color w:val="474646"/>
          <w:sz w:val="32"/>
          <w:szCs w:val="32"/>
        </w:rPr>
        <w:t xml:space="preserve">　　（三）强化宣传引导。</w:t>
      </w:r>
      <w:r>
        <w:rPr>
          <w:rFonts w:ascii="仿宋" w:eastAsia="仿宋" w:hAnsi="仿宋" w:hint="eastAsia"/>
          <w:color w:val="474646"/>
          <w:sz w:val="32"/>
          <w:szCs w:val="32"/>
        </w:rPr>
        <w:t>切实加强传染病防治法等法律法规宣传，引导全社会在法治轨道上统筹推进各项防控措施。及时回应媒体关切，引导群众切身感受疫情发展的向好趋势。全面做好政策解读，进一步凝聚民心、坚定信心、稳定人心。</w:t>
      </w:r>
      <w:r>
        <w:rPr>
          <w:rFonts w:ascii="仿宋" w:eastAsia="仿宋" w:hAnsi="仿宋" w:hint="eastAsia"/>
          <w:color w:val="474646"/>
          <w:sz w:val="32"/>
          <w:szCs w:val="32"/>
        </w:rPr>
        <w:br/>
      </w:r>
      <w:r>
        <w:rPr>
          <w:rFonts w:ascii="楷体" w:eastAsia="楷体" w:hAnsi="楷体" w:hint="eastAsia"/>
          <w:color w:val="474646"/>
          <w:sz w:val="32"/>
          <w:szCs w:val="32"/>
        </w:rPr>
        <w:t xml:space="preserve">　　（四）强化监测评估。</w:t>
      </w:r>
      <w:r>
        <w:rPr>
          <w:rFonts w:ascii="仿宋" w:eastAsia="仿宋" w:hAnsi="仿宋" w:hint="eastAsia"/>
          <w:color w:val="474646"/>
          <w:sz w:val="32"/>
          <w:szCs w:val="32"/>
        </w:rPr>
        <w:t>动态评估防控成效，及时调整防控策略，全面提高建章立制规范性、风险识别合理性、措施落实精准性。</w:t>
      </w:r>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lastRenderedPageBreak/>
        <w:t>附件：1.</w:t>
      </w:r>
      <w:r>
        <w:rPr>
          <w:rFonts w:ascii="仿宋" w:eastAsia="仿宋" w:hAnsi="仿宋"/>
          <w:color w:val="474646"/>
          <w:sz w:val="32"/>
          <w:szCs w:val="32"/>
        </w:rPr>
        <w:t xml:space="preserve"> </w:t>
      </w:r>
      <w:hyperlink r:id="rId6" w:tgtFrame="_blank" w:history="1">
        <w:r>
          <w:rPr>
            <w:rStyle w:val="a4"/>
            <w:rFonts w:ascii="仿宋" w:eastAsia="仿宋" w:hAnsi="仿宋" w:hint="eastAsia"/>
            <w:sz w:val="32"/>
            <w:szCs w:val="32"/>
          </w:rPr>
          <w:t>人员健康管理技术方案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2.</w:t>
      </w:r>
      <w:hyperlink r:id="rId7" w:tgtFrame="_blank" w:history="1">
        <w:r>
          <w:rPr>
            <w:rStyle w:val="a4"/>
            <w:rFonts w:ascii="仿宋" w:eastAsia="仿宋" w:hAnsi="仿宋" w:hint="eastAsia"/>
            <w:sz w:val="32"/>
            <w:szCs w:val="32"/>
          </w:rPr>
          <w:t>新冠肺炎“四早”技术方案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3.</w:t>
      </w:r>
      <w:hyperlink r:id="rId8" w:tgtFrame="_blank" w:history="1">
        <w:r>
          <w:rPr>
            <w:rStyle w:val="a4"/>
            <w:rFonts w:ascii="仿宋" w:eastAsia="仿宋" w:hAnsi="仿宋" w:hint="eastAsia"/>
            <w:sz w:val="32"/>
            <w:szCs w:val="32"/>
          </w:rPr>
          <w:t>医疗机构新冠肺炎防控技术方案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4.</w:t>
      </w:r>
      <w:hyperlink r:id="rId9" w:tgtFrame="_blank" w:history="1">
        <w:r>
          <w:rPr>
            <w:rStyle w:val="a4"/>
            <w:rFonts w:ascii="仿宋" w:eastAsia="仿宋" w:hAnsi="仿宋" w:hint="eastAsia"/>
            <w:sz w:val="32"/>
            <w:szCs w:val="32"/>
          </w:rPr>
          <w:t>社区（乡镇、村）新冠肺炎防控技术方案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5.</w:t>
      </w:r>
      <w:hyperlink r:id="rId10" w:tgtFrame="_blank" w:history="1">
        <w:r>
          <w:rPr>
            <w:rStyle w:val="a4"/>
            <w:rFonts w:ascii="仿宋" w:eastAsia="仿宋" w:hAnsi="仿宋" w:hint="eastAsia"/>
            <w:sz w:val="32"/>
            <w:szCs w:val="32"/>
          </w:rPr>
          <w:t>办公场所和公共场所新冠肺炎防控技术方案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6.</w:t>
      </w:r>
      <w:hyperlink r:id="rId11" w:tgtFrame="_blank" w:history="1">
        <w:r>
          <w:rPr>
            <w:rStyle w:val="a4"/>
            <w:rFonts w:ascii="仿宋" w:eastAsia="仿宋" w:hAnsi="仿宋" w:hint="eastAsia"/>
            <w:sz w:val="32"/>
            <w:szCs w:val="32"/>
          </w:rPr>
          <w:t>工业企业和建筑施工企业新冠肺炎防控技术方案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7.</w:t>
      </w:r>
      <w:hyperlink r:id="rId12" w:tgtFrame="_blank" w:history="1">
        <w:r>
          <w:rPr>
            <w:rStyle w:val="a4"/>
            <w:rFonts w:ascii="仿宋" w:eastAsia="仿宋" w:hAnsi="仿宋" w:hint="eastAsia"/>
            <w:sz w:val="32"/>
            <w:szCs w:val="32"/>
          </w:rPr>
          <w:t>商场、超市等场所新冠肺炎防控技术方案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8.</w:t>
      </w:r>
      <w:hyperlink r:id="rId13" w:tgtFrame="_blank" w:history="1">
        <w:r>
          <w:rPr>
            <w:rStyle w:val="a4"/>
            <w:rFonts w:ascii="仿宋" w:eastAsia="仿宋" w:hAnsi="仿宋" w:hint="eastAsia"/>
            <w:sz w:val="32"/>
            <w:szCs w:val="32"/>
          </w:rPr>
          <w:t>客运场站及交通运输工具新冠肺炎防控技术方案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9.</w:t>
      </w:r>
      <w:hyperlink r:id="rId14" w:tgtFrame="_blank" w:history="1">
        <w:r>
          <w:rPr>
            <w:rStyle w:val="a4"/>
            <w:rFonts w:ascii="仿宋" w:eastAsia="仿宋" w:hAnsi="仿宋" w:hint="eastAsia"/>
            <w:sz w:val="32"/>
            <w:szCs w:val="32"/>
          </w:rPr>
          <w:t>托幼机构新冠肺炎防控技术方案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10.</w:t>
      </w:r>
      <w:hyperlink r:id="rId15" w:tgtFrame="_blank" w:history="1">
        <w:r>
          <w:rPr>
            <w:rStyle w:val="a4"/>
            <w:rFonts w:ascii="仿宋" w:eastAsia="仿宋" w:hAnsi="仿宋" w:hint="eastAsia"/>
            <w:sz w:val="32"/>
            <w:szCs w:val="32"/>
          </w:rPr>
          <w:t>中小学校新冠肺炎防控技术方案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11.</w:t>
      </w:r>
      <w:hyperlink r:id="rId16" w:tgtFrame="_blank" w:history="1">
        <w:r>
          <w:rPr>
            <w:rStyle w:val="a4"/>
            <w:rFonts w:ascii="仿宋" w:eastAsia="仿宋" w:hAnsi="仿宋" w:hint="eastAsia"/>
            <w:sz w:val="32"/>
            <w:szCs w:val="32"/>
          </w:rPr>
          <w:t>大专院校新冠肺炎防控技术方案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12.</w:t>
      </w:r>
      <w:hyperlink r:id="rId17" w:tgtFrame="_blank" w:history="1">
        <w:r>
          <w:rPr>
            <w:rStyle w:val="a4"/>
            <w:rFonts w:ascii="仿宋" w:eastAsia="仿宋" w:hAnsi="仿宋" w:hint="eastAsia"/>
            <w:sz w:val="32"/>
            <w:szCs w:val="32"/>
          </w:rPr>
          <w:t>监狱新冠肺炎防控技术方案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13.</w:t>
      </w:r>
      <w:hyperlink r:id="rId18" w:tgtFrame="_blank" w:history="1">
        <w:r>
          <w:rPr>
            <w:rStyle w:val="a4"/>
            <w:rFonts w:ascii="仿宋" w:eastAsia="仿宋" w:hAnsi="仿宋" w:hint="eastAsia"/>
            <w:sz w:val="32"/>
            <w:szCs w:val="32"/>
          </w:rPr>
          <w:t>养老机构（老年福利院）老年人新冠肺炎防控技术方案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14.</w:t>
      </w:r>
      <w:hyperlink r:id="rId19" w:tgtFrame="_blank" w:history="1">
        <w:r>
          <w:rPr>
            <w:rStyle w:val="a4"/>
            <w:rFonts w:ascii="仿宋" w:eastAsia="仿宋" w:hAnsi="仿宋" w:hint="eastAsia"/>
            <w:sz w:val="32"/>
            <w:szCs w:val="32"/>
          </w:rPr>
          <w:t>儿童福利院新冠肺炎防控技术方案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r>
        <w:rPr>
          <w:rFonts w:ascii="仿宋" w:eastAsia="仿宋" w:hAnsi="仿宋" w:hint="eastAsia"/>
          <w:color w:val="474646"/>
          <w:sz w:val="32"/>
          <w:szCs w:val="32"/>
        </w:rPr>
        <w:t xml:space="preserve">　15.</w:t>
      </w:r>
      <w:hyperlink r:id="rId20" w:tgtFrame="_blank" w:history="1">
        <w:r>
          <w:rPr>
            <w:rStyle w:val="a4"/>
            <w:rFonts w:ascii="仿宋" w:eastAsia="仿宋" w:hAnsi="仿宋" w:hint="eastAsia"/>
            <w:sz w:val="32"/>
            <w:szCs w:val="32"/>
          </w:rPr>
          <w:t>精神卫生医疗机构新冠肺炎防控技术方案</w:t>
        </w:r>
      </w:hyperlink>
    </w:p>
    <w:p w:rsidR="0098185F" w:rsidRDefault="0098185F" w:rsidP="0098185F">
      <w:pPr>
        <w:pStyle w:val="a3"/>
        <w:spacing w:before="0" w:beforeAutospacing="0" w:after="0" w:afterAutospacing="0" w:line="360" w:lineRule="auto"/>
        <w:jc w:val="both"/>
        <w:rPr>
          <w:rFonts w:ascii="仿宋" w:eastAsia="仿宋" w:hAnsi="仿宋"/>
          <w:color w:val="474646"/>
          <w:sz w:val="32"/>
          <w:szCs w:val="32"/>
        </w:rPr>
      </w:pPr>
    </w:p>
    <w:p w:rsidR="0098185F" w:rsidRDefault="0098185F" w:rsidP="0098185F">
      <w:pPr>
        <w:pStyle w:val="a3"/>
        <w:jc w:val="both"/>
        <w:rPr>
          <w:rFonts w:ascii="仿宋" w:eastAsia="仿宋" w:hAnsi="仿宋"/>
          <w:color w:val="474646"/>
          <w:sz w:val="32"/>
          <w:szCs w:val="32"/>
        </w:rPr>
      </w:pPr>
      <w:r>
        <w:rPr>
          <w:rFonts w:ascii="仿宋" w:eastAsia="仿宋" w:hAnsi="仿宋" w:hint="eastAsia"/>
          <w:color w:val="474646"/>
          <w:sz w:val="32"/>
          <w:szCs w:val="32"/>
        </w:rPr>
        <w:t> </w:t>
      </w:r>
      <w:r>
        <w:rPr>
          <w:rFonts w:ascii="仿宋" w:eastAsia="仿宋" w:hAnsi="仿宋" w:hint="eastAsia"/>
          <w:color w:val="474646"/>
          <w:sz w:val="32"/>
          <w:szCs w:val="32"/>
        </w:rPr>
        <w:t xml:space="preserve"> </w:t>
      </w:r>
      <w:r>
        <w:rPr>
          <w:rFonts w:ascii="仿宋" w:eastAsia="仿宋" w:hAnsi="仿宋"/>
          <w:color w:val="474646"/>
          <w:sz w:val="32"/>
          <w:szCs w:val="32"/>
        </w:rPr>
        <w:t xml:space="preserve">                       </w:t>
      </w:r>
      <w:r>
        <w:rPr>
          <w:rFonts w:ascii="仿宋" w:eastAsia="仿宋" w:hAnsi="仿宋" w:hint="eastAsia"/>
          <w:color w:val="474646"/>
          <w:sz w:val="32"/>
          <w:szCs w:val="32"/>
        </w:rPr>
        <w:t>国务院应对新型冠状病毒肺炎</w:t>
      </w:r>
    </w:p>
    <w:p w:rsidR="0098185F" w:rsidRDefault="0098185F" w:rsidP="0098185F">
      <w:pPr>
        <w:pStyle w:val="a3"/>
        <w:jc w:val="right"/>
        <w:rPr>
          <w:rFonts w:ascii="仿宋" w:eastAsia="仿宋" w:hAnsi="仿宋"/>
          <w:color w:val="474646"/>
          <w:sz w:val="32"/>
          <w:szCs w:val="32"/>
        </w:rPr>
      </w:pPr>
      <w:r>
        <w:rPr>
          <w:rFonts w:ascii="仿宋" w:eastAsia="仿宋" w:hAnsi="仿宋" w:hint="eastAsia"/>
          <w:color w:val="474646"/>
          <w:sz w:val="32"/>
          <w:szCs w:val="32"/>
        </w:rPr>
        <w:t>疫情联防联控机制</w:t>
      </w:r>
    </w:p>
    <w:p w:rsidR="0098185F" w:rsidRDefault="0098185F" w:rsidP="0098185F">
      <w:pPr>
        <w:pStyle w:val="a3"/>
        <w:jc w:val="right"/>
        <w:rPr>
          <w:rFonts w:ascii="仿宋" w:eastAsia="仿宋" w:hAnsi="仿宋"/>
          <w:color w:val="474646"/>
          <w:sz w:val="32"/>
          <w:szCs w:val="32"/>
        </w:rPr>
      </w:pPr>
      <w:r>
        <w:rPr>
          <w:rFonts w:ascii="仿宋" w:eastAsia="仿宋" w:hAnsi="仿宋" w:hint="eastAsia"/>
          <w:color w:val="474646"/>
          <w:sz w:val="32"/>
          <w:szCs w:val="32"/>
        </w:rPr>
        <w:t xml:space="preserve">2020年2月24日　　</w:t>
      </w:r>
    </w:p>
    <w:p w:rsidR="00341113" w:rsidRPr="00341113" w:rsidRDefault="0098185F" w:rsidP="0019013A">
      <w:pPr>
        <w:pStyle w:val="a3"/>
        <w:jc w:val="right"/>
      </w:pPr>
      <w:r>
        <w:rPr>
          <w:rFonts w:ascii="仿宋" w:eastAsia="仿宋" w:hAnsi="仿宋" w:hint="eastAsia"/>
          <w:color w:val="474646"/>
          <w:sz w:val="32"/>
          <w:szCs w:val="32"/>
        </w:rPr>
        <w:t>（信息公开形式：主动公开）</w:t>
      </w:r>
      <w:bookmarkStart w:id="0" w:name="_GoBack"/>
      <w:bookmarkEnd w:id="0"/>
    </w:p>
    <w:sectPr w:rsidR="00341113" w:rsidRPr="00341113">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4F1" w:rsidRDefault="007574F1" w:rsidP="002F6DC0">
      <w:r>
        <w:separator/>
      </w:r>
    </w:p>
  </w:endnote>
  <w:endnote w:type="continuationSeparator" w:id="0">
    <w:p w:rsidR="007574F1" w:rsidRDefault="007574F1" w:rsidP="002F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791328"/>
      <w:docPartObj>
        <w:docPartGallery w:val="Page Numbers (Bottom of Page)"/>
        <w:docPartUnique/>
      </w:docPartObj>
    </w:sdtPr>
    <w:sdtEndPr/>
    <w:sdtContent>
      <w:p w:rsidR="002F6DC0" w:rsidRDefault="002F6DC0">
        <w:pPr>
          <w:pStyle w:val="a9"/>
          <w:jc w:val="center"/>
        </w:pPr>
        <w:r>
          <w:fldChar w:fldCharType="begin"/>
        </w:r>
        <w:r>
          <w:instrText>PAGE   \* MERGEFORMAT</w:instrText>
        </w:r>
        <w:r>
          <w:fldChar w:fldCharType="separate"/>
        </w:r>
        <w:r>
          <w:rPr>
            <w:lang w:val="zh-CN"/>
          </w:rPr>
          <w:t>2</w:t>
        </w:r>
        <w:r>
          <w:fldChar w:fldCharType="end"/>
        </w:r>
      </w:p>
    </w:sdtContent>
  </w:sdt>
  <w:p w:rsidR="002F6DC0" w:rsidRDefault="002F6DC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4F1" w:rsidRDefault="007574F1" w:rsidP="002F6DC0">
      <w:r>
        <w:separator/>
      </w:r>
    </w:p>
  </w:footnote>
  <w:footnote w:type="continuationSeparator" w:id="0">
    <w:p w:rsidR="007574F1" w:rsidRDefault="007574F1" w:rsidP="002F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13"/>
    <w:rsid w:val="00010971"/>
    <w:rsid w:val="000330D9"/>
    <w:rsid w:val="00043D64"/>
    <w:rsid w:val="00046781"/>
    <w:rsid w:val="00064722"/>
    <w:rsid w:val="00066F75"/>
    <w:rsid w:val="000876D6"/>
    <w:rsid w:val="000944E5"/>
    <w:rsid w:val="001069D6"/>
    <w:rsid w:val="00123102"/>
    <w:rsid w:val="00144B2B"/>
    <w:rsid w:val="00166271"/>
    <w:rsid w:val="0019013A"/>
    <w:rsid w:val="001B4086"/>
    <w:rsid w:val="001D02F7"/>
    <w:rsid w:val="001D2C73"/>
    <w:rsid w:val="001E6580"/>
    <w:rsid w:val="002213F7"/>
    <w:rsid w:val="002325CD"/>
    <w:rsid w:val="002430FB"/>
    <w:rsid w:val="00282215"/>
    <w:rsid w:val="00294960"/>
    <w:rsid w:val="002B1359"/>
    <w:rsid w:val="002D4A9A"/>
    <w:rsid w:val="002E34DF"/>
    <w:rsid w:val="002F4627"/>
    <w:rsid w:val="002F6DC0"/>
    <w:rsid w:val="003243EC"/>
    <w:rsid w:val="00340D4C"/>
    <w:rsid w:val="00341113"/>
    <w:rsid w:val="00390D76"/>
    <w:rsid w:val="003D4162"/>
    <w:rsid w:val="00401D32"/>
    <w:rsid w:val="00425CCD"/>
    <w:rsid w:val="004741F4"/>
    <w:rsid w:val="00481E04"/>
    <w:rsid w:val="004C7FC1"/>
    <w:rsid w:val="00533B65"/>
    <w:rsid w:val="00567F4C"/>
    <w:rsid w:val="00580428"/>
    <w:rsid w:val="00587803"/>
    <w:rsid w:val="005A3819"/>
    <w:rsid w:val="005C0FA2"/>
    <w:rsid w:val="005D4F3B"/>
    <w:rsid w:val="005E14D1"/>
    <w:rsid w:val="00686174"/>
    <w:rsid w:val="00691ED0"/>
    <w:rsid w:val="006A482C"/>
    <w:rsid w:val="006C09AC"/>
    <w:rsid w:val="006C1BA3"/>
    <w:rsid w:val="00705777"/>
    <w:rsid w:val="00707569"/>
    <w:rsid w:val="00746076"/>
    <w:rsid w:val="007574F1"/>
    <w:rsid w:val="007B06B1"/>
    <w:rsid w:val="0087063C"/>
    <w:rsid w:val="008C3B0F"/>
    <w:rsid w:val="008E53A3"/>
    <w:rsid w:val="008F4F7D"/>
    <w:rsid w:val="00921873"/>
    <w:rsid w:val="0094331F"/>
    <w:rsid w:val="009648E5"/>
    <w:rsid w:val="0098185F"/>
    <w:rsid w:val="009A3256"/>
    <w:rsid w:val="009B1D3C"/>
    <w:rsid w:val="009D122C"/>
    <w:rsid w:val="009F6668"/>
    <w:rsid w:val="00A11662"/>
    <w:rsid w:val="00AA5034"/>
    <w:rsid w:val="00B51305"/>
    <w:rsid w:val="00BA78D3"/>
    <w:rsid w:val="00BB5E32"/>
    <w:rsid w:val="00BC0A9F"/>
    <w:rsid w:val="00BD57C2"/>
    <w:rsid w:val="00C04F0F"/>
    <w:rsid w:val="00C06F4F"/>
    <w:rsid w:val="00CB3A26"/>
    <w:rsid w:val="00CD2C21"/>
    <w:rsid w:val="00D14769"/>
    <w:rsid w:val="00D205F7"/>
    <w:rsid w:val="00D20C35"/>
    <w:rsid w:val="00D82523"/>
    <w:rsid w:val="00D86FAC"/>
    <w:rsid w:val="00E63EA3"/>
    <w:rsid w:val="00E90E33"/>
    <w:rsid w:val="00EC2602"/>
    <w:rsid w:val="00EC3CD0"/>
    <w:rsid w:val="00F20C87"/>
    <w:rsid w:val="00F33EC8"/>
    <w:rsid w:val="00F61DC7"/>
    <w:rsid w:val="00F74495"/>
    <w:rsid w:val="00F82D4A"/>
    <w:rsid w:val="00FC5DD4"/>
    <w:rsid w:val="00FF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792BF6-084E-44FB-9F2B-86FE3BCE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111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8185F"/>
    <w:rPr>
      <w:strike w:val="0"/>
      <w:dstrike w:val="0"/>
      <w:color w:val="484848"/>
      <w:u w:val="none"/>
      <w:effect w:val="none"/>
    </w:rPr>
  </w:style>
  <w:style w:type="paragraph" w:styleId="a5">
    <w:name w:val="Date"/>
    <w:basedOn w:val="a"/>
    <w:next w:val="a"/>
    <w:link w:val="a6"/>
    <w:uiPriority w:val="99"/>
    <w:semiHidden/>
    <w:unhideWhenUsed/>
    <w:rsid w:val="0098185F"/>
    <w:pPr>
      <w:ind w:leftChars="2500" w:left="100"/>
    </w:pPr>
  </w:style>
  <w:style w:type="character" w:customStyle="1" w:styleId="a6">
    <w:name w:val="日期 字符"/>
    <w:basedOn w:val="a0"/>
    <w:link w:val="a5"/>
    <w:uiPriority w:val="99"/>
    <w:semiHidden/>
    <w:rsid w:val="0098185F"/>
  </w:style>
  <w:style w:type="paragraph" w:styleId="a7">
    <w:name w:val="header"/>
    <w:basedOn w:val="a"/>
    <w:link w:val="a8"/>
    <w:uiPriority w:val="99"/>
    <w:unhideWhenUsed/>
    <w:rsid w:val="002F6DC0"/>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2F6DC0"/>
    <w:rPr>
      <w:sz w:val="18"/>
      <w:szCs w:val="18"/>
    </w:rPr>
  </w:style>
  <w:style w:type="paragraph" w:styleId="a9">
    <w:name w:val="footer"/>
    <w:basedOn w:val="a"/>
    <w:link w:val="aa"/>
    <w:uiPriority w:val="99"/>
    <w:unhideWhenUsed/>
    <w:rsid w:val="002F6DC0"/>
    <w:pPr>
      <w:tabs>
        <w:tab w:val="center" w:pos="4153"/>
        <w:tab w:val="right" w:pos="8306"/>
      </w:tabs>
      <w:snapToGrid w:val="0"/>
      <w:jc w:val="left"/>
    </w:pPr>
    <w:rPr>
      <w:sz w:val="18"/>
      <w:szCs w:val="18"/>
    </w:rPr>
  </w:style>
  <w:style w:type="character" w:customStyle="1" w:styleId="aa">
    <w:name w:val="页脚 字符"/>
    <w:basedOn w:val="a0"/>
    <w:link w:val="a9"/>
    <w:uiPriority w:val="99"/>
    <w:rsid w:val="002F6D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404803">
      <w:bodyDiv w:val="1"/>
      <w:marLeft w:val="0"/>
      <w:marRight w:val="0"/>
      <w:marTop w:val="0"/>
      <w:marBottom w:val="0"/>
      <w:divBdr>
        <w:top w:val="none" w:sz="0" w:space="0" w:color="auto"/>
        <w:left w:val="none" w:sz="0" w:space="0" w:color="auto"/>
        <w:bottom w:val="none" w:sz="0" w:space="0" w:color="auto"/>
        <w:right w:val="none" w:sz="0" w:space="0" w:color="auto"/>
      </w:divBdr>
      <w:divsChild>
        <w:div w:id="794055918">
          <w:marLeft w:val="0"/>
          <w:marRight w:val="0"/>
          <w:marTop w:val="0"/>
          <w:marBottom w:val="0"/>
          <w:divBdr>
            <w:top w:val="none" w:sz="0" w:space="0" w:color="auto"/>
            <w:left w:val="none" w:sz="0" w:space="0" w:color="auto"/>
            <w:bottom w:val="none" w:sz="0" w:space="0" w:color="auto"/>
            <w:right w:val="none" w:sz="0" w:space="0" w:color="auto"/>
          </w:divBdr>
          <w:divsChild>
            <w:div w:id="491802434">
              <w:marLeft w:val="0"/>
              <w:marRight w:val="0"/>
              <w:marTop w:val="240"/>
              <w:marBottom w:val="0"/>
              <w:divBdr>
                <w:top w:val="single" w:sz="6" w:space="14" w:color="E6E6E6"/>
                <w:left w:val="single" w:sz="6" w:space="18" w:color="E6E6E6"/>
                <w:bottom w:val="single" w:sz="6" w:space="15" w:color="E6E6E6"/>
                <w:right w:val="single" w:sz="6" w:space="15" w:color="E6E6E6"/>
              </w:divBdr>
              <w:divsChild>
                <w:div w:id="18521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0058">
      <w:bodyDiv w:val="1"/>
      <w:marLeft w:val="0"/>
      <w:marRight w:val="0"/>
      <w:marTop w:val="0"/>
      <w:marBottom w:val="0"/>
      <w:divBdr>
        <w:top w:val="none" w:sz="0" w:space="0" w:color="auto"/>
        <w:left w:val="none" w:sz="0" w:space="0" w:color="auto"/>
        <w:bottom w:val="none" w:sz="0" w:space="0" w:color="auto"/>
        <w:right w:val="none" w:sz="0" w:space="0" w:color="auto"/>
      </w:divBdr>
      <w:divsChild>
        <w:div w:id="199902239">
          <w:marLeft w:val="0"/>
          <w:marRight w:val="0"/>
          <w:marTop w:val="0"/>
          <w:marBottom w:val="0"/>
          <w:divBdr>
            <w:top w:val="none" w:sz="0" w:space="0" w:color="auto"/>
            <w:left w:val="none" w:sz="0" w:space="0" w:color="auto"/>
            <w:bottom w:val="none" w:sz="0" w:space="0" w:color="auto"/>
            <w:right w:val="none" w:sz="0" w:space="0" w:color="auto"/>
          </w:divBdr>
          <w:divsChild>
            <w:div w:id="43333506">
              <w:marLeft w:val="0"/>
              <w:marRight w:val="0"/>
              <w:marTop w:val="240"/>
              <w:marBottom w:val="0"/>
              <w:divBdr>
                <w:top w:val="single" w:sz="6" w:space="14" w:color="E6E6E6"/>
                <w:left w:val="single" w:sz="6" w:space="18" w:color="E6E6E6"/>
                <w:bottom w:val="single" w:sz="6" w:space="15" w:color="E6E6E6"/>
                <w:right w:val="single" w:sz="6" w:space="15" w:color="E6E6E6"/>
              </w:divBdr>
              <w:divsChild>
                <w:div w:id="12115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gov.cn/jkj/s3577/202002/69b3fdcbb61f499ba50a25cdf1d5374e/files/726360eada1249158300477624b3b2e6.docx" TargetMode="External"/><Relationship Id="rId13" Type="http://schemas.openxmlformats.org/officeDocument/2006/relationships/hyperlink" Target="http://www.nhc.gov.cn/jkj/s3577/202002/69b3fdcbb61f499ba50a25cdf1d5374e/files/a4bda25a790342e9a241eeb17cdf6879.docx" TargetMode="External"/><Relationship Id="rId18" Type="http://schemas.openxmlformats.org/officeDocument/2006/relationships/hyperlink" Target="http://www.nhc.gov.cn/jkj/s3577/202002/69b3fdcbb61f499ba50a25cdf1d5374e/files/291f024450bf40d69b96526a03254ab2.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nhc.gov.cn/jkj/s3577/202002/69b3fdcbb61f499ba50a25cdf1d5374e/files/dd48aed595fd464ba8062e92e97a1fcd.docx" TargetMode="External"/><Relationship Id="rId12" Type="http://schemas.openxmlformats.org/officeDocument/2006/relationships/hyperlink" Target="http://www.nhc.gov.cn/jkj/s3577/202002/69b3fdcbb61f499ba50a25cdf1d5374e/files/54ad6add884c409090b2fe372e0895d4.docx" TargetMode="External"/><Relationship Id="rId17" Type="http://schemas.openxmlformats.org/officeDocument/2006/relationships/hyperlink" Target="http://www.nhc.gov.cn/jkj/s3577/202002/69b3fdcbb61f499ba50a25cdf1d5374e/files/ab36996b256848619f5a32f4e1296b67.docx" TargetMode="External"/><Relationship Id="rId2" Type="http://schemas.openxmlformats.org/officeDocument/2006/relationships/settings" Target="settings.xml"/><Relationship Id="rId16" Type="http://schemas.openxmlformats.org/officeDocument/2006/relationships/hyperlink" Target="http://www.nhc.gov.cn/jkj/s3577/202002/69b3fdcbb61f499ba50a25cdf1d5374e/files/063c615a382e448b92f2cfb04a646de7.docx" TargetMode="External"/><Relationship Id="rId20" Type="http://schemas.openxmlformats.org/officeDocument/2006/relationships/hyperlink" Target="http://www.nhc.gov.cn/jkj/s3577/202002/69b3fdcbb61f499ba50a25cdf1d5374e/files/3e62fb74f8cf4fb6bf7e9de89ec71b87.docx" TargetMode="External"/><Relationship Id="rId1" Type="http://schemas.openxmlformats.org/officeDocument/2006/relationships/styles" Target="styles.xml"/><Relationship Id="rId6" Type="http://schemas.openxmlformats.org/officeDocument/2006/relationships/hyperlink" Target="http://www.nhc.gov.cn/jkj/s3577/202002/69b3fdcbb61f499ba50a25cdf1d5374e/files/e143b9c807dd4741bcd9a3266f6e838d.docx" TargetMode="External"/><Relationship Id="rId11" Type="http://schemas.openxmlformats.org/officeDocument/2006/relationships/hyperlink" Target="http://www.nhc.gov.cn/jkj/s3577/202002/69b3fdcbb61f499ba50a25cdf1d5374e/files/52783d2ef7334cf1a2643c56939c357f.docx" TargetMode="External"/><Relationship Id="rId5" Type="http://schemas.openxmlformats.org/officeDocument/2006/relationships/endnotes" Target="endnotes.xml"/><Relationship Id="rId15" Type="http://schemas.openxmlformats.org/officeDocument/2006/relationships/hyperlink" Target="http://www.nhc.gov.cn/jkj/s3577/202002/69b3fdcbb61f499ba50a25cdf1d5374e/files/b105c84d461d4e49a7e85a2721c95834.docx" TargetMode="External"/><Relationship Id="rId23" Type="http://schemas.openxmlformats.org/officeDocument/2006/relationships/theme" Target="theme/theme1.xml"/><Relationship Id="rId10" Type="http://schemas.openxmlformats.org/officeDocument/2006/relationships/hyperlink" Target="http://www.nhc.gov.cn/jkj/s3577/202002/69b3fdcbb61f499ba50a25cdf1d5374e/files/8b769eabc6ce44b3be4a6b4d15e08757.docx" TargetMode="External"/><Relationship Id="rId19" Type="http://schemas.openxmlformats.org/officeDocument/2006/relationships/hyperlink" Target="http://www.nhc.gov.cn/jkj/s3577/202002/69b3fdcbb61f499ba50a25cdf1d5374e/files/2898cf094add44bfbfcb7d8316351028.docx" TargetMode="External"/><Relationship Id="rId4" Type="http://schemas.openxmlformats.org/officeDocument/2006/relationships/footnotes" Target="footnotes.xml"/><Relationship Id="rId9" Type="http://schemas.openxmlformats.org/officeDocument/2006/relationships/hyperlink" Target="http://www.nhc.gov.cn/jkj/s3577/202002/69b3fdcbb61f499ba50a25cdf1d5374e/files/c8899730d988435e98dd52d6d47e7dd9.docx" TargetMode="External"/><Relationship Id="rId14" Type="http://schemas.openxmlformats.org/officeDocument/2006/relationships/hyperlink" Target="http://www.nhc.gov.cn/jkj/s3577/202002/69b3fdcbb61f499ba50a25cdf1d5374e/files/49b6fdbd38ff4fc9b4b0329c459b3f69.docx"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正一 吴</dc:creator>
  <cp:keywords/>
  <dc:description/>
  <cp:lastModifiedBy>正一 吴</cp:lastModifiedBy>
  <cp:revision>4</cp:revision>
  <dcterms:created xsi:type="dcterms:W3CDTF">2020-02-25T05:36:00Z</dcterms:created>
  <dcterms:modified xsi:type="dcterms:W3CDTF">2020-02-25T05:55:00Z</dcterms:modified>
</cp:coreProperties>
</file>