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asciiTheme="majorEastAsia" w:hAnsiTheme="majorEastAsia" w:eastAsiaTheme="majorEastAsia"/>
          <w:b/>
          <w:sz w:val="52"/>
          <w:szCs w:val="52"/>
        </w:rPr>
      </w:pPr>
      <w:r>
        <w:rPr>
          <w:rFonts w:hint="eastAsia" w:asciiTheme="majorEastAsia" w:hAnsiTheme="majorEastAsia" w:eastAsiaTheme="majorEastAsia"/>
          <w:b/>
          <w:sz w:val="52"/>
          <w:szCs w:val="52"/>
        </w:rPr>
        <w:t>附件2</w:t>
      </w:r>
    </w:p>
    <w:p>
      <w:pPr>
        <w:spacing w:line="220" w:lineRule="atLeast"/>
        <w:rPr>
          <w:rFonts w:asciiTheme="majorEastAsia" w:hAnsiTheme="majorEastAsia" w:eastAsiaTheme="majorEastAsia"/>
          <w:b/>
          <w:sz w:val="52"/>
          <w:szCs w:val="52"/>
        </w:rPr>
      </w:pPr>
    </w:p>
    <w:p>
      <w:pPr>
        <w:spacing w:line="220" w:lineRule="atLeast"/>
        <w:rPr>
          <w:rFonts w:asciiTheme="majorEastAsia" w:hAnsiTheme="majorEastAsia" w:eastAsiaTheme="majorEastAsia"/>
          <w:b/>
          <w:sz w:val="52"/>
          <w:szCs w:val="52"/>
        </w:rPr>
      </w:pPr>
    </w:p>
    <w:p>
      <w:pPr>
        <w:spacing w:line="220" w:lineRule="atLeast"/>
        <w:rPr>
          <w:rFonts w:asciiTheme="majorEastAsia" w:hAnsiTheme="majorEastAsia" w:eastAsiaTheme="majorEastAsia"/>
          <w:b/>
          <w:sz w:val="52"/>
          <w:szCs w:val="52"/>
        </w:rPr>
      </w:pPr>
    </w:p>
    <w:p>
      <w:pPr>
        <w:spacing w:line="220" w:lineRule="atLeast"/>
        <w:rPr>
          <w:rFonts w:asciiTheme="majorEastAsia" w:hAnsiTheme="majorEastAsia" w:eastAsiaTheme="majorEastAsia"/>
          <w:b/>
          <w:sz w:val="52"/>
          <w:szCs w:val="52"/>
        </w:rPr>
      </w:pPr>
    </w:p>
    <w:p>
      <w:pPr>
        <w:spacing w:line="220" w:lineRule="atLeast"/>
        <w:rPr>
          <w:rFonts w:asciiTheme="majorEastAsia" w:hAnsiTheme="majorEastAsia" w:eastAsiaTheme="majorEastAsia"/>
          <w:b/>
          <w:sz w:val="52"/>
          <w:szCs w:val="52"/>
        </w:rPr>
      </w:pPr>
      <w:r>
        <w:rPr>
          <w:rFonts w:asciiTheme="majorEastAsia" w:hAnsiTheme="majorEastAsia" w:eastAsiaTheme="majorEastAsia"/>
          <w:b/>
          <w:sz w:val="52"/>
          <w:szCs w:val="52"/>
        </w:rPr>
        <w:t>2021年海南博鳌乐城国际医疗旅游先行区医疗药品监督管理局预算</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jc w:val="center"/>
        <w:rPr>
          <w:rFonts w:ascii="黑体" w:hAnsi="黑体" w:eastAsia="黑体"/>
          <w:sz w:val="52"/>
          <w:szCs w:val="52"/>
        </w:rPr>
      </w:pPr>
      <w:r>
        <w:rPr>
          <w:rFonts w:hint="eastAsia" w:ascii="黑体" w:hAnsi="黑体" w:eastAsia="黑体"/>
          <w:sz w:val="52"/>
          <w:szCs w:val="52"/>
        </w:rPr>
        <w:t>目录</w:t>
      </w:r>
    </w:p>
    <w:p>
      <w:pPr>
        <w:spacing w:line="220" w:lineRule="atLeast"/>
        <w:rPr>
          <w:rFonts w:ascii="黑体" w:hAnsi="黑体" w:eastAsia="黑体"/>
          <w:sz w:val="32"/>
          <w:szCs w:val="32"/>
        </w:rPr>
      </w:pPr>
      <w:r>
        <w:rPr>
          <w:rFonts w:hint="eastAsia" w:ascii="黑体" w:hAnsi="黑体" w:eastAsia="黑体"/>
          <w:sz w:val="32"/>
          <w:szCs w:val="32"/>
        </w:rPr>
        <w:t>第一部分</w:t>
      </w:r>
      <w:r>
        <w:rPr>
          <w:rFonts w:hint="eastAsia" w:ascii="黑体" w:hAnsi="黑体" w:eastAsia="黑体"/>
          <w:sz w:val="32"/>
          <w:szCs w:val="32"/>
        </w:rPr>
        <w:tab/>
      </w:r>
      <w:r>
        <w:rPr>
          <w:rFonts w:hint="eastAsia" w:ascii="黑体" w:hAnsi="黑体" w:eastAsia="黑体"/>
          <w:sz w:val="32"/>
          <w:szCs w:val="32"/>
        </w:rPr>
        <w:t xml:space="preserve">  海南博鳌乐城国际医疗旅游先行区医疗药品监督管理局概况 </w:t>
      </w:r>
    </w:p>
    <w:p>
      <w:pPr>
        <w:spacing w:line="220" w:lineRule="atLeast"/>
        <w:rPr>
          <w:rFonts w:hint="eastAsia"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rPr>
        <w:tab/>
      </w:r>
      <w:r>
        <w:rPr>
          <w:rFonts w:hint="eastAsia" w:ascii="黑体" w:hAnsi="黑体" w:eastAsia="黑体"/>
          <w:sz w:val="32"/>
          <w:szCs w:val="32"/>
        </w:rPr>
        <w:t>主要职能</w:t>
      </w:r>
    </w:p>
    <w:p>
      <w:pPr>
        <w:spacing w:line="220" w:lineRule="atLeast"/>
        <w:rPr>
          <w:rFonts w:hint="eastAsia" w:ascii="黑体" w:hAnsi="黑体" w:eastAsia="黑体"/>
          <w:sz w:val="32"/>
          <w:szCs w:val="32"/>
          <w:lang w:val="en-US" w:eastAsia="zh-CN"/>
        </w:rPr>
      </w:pPr>
      <w:r>
        <w:rPr>
          <w:rFonts w:hint="eastAsia" w:ascii="黑体" w:hAnsi="黑体" w:eastAsia="黑体"/>
          <w:sz w:val="32"/>
          <w:szCs w:val="32"/>
          <w:lang w:eastAsia="zh-CN"/>
        </w:rPr>
        <w:t>二、机构设置</w:t>
      </w:r>
    </w:p>
    <w:p>
      <w:pPr>
        <w:spacing w:line="220" w:lineRule="atLeast"/>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sz w:val="32"/>
          <w:szCs w:val="32"/>
        </w:rPr>
        <w:tab/>
      </w:r>
      <w:r>
        <w:rPr>
          <w:rFonts w:hint="eastAsia" w:ascii="黑体" w:hAnsi="黑体" w:eastAsia="黑体"/>
          <w:sz w:val="32"/>
          <w:szCs w:val="32"/>
        </w:rPr>
        <w:t>海南博鳌乐城国际医疗旅游先行区医疗药品监督管理局2021年</w:t>
      </w:r>
      <w:r>
        <w:rPr>
          <w:rFonts w:hint="eastAsia" w:ascii="黑体" w:hAnsi="黑体" w:eastAsia="黑体"/>
          <w:color w:val="0C0C0C" w:themeColor="text1" w:themeTint="F2"/>
          <w:sz w:val="32"/>
          <w:szCs w:val="32"/>
        </w:rPr>
        <w:t>单位预</w:t>
      </w:r>
      <w:r>
        <w:rPr>
          <w:rFonts w:hint="eastAsia" w:ascii="黑体" w:hAnsi="黑体" w:eastAsia="黑体"/>
          <w:sz w:val="32"/>
          <w:szCs w:val="32"/>
        </w:rPr>
        <w:t>算表</w:t>
      </w:r>
    </w:p>
    <w:p>
      <w:pPr>
        <w:spacing w:line="220" w:lineRule="atLeast"/>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rPr>
        <w:tab/>
      </w:r>
      <w:r>
        <w:rPr>
          <w:rFonts w:hint="eastAsia" w:ascii="黑体" w:hAnsi="黑体" w:eastAsia="黑体"/>
          <w:sz w:val="32"/>
          <w:szCs w:val="32"/>
        </w:rPr>
        <w:t>财政拨款收支总表</w:t>
      </w:r>
    </w:p>
    <w:p>
      <w:pPr>
        <w:spacing w:line="220" w:lineRule="atLeast"/>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rPr>
        <w:tab/>
      </w:r>
      <w:r>
        <w:rPr>
          <w:rFonts w:hint="eastAsia" w:ascii="黑体" w:hAnsi="黑体" w:eastAsia="黑体"/>
          <w:sz w:val="32"/>
          <w:szCs w:val="32"/>
        </w:rPr>
        <w:t>一般公共预算支出表</w:t>
      </w:r>
    </w:p>
    <w:p>
      <w:pPr>
        <w:spacing w:line="220" w:lineRule="atLeast"/>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rPr>
        <w:tab/>
      </w:r>
      <w:r>
        <w:rPr>
          <w:rFonts w:hint="eastAsia" w:ascii="黑体" w:hAnsi="黑体" w:eastAsia="黑体"/>
          <w:sz w:val="32"/>
          <w:szCs w:val="32"/>
        </w:rPr>
        <w:t>一般公共预算基本支出表</w:t>
      </w:r>
    </w:p>
    <w:p>
      <w:pPr>
        <w:spacing w:line="220" w:lineRule="atLeast"/>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rPr>
        <w:tab/>
      </w:r>
      <w:r>
        <w:rPr>
          <w:rFonts w:hint="eastAsia" w:ascii="黑体" w:hAnsi="黑体" w:eastAsia="黑体"/>
          <w:sz w:val="32"/>
          <w:szCs w:val="32"/>
        </w:rPr>
        <w:t>一般公共预算“三公”经费支出表</w:t>
      </w:r>
    </w:p>
    <w:p>
      <w:pPr>
        <w:spacing w:line="220" w:lineRule="atLeast"/>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rPr>
        <w:tab/>
      </w:r>
      <w:r>
        <w:rPr>
          <w:rFonts w:hint="eastAsia" w:ascii="黑体" w:hAnsi="黑体" w:eastAsia="黑体"/>
          <w:sz w:val="32"/>
          <w:szCs w:val="32"/>
        </w:rPr>
        <w:t>政府性基金预算支出表</w:t>
      </w:r>
    </w:p>
    <w:p>
      <w:pPr>
        <w:spacing w:line="220" w:lineRule="atLeast"/>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rPr>
        <w:tab/>
      </w:r>
      <w:r>
        <w:rPr>
          <w:rFonts w:hint="eastAsia" w:ascii="黑体" w:hAnsi="黑体" w:eastAsia="黑体"/>
          <w:sz w:val="32"/>
          <w:szCs w:val="32"/>
        </w:rPr>
        <w:t>政府性基金预算“三公”经费支出表</w:t>
      </w:r>
    </w:p>
    <w:p>
      <w:pPr>
        <w:spacing w:line="220" w:lineRule="atLeast"/>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rPr>
        <w:tab/>
      </w:r>
      <w:r>
        <w:rPr>
          <w:rFonts w:hint="eastAsia" w:ascii="黑体" w:hAnsi="黑体" w:eastAsia="黑体"/>
          <w:sz w:val="32"/>
          <w:szCs w:val="32"/>
        </w:rPr>
        <w:t>单位收支总表</w:t>
      </w:r>
    </w:p>
    <w:p>
      <w:pPr>
        <w:spacing w:line="220" w:lineRule="atLeast"/>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rPr>
        <w:tab/>
      </w:r>
      <w:r>
        <w:rPr>
          <w:rFonts w:hint="eastAsia" w:ascii="黑体" w:hAnsi="黑体" w:eastAsia="黑体"/>
          <w:sz w:val="32"/>
          <w:szCs w:val="32"/>
        </w:rPr>
        <w:t>单位收入总表</w:t>
      </w:r>
    </w:p>
    <w:p>
      <w:pPr>
        <w:spacing w:line="220" w:lineRule="atLeast"/>
        <w:rPr>
          <w:rFonts w:ascii="黑体" w:hAnsi="黑体" w:eastAsia="黑体"/>
          <w:sz w:val="32"/>
          <w:szCs w:val="32"/>
        </w:rPr>
      </w:pPr>
      <w:r>
        <w:rPr>
          <w:rFonts w:hint="eastAsia" w:ascii="黑体" w:hAnsi="黑体" w:eastAsia="黑体"/>
          <w:sz w:val="32"/>
          <w:szCs w:val="32"/>
        </w:rPr>
        <w:t>九、单位支出总表</w:t>
      </w:r>
    </w:p>
    <w:p>
      <w:pPr>
        <w:spacing w:line="220" w:lineRule="atLeast"/>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rPr>
        <w:tab/>
      </w:r>
      <w:r>
        <w:rPr>
          <w:rFonts w:hint="eastAsia" w:ascii="黑体" w:hAnsi="黑体" w:eastAsia="黑体"/>
          <w:sz w:val="32"/>
          <w:szCs w:val="32"/>
        </w:rPr>
        <w:t>项目支出绩效信息表</w:t>
      </w:r>
    </w:p>
    <w:p>
      <w:pPr>
        <w:spacing w:line="220" w:lineRule="atLeast"/>
        <w:rPr>
          <w:rFonts w:ascii="黑体" w:hAnsi="黑体" w:eastAsia="黑体"/>
          <w:sz w:val="32"/>
          <w:szCs w:val="32"/>
        </w:rPr>
      </w:pPr>
      <w:r>
        <w:rPr>
          <w:rFonts w:hint="eastAsia" w:ascii="黑体" w:hAnsi="黑体" w:eastAsia="黑体"/>
          <w:sz w:val="32"/>
          <w:szCs w:val="32"/>
        </w:rPr>
        <w:t>第三部分</w:t>
      </w:r>
      <w:r>
        <w:rPr>
          <w:rFonts w:hint="eastAsia" w:ascii="黑体" w:hAnsi="黑体" w:eastAsia="黑体"/>
          <w:sz w:val="32"/>
          <w:szCs w:val="32"/>
        </w:rPr>
        <w:tab/>
      </w:r>
      <w:r>
        <w:rPr>
          <w:rFonts w:hint="eastAsia" w:ascii="黑体" w:hAnsi="黑体" w:eastAsia="黑体"/>
          <w:sz w:val="32"/>
          <w:szCs w:val="32"/>
        </w:rPr>
        <w:t>海南博鳌乐城国际医疗旅游先行区医疗药品监督管理局2021年</w:t>
      </w:r>
      <w:r>
        <w:rPr>
          <w:rFonts w:hint="eastAsia" w:ascii="黑体" w:hAnsi="黑体" w:eastAsia="黑体"/>
          <w:color w:val="0C0C0C" w:themeColor="text1" w:themeTint="F2"/>
          <w:sz w:val="32"/>
          <w:szCs w:val="32"/>
        </w:rPr>
        <w:t>单位预算情况说</w:t>
      </w:r>
      <w:r>
        <w:rPr>
          <w:rFonts w:hint="eastAsia" w:ascii="黑体" w:hAnsi="黑体" w:eastAsia="黑体"/>
          <w:sz w:val="32"/>
          <w:szCs w:val="32"/>
        </w:rPr>
        <w:t>明</w:t>
      </w:r>
    </w:p>
    <w:p>
      <w:pPr>
        <w:spacing w:line="220" w:lineRule="atLeast"/>
        <w:rPr>
          <w:rFonts w:ascii="黑体" w:hAnsi="黑体" w:eastAsia="黑体"/>
          <w:sz w:val="32"/>
          <w:szCs w:val="32"/>
        </w:rPr>
      </w:pPr>
      <w:r>
        <w:rPr>
          <w:rFonts w:hint="eastAsia" w:ascii="黑体" w:hAnsi="黑体" w:eastAsia="黑体"/>
          <w:sz w:val="32"/>
          <w:szCs w:val="32"/>
        </w:rPr>
        <w:t>第四部分</w:t>
      </w:r>
      <w:r>
        <w:rPr>
          <w:rFonts w:hint="eastAsia" w:ascii="黑体" w:hAnsi="黑体" w:eastAsia="黑体"/>
          <w:sz w:val="32"/>
          <w:szCs w:val="32"/>
        </w:rPr>
        <w:tab/>
      </w:r>
      <w:r>
        <w:rPr>
          <w:rFonts w:hint="eastAsia" w:ascii="黑体" w:hAnsi="黑体" w:eastAsia="黑体"/>
          <w:sz w:val="32"/>
          <w:szCs w:val="32"/>
        </w:rPr>
        <w:t xml:space="preserve">  名词解释</w:t>
      </w:r>
    </w:p>
    <w:p>
      <w:pPr>
        <w:spacing w:line="220" w:lineRule="atLeast"/>
      </w:pPr>
    </w:p>
    <w:p>
      <w:pPr>
        <w:spacing w:line="220" w:lineRule="atLeast"/>
      </w:pPr>
    </w:p>
    <w:p>
      <w:pPr>
        <w:spacing w:line="220" w:lineRule="atLeast"/>
      </w:pPr>
    </w:p>
    <w:p>
      <w:pPr>
        <w:spacing w:line="220" w:lineRule="atLeast"/>
      </w:pPr>
    </w:p>
    <w:p>
      <w:pPr>
        <w:spacing w:line="560" w:lineRule="exact"/>
        <w:jc w:val="center"/>
        <w:rPr>
          <w:rFonts w:ascii="黑体" w:hAnsi="黑体" w:eastAsia="黑体"/>
          <w:sz w:val="32"/>
          <w:szCs w:val="32"/>
        </w:rPr>
      </w:pPr>
      <w:r>
        <w:rPr>
          <w:rFonts w:hint="eastAsia" w:ascii="黑体" w:hAnsi="黑体" w:eastAsia="黑体"/>
          <w:sz w:val="32"/>
          <w:szCs w:val="32"/>
        </w:rPr>
        <w:t>第一部分</w:t>
      </w:r>
      <w:r>
        <w:rPr>
          <w:rFonts w:hint="eastAsia" w:ascii="黑体" w:hAnsi="黑体" w:eastAsia="黑体"/>
          <w:sz w:val="32"/>
          <w:szCs w:val="32"/>
        </w:rPr>
        <w:tab/>
      </w:r>
      <w:r>
        <w:rPr>
          <w:rFonts w:hint="eastAsia" w:ascii="黑体" w:hAnsi="黑体" w:eastAsia="黑体"/>
          <w:sz w:val="32"/>
          <w:szCs w:val="32"/>
        </w:rPr>
        <w:t xml:space="preserve">  海南博鳌乐城国际医疗旅游先行区医疗药品监督管理局概况</w:t>
      </w:r>
    </w:p>
    <w:p>
      <w:pPr>
        <w:spacing w:line="560" w:lineRule="exact"/>
      </w:pPr>
    </w:p>
    <w:p>
      <w:pPr>
        <w:spacing w:line="560" w:lineRule="exact"/>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rPr>
        <w:tab/>
      </w:r>
      <w:r>
        <w:rPr>
          <w:rFonts w:hint="eastAsia" w:ascii="黑体" w:hAnsi="黑体" w:eastAsia="黑体"/>
          <w:sz w:val="32"/>
          <w:szCs w:val="32"/>
        </w:rPr>
        <w:t>主要职能</w:t>
      </w:r>
    </w:p>
    <w:p>
      <w:pPr>
        <w:spacing w:line="560" w:lineRule="exact"/>
        <w:rPr>
          <w:rFonts w:ascii="仿宋" w:hAnsi="仿宋" w:eastAsia="仿宋"/>
          <w:sz w:val="32"/>
          <w:szCs w:val="32"/>
        </w:rPr>
      </w:pPr>
      <w:r>
        <w:rPr>
          <w:rFonts w:hint="eastAsia" w:ascii="仿宋" w:hAnsi="仿宋" w:eastAsia="仿宋"/>
          <w:sz w:val="32"/>
          <w:szCs w:val="32"/>
        </w:rPr>
        <w:t>（1）负责先行区内医疗机构及其执业人员的执业活动监督管理。</w:t>
      </w:r>
    </w:p>
    <w:p>
      <w:pPr>
        <w:spacing w:line="560" w:lineRule="exact"/>
        <w:rPr>
          <w:rFonts w:ascii="仿宋" w:hAnsi="仿宋" w:eastAsia="仿宋"/>
          <w:sz w:val="32"/>
          <w:szCs w:val="32"/>
        </w:rPr>
      </w:pPr>
      <w:r>
        <w:rPr>
          <w:rFonts w:hint="eastAsia" w:ascii="仿宋" w:hAnsi="仿宋" w:eastAsia="仿宋"/>
          <w:sz w:val="32"/>
          <w:szCs w:val="32"/>
        </w:rPr>
        <w:t>（2）负责先行区内公共卫生健康药品、医疗器械、化妆品的监督检查。</w:t>
      </w:r>
    </w:p>
    <w:p>
      <w:pPr>
        <w:spacing w:line="560" w:lineRule="exact"/>
        <w:rPr>
          <w:rFonts w:ascii="仿宋" w:hAnsi="仿宋" w:eastAsia="仿宋"/>
          <w:sz w:val="32"/>
          <w:szCs w:val="32"/>
        </w:rPr>
      </w:pPr>
      <w:r>
        <w:rPr>
          <w:rFonts w:hint="eastAsia" w:ascii="仿宋" w:hAnsi="仿宋" w:eastAsia="仿宋"/>
          <w:sz w:val="32"/>
          <w:szCs w:val="32"/>
        </w:rPr>
        <w:t>（3）负责先行区内临床急需药品和医疗器械的进口申请、初核和使用管理。</w:t>
      </w:r>
    </w:p>
    <w:p>
      <w:pPr>
        <w:spacing w:line="560" w:lineRule="exact"/>
        <w:rPr>
          <w:rFonts w:ascii="仿宋" w:hAnsi="仿宋" w:eastAsia="仿宋"/>
          <w:sz w:val="32"/>
          <w:szCs w:val="32"/>
        </w:rPr>
      </w:pPr>
      <w:r>
        <w:rPr>
          <w:rFonts w:hint="eastAsia" w:ascii="仿宋" w:hAnsi="仿宋" w:eastAsia="仿宋"/>
          <w:sz w:val="32"/>
          <w:szCs w:val="32"/>
        </w:rPr>
        <w:t>（4）负责先行区内卫生健康、药品、医疗器械、化妆品违法违规行为的投诉举报受理、查处。</w:t>
      </w:r>
    </w:p>
    <w:p>
      <w:pPr>
        <w:spacing w:line="560" w:lineRule="exact"/>
        <w:rPr>
          <w:rFonts w:ascii="仿宋" w:hAnsi="仿宋" w:eastAsia="仿宋"/>
          <w:sz w:val="32"/>
          <w:szCs w:val="32"/>
        </w:rPr>
      </w:pPr>
      <w:r>
        <w:rPr>
          <w:rFonts w:hint="eastAsia" w:ascii="仿宋" w:hAnsi="仿宋" w:eastAsia="仿宋"/>
          <w:sz w:val="32"/>
          <w:szCs w:val="32"/>
        </w:rPr>
        <w:t>（5）负责先行区内卫生健康、药品、医疗器械、化妆品的信息收集处理、法律法规宣传、突发事故应急处置等工作。</w:t>
      </w:r>
    </w:p>
    <w:p>
      <w:pPr>
        <w:spacing w:line="560" w:lineRule="exact"/>
        <w:rPr>
          <w:rFonts w:hint="eastAsia" w:ascii="仿宋" w:hAnsi="仿宋" w:eastAsia="仿宋"/>
          <w:sz w:val="32"/>
          <w:szCs w:val="32"/>
        </w:rPr>
      </w:pPr>
      <w:r>
        <w:rPr>
          <w:rFonts w:hint="eastAsia" w:ascii="仿宋" w:hAnsi="仿宋" w:eastAsia="仿宋"/>
          <w:sz w:val="32"/>
          <w:szCs w:val="32"/>
        </w:rPr>
        <w:t>（6）完成省卫生健康委、省药品监管局交办的其他任务。</w:t>
      </w:r>
    </w:p>
    <w:p>
      <w:pPr>
        <w:spacing w:line="560" w:lineRule="exact"/>
        <w:rPr>
          <w:rFonts w:hint="eastAsia" w:ascii="黑体" w:hAnsi="黑体" w:eastAsia="黑体"/>
          <w:sz w:val="32"/>
          <w:szCs w:val="32"/>
          <w:lang w:eastAsia="zh-CN"/>
        </w:rPr>
      </w:pPr>
      <w:r>
        <w:rPr>
          <w:rFonts w:hint="eastAsia" w:ascii="黑体" w:hAnsi="黑体" w:eastAsia="黑体"/>
          <w:sz w:val="32"/>
          <w:szCs w:val="32"/>
          <w:lang w:eastAsia="zh-CN"/>
        </w:rPr>
        <w:t>二</w:t>
      </w:r>
      <w:r>
        <w:rPr>
          <w:rFonts w:hint="eastAsia" w:ascii="黑体" w:hAnsi="黑体" w:eastAsia="黑体"/>
          <w:sz w:val="32"/>
          <w:szCs w:val="32"/>
        </w:rPr>
        <w:t>、</w:t>
      </w:r>
      <w:r>
        <w:rPr>
          <w:rFonts w:hint="eastAsia" w:ascii="黑体" w:hAnsi="黑体" w:eastAsia="黑体"/>
          <w:sz w:val="32"/>
          <w:szCs w:val="32"/>
        </w:rPr>
        <w:tab/>
      </w:r>
      <w:r>
        <w:rPr>
          <w:rFonts w:hint="eastAsia" w:ascii="黑体" w:hAnsi="黑体" w:eastAsia="黑体"/>
          <w:sz w:val="32"/>
          <w:szCs w:val="32"/>
          <w:lang w:eastAsia="zh-CN"/>
        </w:rPr>
        <w:t>机构设置</w:t>
      </w:r>
    </w:p>
    <w:p>
      <w:pPr>
        <w:autoSpaceDE w:val="0"/>
        <w:autoSpaceDN w:val="0"/>
        <w:adjustRightInd w:val="0"/>
        <w:ind w:left="0" w:firstLine="640" w:firstLineChars="200"/>
        <w:jc w:val="both"/>
        <w:rPr>
          <w:rFonts w:hint="eastAsia" w:ascii="楷体" w:hAnsi="楷体" w:eastAsia="楷体" w:cs="楷体"/>
          <w:kern w:val="0"/>
          <w:sz w:val="32"/>
          <w:szCs w:val="32"/>
        </w:rPr>
      </w:pPr>
      <w:r>
        <w:rPr>
          <w:rFonts w:hint="eastAsia" w:ascii="楷体" w:hAnsi="楷体" w:eastAsia="楷体" w:cs="楷体"/>
          <w:kern w:val="0"/>
          <w:sz w:val="32"/>
          <w:szCs w:val="32"/>
        </w:rPr>
        <w:t>单位内设机构：</w:t>
      </w:r>
    </w:p>
    <w:p>
      <w:pPr>
        <w:autoSpaceDE w:val="0"/>
        <w:autoSpaceDN w:val="0"/>
        <w:adjustRightInd w:val="0"/>
        <w:ind w:left="0" w:firstLine="640" w:firstLineChars="200"/>
        <w:jc w:val="both"/>
        <w:rPr>
          <w:rFonts w:hint="eastAsia" w:ascii="仿宋_GB2312" w:hAnsi="仿宋" w:eastAsia="仿宋_GB2312" w:cs="仿宋_GB2312"/>
          <w:kern w:val="0"/>
          <w:sz w:val="32"/>
          <w:szCs w:val="32"/>
        </w:rPr>
      </w:pPr>
      <w:r>
        <w:rPr>
          <w:rFonts w:hint="eastAsia" w:ascii="宋体" w:hAnsi="宋体" w:eastAsia="宋体" w:cs="宋体"/>
          <w:kern w:val="0"/>
          <w:sz w:val="32"/>
          <w:szCs w:val="32"/>
        </w:rPr>
        <w:t>（</w:t>
      </w:r>
      <w:r>
        <w:rPr>
          <w:rFonts w:hint="eastAsia" w:ascii="仿宋_GB2312" w:hAnsi="宋体" w:eastAsia="仿宋_GB2312" w:cs="仿宋_GB2312"/>
          <w:kern w:val="0"/>
          <w:sz w:val="32"/>
          <w:szCs w:val="32"/>
        </w:rPr>
        <w:t>1</w:t>
      </w:r>
      <w:r>
        <w:rPr>
          <w:rFonts w:hint="eastAsia" w:ascii="宋体" w:hAnsi="宋体" w:eastAsia="宋体" w:cs="宋体"/>
          <w:kern w:val="0"/>
          <w:sz w:val="32"/>
          <w:szCs w:val="32"/>
        </w:rPr>
        <w:t>）综合科：</w:t>
      </w:r>
      <w:r>
        <w:rPr>
          <w:rFonts w:hint="eastAsia" w:ascii="宋体" w:hAnsi="宋体" w:eastAsia="宋体" w:cs="宋体"/>
          <w:color w:val="000000"/>
          <w:kern w:val="0"/>
          <w:sz w:val="32"/>
          <w:szCs w:val="32"/>
        </w:rPr>
        <w:t>负责行政、党建、人事、财务及后勤工作，协调各科室业务工作关系，并制订相应制度，</w:t>
      </w:r>
      <w:r>
        <w:rPr>
          <w:rFonts w:hint="eastAsia" w:ascii="宋体" w:hAnsi="宋体" w:eastAsia="宋体" w:cs="宋体"/>
          <w:kern w:val="0"/>
          <w:sz w:val="32"/>
          <w:szCs w:val="32"/>
        </w:rPr>
        <w:t>完成省卫生健康委、省药品监管局交办的其他任务等。</w:t>
      </w:r>
    </w:p>
    <w:p>
      <w:pPr>
        <w:snapToGrid w:val="0"/>
        <w:spacing w:line="520" w:lineRule="exact"/>
        <w:ind w:left="0" w:firstLine="640" w:firstLineChars="200"/>
        <w:jc w:val="both"/>
        <w:rPr>
          <w:rFonts w:hint="eastAsia" w:ascii="宋体" w:hAnsi="宋体" w:eastAsia="宋体" w:cs="宋体"/>
          <w:kern w:val="0"/>
          <w:sz w:val="32"/>
          <w:szCs w:val="32"/>
        </w:rPr>
      </w:pPr>
      <w:r>
        <w:rPr>
          <w:rFonts w:hint="eastAsia" w:ascii="宋体" w:hAnsi="宋体" w:eastAsia="宋体" w:cs="宋体"/>
          <w:kern w:val="0"/>
          <w:sz w:val="32"/>
          <w:szCs w:val="32"/>
        </w:rPr>
        <w:t>（</w:t>
      </w:r>
      <w:r>
        <w:rPr>
          <w:rFonts w:hint="eastAsia" w:ascii="仿宋_GB2312" w:hAnsi="宋体" w:eastAsia="仿宋_GB2312" w:cs="仿宋_GB2312"/>
          <w:kern w:val="0"/>
          <w:sz w:val="32"/>
          <w:szCs w:val="32"/>
        </w:rPr>
        <w:t>2</w:t>
      </w:r>
      <w:r>
        <w:rPr>
          <w:rFonts w:hint="eastAsia" w:ascii="宋体" w:hAnsi="宋体" w:eastAsia="宋体" w:cs="宋体"/>
          <w:kern w:val="0"/>
          <w:sz w:val="32"/>
          <w:szCs w:val="32"/>
        </w:rPr>
        <w:t>）医疗卫生监管科：负责先行区内医疗机构及其执业人员的执业活动、传染病防治、职业、放射卫生、公共卫生监管、二次供水监管、计划生育监管等。</w:t>
      </w:r>
    </w:p>
    <w:p>
      <w:pPr>
        <w:snapToGrid w:val="0"/>
        <w:spacing w:line="520" w:lineRule="exact"/>
        <w:ind w:left="0" w:firstLine="640" w:firstLineChars="200"/>
        <w:jc w:val="both"/>
        <w:rPr>
          <w:rFonts w:hint="eastAsia" w:ascii="楷体" w:hAnsi="楷体" w:eastAsia="楷体" w:cs="楷体"/>
          <w:kern w:val="0"/>
          <w:sz w:val="32"/>
          <w:szCs w:val="32"/>
        </w:rPr>
      </w:pPr>
      <w:r>
        <w:rPr>
          <w:rFonts w:hint="eastAsia" w:ascii="宋体" w:hAnsi="宋体" w:eastAsia="宋体" w:cs="宋体"/>
          <w:kern w:val="0"/>
          <w:sz w:val="32"/>
          <w:szCs w:val="32"/>
        </w:rPr>
        <w:t>（3）药品和医疗器械监管科：负责先行区内临床急需药品和医疗器械的进口申请、初核和使用管理；负责先行区内药品、医疗器械、化妆品的监督检查、违法违规行为的投诉举报受理及查处、信息收集处理、法律法规宣传、突发事故应急处置等工作。</w:t>
      </w:r>
      <w:r>
        <w:rPr>
          <w:rFonts w:hint="eastAsia" w:ascii="楷体" w:hAnsi="楷体" w:eastAsia="楷体" w:cs="楷体"/>
          <w:kern w:val="0"/>
          <w:sz w:val="32"/>
          <w:szCs w:val="32"/>
        </w:rPr>
        <w:t xml:space="preserve"> </w:t>
      </w:r>
    </w:p>
    <w:p>
      <w:pPr>
        <w:spacing w:line="560" w:lineRule="exact"/>
        <w:rPr>
          <w:rFonts w:ascii="黑体" w:hAnsi="黑体" w:eastAsia="黑体"/>
          <w:sz w:val="32"/>
          <w:szCs w:val="32"/>
        </w:rPr>
      </w:pPr>
      <w:r>
        <w:rPr>
          <w:rFonts w:hint="eastAsia" w:ascii="黑体" w:hAnsi="黑体" w:eastAsia="黑体"/>
          <w:sz w:val="32"/>
          <w:szCs w:val="32"/>
        </w:rPr>
        <w:t>第二部分  海南博鳌乐城国际医疗旅游先行区医疗药品监督管理局2021年单位预算表</w:t>
      </w:r>
    </w:p>
    <w:p>
      <w:pPr>
        <w:spacing w:line="560" w:lineRule="exact"/>
        <w:ind w:firstLine="1600" w:firstLineChars="500"/>
        <w:rPr>
          <w:rFonts w:ascii="仿宋" w:hAnsi="仿宋" w:eastAsia="仿宋"/>
          <w:sz w:val="32"/>
          <w:szCs w:val="32"/>
        </w:rPr>
      </w:pPr>
      <w:r>
        <w:rPr>
          <w:rFonts w:hint="eastAsia" w:ascii="仿宋" w:hAnsi="仿宋" w:eastAsia="仿宋"/>
          <w:sz w:val="32"/>
          <w:szCs w:val="32"/>
        </w:rPr>
        <w:t>（此部分内容即为单位预算公开表）</w:t>
      </w:r>
    </w:p>
    <w:p>
      <w:pPr>
        <w:spacing w:line="560" w:lineRule="exact"/>
        <w:rPr>
          <w:rFonts w:ascii="仿宋" w:hAnsi="仿宋" w:eastAsia="仿宋"/>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第三部分   海南博鳌乐城国际医疗旅游先行区医疗药品监督管理局2021年单位预算情况说明</w:t>
      </w:r>
    </w:p>
    <w:p>
      <w:pPr>
        <w:spacing w:line="560" w:lineRule="exact"/>
        <w:rPr>
          <w:rFonts w:ascii="仿宋" w:hAnsi="仿宋" w:eastAsia="仿宋"/>
          <w:sz w:val="32"/>
          <w:szCs w:val="32"/>
        </w:rPr>
      </w:pPr>
    </w:p>
    <w:p>
      <w:pPr>
        <w:spacing w:line="560" w:lineRule="exact"/>
        <w:rPr>
          <w:rFonts w:ascii="黑体" w:hAnsi="黑体" w:eastAsia="黑体"/>
          <w:sz w:val="32"/>
          <w:szCs w:val="32"/>
        </w:rPr>
      </w:pPr>
      <w:r>
        <w:rPr>
          <w:rFonts w:hint="eastAsia" w:ascii="黑体" w:hAnsi="黑体" w:eastAsia="黑体"/>
          <w:sz w:val="32"/>
          <w:szCs w:val="32"/>
        </w:rPr>
        <w:t>一、关于海南博鳌乐城国际医疗旅游先行区医疗药品监督管理局2021年财政拨款收支预算情况的总体说明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海南博鳌乐城国际医疗旅游先行区医疗药品监督管理2021年财政拨款收支总预算109.58万元。其中，收入总计109.58万元，包括一般公共预算本年收入109.58万元；支出总计109.58万元，包括一般公共服务支出88.89万元、社会保障和就业支出4.48万元、卫生健康支出12.38万元、住房保障支出3.83万元。</w:t>
      </w:r>
    </w:p>
    <w:p>
      <w:pPr>
        <w:spacing w:line="560" w:lineRule="exact"/>
        <w:rPr>
          <w:rFonts w:ascii="黑体" w:hAnsi="黑体" w:eastAsia="黑体"/>
          <w:sz w:val="32"/>
          <w:szCs w:val="32"/>
        </w:rPr>
      </w:pPr>
      <w:r>
        <w:rPr>
          <w:rFonts w:hint="eastAsia" w:ascii="黑体" w:hAnsi="黑体" w:eastAsia="黑体"/>
          <w:sz w:val="32"/>
          <w:szCs w:val="32"/>
        </w:rPr>
        <w:t>二、关于海南博鳌乐城国际医疗旅游先行区医疗药品监督管理局2021年一般公共预算当年拨款情况说明</w:t>
      </w:r>
    </w:p>
    <w:p>
      <w:pPr>
        <w:spacing w:line="560" w:lineRule="exact"/>
        <w:rPr>
          <w:rFonts w:ascii="仿宋" w:hAnsi="仿宋" w:eastAsia="仿宋"/>
          <w:sz w:val="32"/>
          <w:szCs w:val="32"/>
        </w:rPr>
      </w:pPr>
      <w:r>
        <w:rPr>
          <w:rFonts w:hint="eastAsia" w:ascii="仿宋" w:hAnsi="仿宋" w:eastAsia="仿宋"/>
          <w:sz w:val="32"/>
          <w:szCs w:val="32"/>
        </w:rPr>
        <w:t>（一）一般公共预算当年规模变化情况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海南博鳌乐城国际医疗旅游先行区医疗药品监督管理局2021年一般公共预算当年拨款109.58万元，比上年预算数增加109.58万元，主要是该单位为2020年新增单位。</w:t>
      </w:r>
    </w:p>
    <w:p>
      <w:pPr>
        <w:spacing w:line="560" w:lineRule="exact"/>
        <w:rPr>
          <w:rFonts w:ascii="仿宋" w:hAnsi="仿宋" w:eastAsia="仿宋"/>
          <w:sz w:val="32"/>
          <w:szCs w:val="32"/>
        </w:rPr>
      </w:pPr>
      <w:r>
        <w:rPr>
          <w:rFonts w:hint="eastAsia" w:ascii="仿宋" w:hAnsi="仿宋" w:eastAsia="仿宋"/>
          <w:sz w:val="32"/>
          <w:szCs w:val="32"/>
        </w:rPr>
        <w:t>（二）一般公共预算当年拨款结构情况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一般公</w:t>
      </w:r>
      <w:r>
        <w:rPr>
          <w:rFonts w:hint="eastAsia" w:ascii="仿宋" w:hAnsi="仿宋" w:eastAsia="仿宋"/>
          <w:color w:val="0C0C0C" w:themeColor="text1" w:themeTint="F2"/>
          <w:sz w:val="32"/>
          <w:szCs w:val="32"/>
        </w:rPr>
        <w:t>共服务支出（类）支出88.89万元，占81.12%；社会保障和就业支出（类）支出4.48万元、占4.09%；卫生健康支出（类）支出12.38万元、占11.29%；住房保障支出（类）支出3.83万</w:t>
      </w:r>
      <w:r>
        <w:rPr>
          <w:rFonts w:hint="eastAsia" w:ascii="仿宋" w:hAnsi="仿宋" w:eastAsia="仿宋"/>
          <w:sz w:val="32"/>
          <w:szCs w:val="32"/>
        </w:rPr>
        <w:t>元、占3.5%。</w:t>
      </w:r>
    </w:p>
    <w:p>
      <w:pPr>
        <w:spacing w:line="560" w:lineRule="exact"/>
        <w:rPr>
          <w:rFonts w:ascii="仿宋" w:hAnsi="仿宋" w:eastAsia="仿宋"/>
          <w:sz w:val="32"/>
          <w:szCs w:val="32"/>
        </w:rPr>
      </w:pPr>
      <w:r>
        <w:rPr>
          <w:rFonts w:hint="eastAsia" w:ascii="仿宋" w:hAnsi="仿宋" w:eastAsia="仿宋"/>
          <w:sz w:val="32"/>
          <w:szCs w:val="32"/>
        </w:rPr>
        <w:t>（三）一般公共预算当年拨款具体使用情况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1.一般公共服务支出（类）市场监督管理事务（款）行政运行（项）2021年预算数为88.89万元，比上年预算数增加88.89万元，主要是该单位为2020年新增单位。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2.社会保障和就业支出（类）行政事业单位养老支出（款）机关事业单位基本养老保险缴费支出（项）2021年预算数为4.48万元，比上年预算增加4.48万元，主要是该单位为2020年新增单位。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3.住房保障支出（类）住房改革支出（款）住房公积金（项）2021年预算数为3.83万元，比上年预算增加3.83万元，主要是该单位为2020年新增单位。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4.卫生健康支出（类）行政事业单位医疗（款）行政单位医疗（项）2021年预算数为2.38万元，比上年预算增加2.38万元，主要是该单位为2020年新增单位。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5.卫生健康支出（类）卫生健康管理事务（款）行政运行（项）2021年预算数为10.00万元，比上年预算增加10.00万元，主要是该单位为2020年新增单位。</w:t>
      </w:r>
    </w:p>
    <w:p>
      <w:pPr>
        <w:spacing w:line="560" w:lineRule="exact"/>
        <w:rPr>
          <w:rFonts w:ascii="黑体" w:hAnsi="黑体" w:eastAsia="黑体"/>
          <w:sz w:val="32"/>
          <w:szCs w:val="32"/>
        </w:rPr>
      </w:pPr>
      <w:r>
        <w:rPr>
          <w:rFonts w:hint="eastAsia" w:ascii="黑体" w:hAnsi="黑体" w:eastAsia="黑体"/>
          <w:sz w:val="32"/>
          <w:szCs w:val="32"/>
        </w:rPr>
        <w:t>三、关于海南博鳌乐城国际医疗旅游先行区医疗药品监督管理局2021年一般公共预算基本支出情况说明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海南博鳌乐城国际医疗旅游先行区医疗药品监督管理局2021年一般公共预算基本支出为99.58万元，其中：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人员经费50.11万元，主要包括：基本工资、津贴补贴、奖金、机关事业单位基本养老保险缴费、城镇职工基本医疗保险缴费、其他社会保障缴费、住房公积金、其他工资福利支出、邮电费、其他交通费用;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公用经费49.47万元，主要包括：办公费、印刷费、手续费、水费、电费、邮电费、物业管理费、差旅费、维修（护）费、培训费、公务招待费、劳务费、工会经费、公务用车运行维修费、其他商品和服务支出。</w:t>
      </w:r>
    </w:p>
    <w:p>
      <w:pPr>
        <w:spacing w:line="560" w:lineRule="exact"/>
        <w:rPr>
          <w:rFonts w:ascii="黑体" w:hAnsi="黑体" w:eastAsia="黑体"/>
          <w:sz w:val="32"/>
          <w:szCs w:val="32"/>
        </w:rPr>
      </w:pPr>
      <w:r>
        <w:rPr>
          <w:rFonts w:hint="eastAsia" w:ascii="黑体" w:hAnsi="黑体" w:eastAsia="黑体"/>
          <w:sz w:val="32"/>
          <w:szCs w:val="32"/>
        </w:rPr>
        <w:t>四、海南博鳌乐城国际医疗旅游先行区医疗药品监督管理局2021年“三公”经费预算情况说明</w:t>
      </w:r>
    </w:p>
    <w:p>
      <w:pPr>
        <w:spacing w:line="560" w:lineRule="exact"/>
        <w:rPr>
          <w:rFonts w:ascii="仿宋" w:hAnsi="仿宋" w:eastAsia="仿宋"/>
          <w:sz w:val="32"/>
          <w:szCs w:val="32"/>
        </w:rPr>
      </w:pPr>
      <w:r>
        <w:rPr>
          <w:rFonts w:hint="eastAsia" w:ascii="仿宋" w:hAnsi="仿宋" w:eastAsia="仿宋"/>
          <w:sz w:val="32"/>
          <w:szCs w:val="32"/>
        </w:rPr>
        <w:t>（一）海南博鳌乐城国际医疗旅游先行区医疗药品监督管理局2021年一般公共预算“三公”经费预算数为5.38万元，其中：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因公出国（境）经费0元，与上年预算持平；公务用车购置及运行维护费4.41万元（其中，公务用车购置费0元，公务用车运行维护费4.41万元），较上年预算增长100%，增长的主要原因包括：该单位为2020年新增单位。公务车保有量2辆，计划购置0辆；公务接待费0.97万元，较上年预算增长100%，增长的主要原因包括：该单位为2020年新增单位。计划接待15批75人。</w:t>
      </w:r>
    </w:p>
    <w:p>
      <w:pPr>
        <w:spacing w:line="560" w:lineRule="exact"/>
        <w:rPr>
          <w:rFonts w:ascii="仿宋" w:hAnsi="仿宋" w:eastAsia="仿宋"/>
          <w:sz w:val="32"/>
          <w:szCs w:val="32"/>
        </w:rPr>
      </w:pPr>
      <w:r>
        <w:rPr>
          <w:rFonts w:hint="eastAsia" w:ascii="仿宋" w:hAnsi="仿宋" w:eastAsia="仿宋"/>
          <w:sz w:val="32"/>
          <w:szCs w:val="32"/>
        </w:rPr>
        <w:t>（二）海南博鳌乐城国际医疗旅游先行区医疗药品监督管理局2021年政府性基金预算“三公”经费预算数为0元。</w:t>
      </w:r>
    </w:p>
    <w:p>
      <w:pPr>
        <w:spacing w:line="560" w:lineRule="exact"/>
        <w:rPr>
          <w:rFonts w:ascii="黑体" w:hAnsi="黑体" w:eastAsia="黑体"/>
          <w:sz w:val="32"/>
          <w:szCs w:val="32"/>
        </w:rPr>
      </w:pPr>
      <w:r>
        <w:rPr>
          <w:rFonts w:hint="eastAsia" w:ascii="黑体" w:hAnsi="黑体" w:eastAsia="黑体"/>
          <w:sz w:val="32"/>
          <w:szCs w:val="32"/>
        </w:rPr>
        <w:t>五、关于海南博鳌乐城国际医疗旅游先行区医疗药品监督管理局2021年政府性基金预算当年拨款情况说明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(一）政府性基金预算当年规模变化情况</w:t>
      </w:r>
    </w:p>
    <w:p>
      <w:pPr>
        <w:spacing w:line="560" w:lineRule="exact"/>
        <w:ind w:firstLine="640" w:firstLineChars="200"/>
        <w:rPr>
          <w:rFonts w:ascii="仿宋" w:hAnsi="仿宋" w:eastAsia="仿宋"/>
          <w:sz w:val="32"/>
          <w:szCs w:val="32"/>
        </w:rPr>
      </w:pPr>
      <w:bookmarkStart w:id="0" w:name="_Hlk64993844"/>
      <w:r>
        <w:rPr>
          <w:rFonts w:hint="eastAsia" w:ascii="仿宋" w:hAnsi="仿宋" w:eastAsia="仿宋"/>
          <w:sz w:val="32"/>
          <w:szCs w:val="32"/>
        </w:rPr>
        <w:t>2</w:t>
      </w:r>
      <w:r>
        <w:rPr>
          <w:rFonts w:ascii="仿宋" w:hAnsi="仿宋" w:eastAsia="仿宋"/>
          <w:sz w:val="32"/>
          <w:szCs w:val="32"/>
        </w:rPr>
        <w:t>021</w:t>
      </w:r>
      <w:r>
        <w:rPr>
          <w:rFonts w:hint="eastAsia" w:ascii="仿宋" w:hAnsi="仿宋" w:eastAsia="仿宋"/>
          <w:sz w:val="32"/>
          <w:szCs w:val="32"/>
        </w:rPr>
        <w:t>年我单位无此部分内容。</w:t>
      </w:r>
    </w:p>
    <w:bookmarkEnd w:id="0"/>
    <w:p>
      <w:pPr>
        <w:spacing w:line="560" w:lineRule="exact"/>
        <w:ind w:firstLine="640" w:firstLineChars="200"/>
        <w:rPr>
          <w:rFonts w:ascii="仿宋" w:hAnsi="仿宋" w:eastAsia="仿宋"/>
          <w:sz w:val="32"/>
          <w:szCs w:val="32"/>
        </w:rPr>
      </w:pPr>
      <w:r>
        <w:rPr>
          <w:rFonts w:hint="eastAsia" w:ascii="仿宋" w:hAnsi="仿宋" w:eastAsia="仿宋"/>
          <w:sz w:val="32"/>
          <w:szCs w:val="32"/>
        </w:rPr>
        <w:t>（二）政府性基金预算当年拨款结构情况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021</w:t>
      </w:r>
      <w:r>
        <w:rPr>
          <w:rFonts w:hint="eastAsia" w:ascii="仿宋" w:hAnsi="仿宋" w:eastAsia="仿宋"/>
          <w:sz w:val="32"/>
          <w:szCs w:val="32"/>
        </w:rPr>
        <w:t>年我单位无此部分内容。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（三）政府性基金预算当年拨款具体使用情况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021</w:t>
      </w:r>
      <w:r>
        <w:rPr>
          <w:rFonts w:hint="eastAsia" w:ascii="仿宋" w:hAnsi="仿宋" w:eastAsia="仿宋"/>
          <w:sz w:val="32"/>
          <w:szCs w:val="32"/>
        </w:rPr>
        <w:t>年我单位无此部分内容。</w:t>
      </w:r>
    </w:p>
    <w:p>
      <w:pPr>
        <w:spacing w:line="560" w:lineRule="exact"/>
        <w:rPr>
          <w:rFonts w:ascii="黑体" w:hAnsi="黑体" w:eastAsia="黑体"/>
          <w:sz w:val="32"/>
          <w:szCs w:val="32"/>
        </w:rPr>
      </w:pPr>
      <w:r>
        <w:rPr>
          <w:rFonts w:hint="eastAsia" w:ascii="黑体" w:hAnsi="黑体" w:eastAsia="黑体"/>
          <w:sz w:val="32"/>
          <w:szCs w:val="32"/>
        </w:rPr>
        <w:t>六、关于海南博鳌乐城国际医疗旅游先行区医疗药品监督管理局2021年收支预算情况的总体说明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按照综合预算原则，海南博鳌乐城国际医疗旅游先行区医疗药品监督管理局所有收入和支出均纳入部门预算管理。收入包括：一般公共预算拨款收入；支出包括：一般公共服务支出、社会保障和就业支出、卫生健康支出、住房保障支出。海南博鳌乐城国际医疗旅游先行区医疗药品监督管理局2021年收支总预算109.58万元。</w:t>
      </w:r>
    </w:p>
    <w:p>
      <w:pPr>
        <w:spacing w:line="560" w:lineRule="exact"/>
        <w:rPr>
          <w:rFonts w:ascii="黑体" w:hAnsi="黑体" w:eastAsia="黑体"/>
          <w:sz w:val="32"/>
          <w:szCs w:val="32"/>
        </w:rPr>
      </w:pPr>
      <w:r>
        <w:rPr>
          <w:rFonts w:hint="eastAsia" w:ascii="黑体" w:hAnsi="黑体" w:eastAsia="黑体"/>
          <w:sz w:val="32"/>
          <w:szCs w:val="32"/>
        </w:rPr>
        <w:t>七、关于海南博鳌乐城国际医疗旅游先行区医疗药品监督管理局2021年收入预算情况说明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海南博鳌乐城国际医疗旅游先行区医疗药品监督管理局2021年收入预算109.58万元，其中：经费拨款收入109.58万元，占100%。比上年预算数增加109.58万元，主要是该单位为2020年新增单位。</w:t>
      </w:r>
    </w:p>
    <w:p>
      <w:pPr>
        <w:spacing w:line="560" w:lineRule="exact"/>
        <w:rPr>
          <w:rFonts w:ascii="黑体" w:hAnsi="黑体" w:eastAsia="黑体"/>
          <w:sz w:val="32"/>
          <w:szCs w:val="32"/>
        </w:rPr>
      </w:pPr>
      <w:r>
        <w:rPr>
          <w:rFonts w:hint="eastAsia" w:ascii="黑体" w:hAnsi="黑体" w:eastAsia="黑体"/>
          <w:sz w:val="32"/>
          <w:szCs w:val="32"/>
        </w:rPr>
        <w:t>八、海南博鳌乐城国际医疗旅游先行区医疗药品监督管理局2021年支出预算情况说明</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海南博鳌乐城国际医疗旅游先行区医疗药品监督管理局2021年支出预算109.58万元，其中：基本支出99.58万元，占90.87%；项目支出10万元，占9.13%。比上年预算数增加109.58万元，主要是该单位为2020年新增单位。</w:t>
      </w:r>
    </w:p>
    <w:p>
      <w:pPr>
        <w:spacing w:line="560" w:lineRule="exact"/>
        <w:rPr>
          <w:rFonts w:ascii="黑体" w:hAnsi="黑体" w:eastAsia="黑体"/>
          <w:sz w:val="32"/>
          <w:szCs w:val="32"/>
        </w:rPr>
      </w:pPr>
      <w:r>
        <w:rPr>
          <w:rFonts w:hint="eastAsia" w:ascii="黑体" w:hAnsi="黑体" w:eastAsia="黑体"/>
          <w:sz w:val="32"/>
          <w:szCs w:val="32"/>
        </w:rPr>
        <w:t>九、其他重要事项的情况说明</w:t>
      </w:r>
    </w:p>
    <w:p>
      <w:pPr>
        <w:spacing w:line="560" w:lineRule="exact"/>
        <w:rPr>
          <w:rFonts w:ascii="仿宋" w:hAnsi="仿宋" w:eastAsia="仿宋"/>
          <w:sz w:val="32"/>
          <w:szCs w:val="32"/>
        </w:rPr>
      </w:pPr>
      <w:r>
        <w:rPr>
          <w:rFonts w:hint="eastAsia" w:ascii="仿宋" w:hAnsi="仿宋" w:eastAsia="仿宋"/>
          <w:sz w:val="32"/>
          <w:szCs w:val="32"/>
        </w:rPr>
        <w:t>（一）机关运行经费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2021年海南博鳌乐城国际医疗旅游先行区医疗药品监督管理局机关运行经费预算45.71万元。</w:t>
      </w:r>
    </w:p>
    <w:p>
      <w:pPr>
        <w:spacing w:line="560" w:lineRule="exact"/>
        <w:rPr>
          <w:rFonts w:ascii="仿宋" w:hAnsi="仿宋" w:eastAsia="仿宋"/>
          <w:sz w:val="32"/>
          <w:szCs w:val="32"/>
        </w:rPr>
      </w:pPr>
      <w:r>
        <w:rPr>
          <w:rFonts w:hint="eastAsia" w:ascii="仿宋" w:hAnsi="仿宋" w:eastAsia="仿宋"/>
          <w:sz w:val="32"/>
          <w:szCs w:val="32"/>
        </w:rPr>
        <w:t>（二）政府采购情况</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2021年海南博鳌乐城国际医疗旅游先行区医疗药品监督管理局政府采购预算总额0元。</w:t>
      </w:r>
    </w:p>
    <w:p>
      <w:pPr>
        <w:spacing w:line="560" w:lineRule="exact"/>
        <w:rPr>
          <w:rFonts w:ascii="仿宋" w:hAnsi="仿宋" w:eastAsia="仿宋"/>
          <w:sz w:val="32"/>
          <w:szCs w:val="32"/>
        </w:rPr>
      </w:pPr>
      <w:r>
        <w:rPr>
          <w:rFonts w:hint="eastAsia" w:ascii="仿宋" w:hAnsi="仿宋" w:eastAsia="仿宋"/>
          <w:sz w:val="32"/>
          <w:szCs w:val="32"/>
        </w:rPr>
        <w:t>（三）国有资产占有使用情况</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截至2020年12月31日，海南博鳌乐城国际医疗旅游先行区医疗药品监督管理局本级单位共有车辆2辆，其中，一般执法执勤用车1辆、</w:t>
      </w:r>
      <w:r>
        <w:rPr>
          <w:rFonts w:hint="eastAsia" w:ascii="仿宋" w:hAnsi="仿宋" w:eastAsia="仿宋"/>
          <w:sz w:val="32"/>
          <w:szCs w:val="32"/>
          <w:lang w:eastAsia="zh-CN"/>
        </w:rPr>
        <w:t>一般公务</w:t>
      </w:r>
      <w:r>
        <w:rPr>
          <w:rFonts w:hint="eastAsia" w:ascii="仿宋" w:hAnsi="仿宋" w:eastAsia="仿宋"/>
          <w:sz w:val="32"/>
          <w:szCs w:val="32"/>
        </w:rPr>
        <w:t>用车1辆。单位价值100万元以上设备0台（套）。</w:t>
      </w:r>
    </w:p>
    <w:p>
      <w:pPr>
        <w:spacing w:line="560" w:lineRule="exact"/>
        <w:rPr>
          <w:rFonts w:ascii="仿宋" w:hAnsi="仿宋" w:eastAsia="仿宋"/>
          <w:sz w:val="32"/>
          <w:szCs w:val="32"/>
        </w:rPr>
      </w:pPr>
      <w:r>
        <w:rPr>
          <w:rFonts w:hint="eastAsia" w:ascii="仿宋" w:hAnsi="仿宋" w:eastAsia="仿宋"/>
          <w:sz w:val="32"/>
          <w:szCs w:val="32"/>
        </w:rPr>
        <w:t>（四）绩效目标设置情况</w:t>
      </w:r>
    </w:p>
    <w:p>
      <w:pPr>
        <w:spacing w:line="560" w:lineRule="exact"/>
        <w:ind w:firstLine="800" w:firstLineChars="250"/>
        <w:rPr>
          <w:rFonts w:hint="eastAsia" w:ascii="仿宋" w:hAnsi="仿宋" w:eastAsia="仿宋"/>
          <w:sz w:val="32"/>
          <w:szCs w:val="32"/>
        </w:rPr>
      </w:pPr>
      <w:r>
        <w:rPr>
          <w:rFonts w:hint="eastAsia" w:ascii="仿宋" w:hAnsi="仿宋" w:eastAsia="仿宋"/>
          <w:sz w:val="32"/>
          <w:szCs w:val="32"/>
        </w:rPr>
        <w:t>2021年海南博鳌乐城国际医疗旅游先行区医疗药品监督管理局9个项目实行绩效目标管理，涉及一般公共预算109.58万元。</w:t>
      </w:r>
    </w:p>
    <w:p>
      <w:pPr>
        <w:spacing w:line="560" w:lineRule="exact"/>
        <w:ind w:firstLine="800" w:firstLineChars="250"/>
        <w:rPr>
          <w:rFonts w:hint="eastAsia" w:ascii="仿宋" w:hAnsi="仿宋" w:eastAsia="仿宋"/>
          <w:sz w:val="32"/>
          <w:szCs w:val="32"/>
        </w:rPr>
      </w:pPr>
      <w:r>
        <w:rPr>
          <w:rFonts w:hint="eastAsia" w:ascii="仿宋" w:hAnsi="仿宋" w:eastAsia="仿宋"/>
          <w:sz w:val="32"/>
          <w:szCs w:val="32"/>
        </w:rPr>
        <w:t>2021年我</w:t>
      </w:r>
      <w:r>
        <w:rPr>
          <w:rFonts w:hint="eastAsia" w:ascii="仿宋" w:hAnsi="仿宋" w:eastAsia="仿宋"/>
          <w:sz w:val="32"/>
          <w:szCs w:val="32"/>
          <w:lang w:eastAsia="zh-CN"/>
        </w:rPr>
        <w:t>单位</w:t>
      </w:r>
      <w:r>
        <w:rPr>
          <w:rFonts w:hint="eastAsia" w:ascii="仿宋" w:hAnsi="仿宋" w:eastAsia="仿宋"/>
          <w:sz w:val="32"/>
          <w:szCs w:val="32"/>
        </w:rPr>
        <w:t>无重点项目绩效目标设置。</w:t>
      </w:r>
      <w:bookmarkStart w:id="1" w:name="_GoBack"/>
      <w:bookmarkEnd w:id="1"/>
    </w:p>
    <w:p>
      <w:pPr>
        <w:spacing w:line="560" w:lineRule="exact"/>
        <w:rPr>
          <w:rFonts w:ascii="仿宋" w:hAnsi="仿宋" w:eastAsia="仿宋"/>
          <w:sz w:val="32"/>
          <w:szCs w:val="32"/>
        </w:rPr>
      </w:pPr>
    </w:p>
    <w:p>
      <w:pPr>
        <w:spacing w:line="560" w:lineRule="exact"/>
        <w:ind w:firstLine="3200" w:firstLineChars="1000"/>
        <w:rPr>
          <w:rFonts w:ascii="仿宋" w:hAnsi="仿宋" w:eastAsia="仿宋"/>
          <w:sz w:val="32"/>
          <w:szCs w:val="32"/>
        </w:rPr>
      </w:pPr>
      <w:r>
        <w:rPr>
          <w:rFonts w:hint="eastAsia" w:ascii="仿宋" w:hAnsi="仿宋" w:eastAsia="仿宋"/>
          <w:sz w:val="32"/>
          <w:szCs w:val="32"/>
        </w:rPr>
        <w:t>第四部分  名词解释</w:t>
      </w:r>
    </w:p>
    <w:p>
      <w:pPr>
        <w:spacing w:line="560" w:lineRule="exact"/>
        <w:rPr>
          <w:rFonts w:ascii="仿宋" w:hAnsi="仿宋" w:eastAsia="仿宋"/>
          <w:sz w:val="32"/>
          <w:szCs w:val="32"/>
        </w:rPr>
      </w:pPr>
      <w:r>
        <w:rPr>
          <w:rFonts w:hint="eastAsia" w:ascii="仿宋" w:hAnsi="仿宋" w:eastAsia="仿宋"/>
          <w:sz w:val="32"/>
          <w:szCs w:val="32"/>
        </w:rPr>
        <w:t>一、财政拨款收入：指本级财政当年拨付的资金。</w:t>
      </w:r>
    </w:p>
    <w:p>
      <w:pPr>
        <w:spacing w:line="560" w:lineRule="exact"/>
        <w:rPr>
          <w:rFonts w:ascii="仿宋" w:hAnsi="仿宋" w:eastAsia="仿宋"/>
          <w:sz w:val="32"/>
          <w:szCs w:val="32"/>
        </w:rPr>
      </w:pPr>
      <w:r>
        <w:rPr>
          <w:rFonts w:hint="eastAsia" w:ascii="仿宋" w:hAnsi="仿宋" w:eastAsia="仿宋"/>
          <w:sz w:val="32"/>
          <w:szCs w:val="32"/>
        </w:rPr>
        <w:t>二、事业收入：指事业单位开展专业业务活动及辅助活动取得的收入。</w:t>
      </w:r>
    </w:p>
    <w:p>
      <w:pPr>
        <w:spacing w:line="560" w:lineRule="exact"/>
        <w:rPr>
          <w:rFonts w:ascii="仿宋" w:hAnsi="仿宋" w:eastAsia="仿宋"/>
          <w:sz w:val="32"/>
          <w:szCs w:val="32"/>
        </w:rPr>
      </w:pPr>
      <w:r>
        <w:rPr>
          <w:rFonts w:hint="eastAsia" w:ascii="仿宋" w:hAnsi="仿宋" w:eastAsia="仿宋"/>
          <w:sz w:val="32"/>
          <w:szCs w:val="32"/>
        </w:rPr>
        <w:t>三、经营收入：指事业单位在专业业务活动及其辅助活动之外开展非独立核算经营活动取得的收入。</w:t>
      </w:r>
    </w:p>
    <w:p>
      <w:pPr>
        <w:spacing w:line="560" w:lineRule="exact"/>
        <w:rPr>
          <w:rFonts w:ascii="仿宋" w:hAnsi="仿宋" w:eastAsia="仿宋"/>
          <w:sz w:val="32"/>
          <w:szCs w:val="32"/>
        </w:rPr>
      </w:pPr>
      <w:r>
        <w:rPr>
          <w:rFonts w:hint="eastAsia" w:ascii="仿宋" w:hAnsi="仿宋" w:eastAsia="仿宋"/>
          <w:sz w:val="32"/>
          <w:szCs w:val="32"/>
        </w:rPr>
        <w:t>四、其他收入：指除上述“财政拨款收入”“事业收入”“经营收入”等以外的收入。</w:t>
      </w:r>
    </w:p>
    <w:p>
      <w:pPr>
        <w:spacing w:line="560" w:lineRule="exact"/>
        <w:rPr>
          <w:rFonts w:ascii="仿宋" w:hAnsi="仿宋" w:eastAsia="仿宋"/>
          <w:sz w:val="32"/>
          <w:szCs w:val="32"/>
        </w:rPr>
      </w:pPr>
      <w:r>
        <w:rPr>
          <w:rFonts w:hint="eastAsia" w:ascii="仿宋" w:hAnsi="仿宋" w:eastAsia="仿宋"/>
          <w:sz w:val="32"/>
          <w:szCs w:val="32"/>
        </w:rPr>
        <w:t>五、年初结转和结余：指以前年度尚未完成、结转到本年按有关规定继续使用的资金。</w:t>
      </w:r>
    </w:p>
    <w:p>
      <w:pPr>
        <w:spacing w:line="560" w:lineRule="exact"/>
        <w:rPr>
          <w:rFonts w:ascii="仿宋" w:hAnsi="仿宋" w:eastAsia="仿宋"/>
          <w:sz w:val="32"/>
          <w:szCs w:val="32"/>
        </w:rPr>
      </w:pPr>
      <w:r>
        <w:rPr>
          <w:rFonts w:hint="eastAsia" w:ascii="仿宋" w:hAnsi="仿宋" w:eastAsia="仿宋"/>
          <w:sz w:val="32"/>
          <w:szCs w:val="32"/>
        </w:rPr>
        <w:t xml:space="preserve">六、基本支出：指行政事业单位用于为保障其机构正常运转、完成日常工作任务而发生的人员支出和公用支出。   </w:t>
      </w:r>
    </w:p>
    <w:p>
      <w:pPr>
        <w:spacing w:line="560" w:lineRule="exact"/>
        <w:rPr>
          <w:rFonts w:ascii="仿宋" w:hAnsi="仿宋" w:eastAsia="仿宋"/>
          <w:sz w:val="32"/>
          <w:szCs w:val="32"/>
        </w:rPr>
      </w:pPr>
      <w:r>
        <w:rPr>
          <w:rFonts w:hint="eastAsia" w:ascii="仿宋" w:hAnsi="仿宋" w:eastAsia="仿宋"/>
          <w:sz w:val="32"/>
          <w:szCs w:val="32"/>
        </w:rPr>
        <w:t>七、工资福利支出：反映单位开支的在职职工和编制外长期聘用人员的各类劳动报酬，以及为上述人员缴纳的各项社会保险费等。</w:t>
      </w:r>
    </w:p>
    <w:p>
      <w:pPr>
        <w:spacing w:line="560" w:lineRule="exact"/>
        <w:rPr>
          <w:rFonts w:ascii="仿宋" w:hAnsi="仿宋" w:eastAsia="仿宋"/>
          <w:sz w:val="32"/>
          <w:szCs w:val="32"/>
        </w:rPr>
      </w:pPr>
      <w:r>
        <w:rPr>
          <w:rFonts w:hint="eastAsia" w:ascii="仿宋" w:hAnsi="仿宋" w:eastAsia="仿宋"/>
          <w:sz w:val="32"/>
          <w:szCs w:val="32"/>
        </w:rPr>
        <w:t>八、对个人和家庭的补助支出：反映政府用于对个人和家庭的补助支出，包括离休费、退休费、退职（役）费、抚恤金、生活补助、救济费、医疗费补助、助学金、独生子女奖励金、其他等。</w:t>
      </w:r>
    </w:p>
    <w:p>
      <w:pPr>
        <w:spacing w:line="560" w:lineRule="exact"/>
        <w:rPr>
          <w:rFonts w:ascii="仿宋" w:hAnsi="仿宋" w:eastAsia="仿宋"/>
          <w:sz w:val="32"/>
          <w:szCs w:val="32"/>
        </w:rPr>
      </w:pPr>
      <w:r>
        <w:rPr>
          <w:rFonts w:hint="eastAsia" w:ascii="仿宋" w:hAnsi="仿宋" w:eastAsia="仿宋"/>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pPr>
        <w:spacing w:line="560" w:lineRule="exact"/>
        <w:rPr>
          <w:rFonts w:ascii="仿宋" w:hAnsi="仿宋" w:eastAsia="仿宋"/>
          <w:sz w:val="32"/>
          <w:szCs w:val="32"/>
        </w:rPr>
      </w:pPr>
      <w:r>
        <w:rPr>
          <w:rFonts w:hint="eastAsia" w:ascii="仿宋" w:hAnsi="仿宋" w:eastAsia="仿宋"/>
          <w:sz w:val="32"/>
          <w:szCs w:val="32"/>
        </w:rPr>
        <w:t>十、项目支出：指各部门、各单位为完成其特定的工作任务和事业发展目标所发生的支出。</w:t>
      </w:r>
    </w:p>
    <w:p>
      <w:pPr>
        <w:spacing w:line="560" w:lineRule="exact"/>
        <w:rPr>
          <w:rFonts w:ascii="仿宋" w:hAnsi="仿宋" w:eastAsia="仿宋"/>
          <w:sz w:val="32"/>
          <w:szCs w:val="32"/>
        </w:rPr>
      </w:pPr>
      <w:r>
        <w:rPr>
          <w:rFonts w:hint="eastAsia" w:ascii="仿宋" w:hAnsi="仿宋" w:eastAsia="仿宋"/>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spacing w:line="560" w:lineRule="exact"/>
        <w:rPr>
          <w:rFonts w:ascii="仿宋" w:hAnsi="仿宋" w:eastAsia="仿宋"/>
          <w:sz w:val="32"/>
          <w:szCs w:val="32"/>
        </w:rPr>
      </w:pPr>
      <w:r>
        <w:rPr>
          <w:rFonts w:hint="eastAsia" w:ascii="仿宋" w:hAnsi="仿宋" w:eastAsia="仿宋"/>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docVars>
    <w:docVar w:name="commondata" w:val="eyJoZGlkIjoiOGZmZGEyMmFlZWZhMzRhNzllNDkxZmFlZjMyNjJlNmEifQ=="/>
  </w:docVars>
  <w:rsids>
    <w:rsidRoot w:val="00D31D50"/>
    <w:rsid w:val="00142B2A"/>
    <w:rsid w:val="0021151E"/>
    <w:rsid w:val="00270E73"/>
    <w:rsid w:val="002B7B14"/>
    <w:rsid w:val="00323B43"/>
    <w:rsid w:val="003D37D8"/>
    <w:rsid w:val="00426133"/>
    <w:rsid w:val="004335D6"/>
    <w:rsid w:val="004358AB"/>
    <w:rsid w:val="004358D3"/>
    <w:rsid w:val="004A0D99"/>
    <w:rsid w:val="004D14B7"/>
    <w:rsid w:val="005273BC"/>
    <w:rsid w:val="00676E76"/>
    <w:rsid w:val="007817CC"/>
    <w:rsid w:val="00877567"/>
    <w:rsid w:val="008B7726"/>
    <w:rsid w:val="009E6998"/>
    <w:rsid w:val="00A271E1"/>
    <w:rsid w:val="00A27731"/>
    <w:rsid w:val="00A67B79"/>
    <w:rsid w:val="00A70FE0"/>
    <w:rsid w:val="00AF37E1"/>
    <w:rsid w:val="00AF4702"/>
    <w:rsid w:val="00B013D1"/>
    <w:rsid w:val="00B440C2"/>
    <w:rsid w:val="00B56565"/>
    <w:rsid w:val="00B65286"/>
    <w:rsid w:val="00B84723"/>
    <w:rsid w:val="00C059BB"/>
    <w:rsid w:val="00C11C4B"/>
    <w:rsid w:val="00C66153"/>
    <w:rsid w:val="00C858CE"/>
    <w:rsid w:val="00CA223B"/>
    <w:rsid w:val="00D31D50"/>
    <w:rsid w:val="00D4117D"/>
    <w:rsid w:val="00E134EB"/>
    <w:rsid w:val="00E5343C"/>
    <w:rsid w:val="00E62541"/>
    <w:rsid w:val="066B2F92"/>
    <w:rsid w:val="075B5039"/>
    <w:rsid w:val="0B72003C"/>
    <w:rsid w:val="0ECA1A0C"/>
    <w:rsid w:val="18D14484"/>
    <w:rsid w:val="19D12052"/>
    <w:rsid w:val="1A83133B"/>
    <w:rsid w:val="1CC21C1A"/>
    <w:rsid w:val="22354D9B"/>
    <w:rsid w:val="26867B60"/>
    <w:rsid w:val="316C2516"/>
    <w:rsid w:val="3A4378DD"/>
    <w:rsid w:val="3D0B2D84"/>
    <w:rsid w:val="3FD31483"/>
    <w:rsid w:val="41A45626"/>
    <w:rsid w:val="44E1312D"/>
    <w:rsid w:val="48AD3045"/>
    <w:rsid w:val="4C545E87"/>
    <w:rsid w:val="57B34CA3"/>
    <w:rsid w:val="58CD4F3F"/>
    <w:rsid w:val="5C7E3F2F"/>
    <w:rsid w:val="5E2D4CE3"/>
    <w:rsid w:val="5F31637C"/>
    <w:rsid w:val="6AE31A8D"/>
    <w:rsid w:val="6FB8694E"/>
    <w:rsid w:val="6FC86C72"/>
    <w:rsid w:val="709E34BC"/>
    <w:rsid w:val="74193E2E"/>
    <w:rsid w:val="76561D27"/>
    <w:rsid w:val="78104467"/>
    <w:rsid w:val="784450D1"/>
    <w:rsid w:val="78D05E19"/>
    <w:rsid w:val="7D5A22EA"/>
    <w:rsid w:val="7E8B3E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3847</Words>
  <Characters>4185</Characters>
  <Lines>28</Lines>
  <Paragraphs>8</Paragraphs>
  <TotalTime>1</TotalTime>
  <ScaleCrop>false</ScaleCrop>
  <LinksUpToDate>false</LinksUpToDate>
  <CharactersWithSpaces>4220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何丹</cp:lastModifiedBy>
  <dcterms:modified xsi:type="dcterms:W3CDTF">2022-09-07T03:12:28Z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B0DE14B9D1BC4552AEEF31F18FEF637C</vt:lpwstr>
  </property>
</Properties>
</file>