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ind w:firstLine="1446" w:firstLineChars="400"/>
        <w:rPr>
          <w:rFonts w:ascii="宋体" w:eastAsia="宋体" w:hAnsi="宋体"/>
          <w:sz w:val="36"/>
          <w:szCs w:val="36"/>
        </w:rPr>
      </w:pPr>
      <w:r>
        <w:rPr>
          <w:rFonts w:ascii="宋体" w:eastAsia="宋体" w:hAnsi="宋体" w:hint="eastAsia"/>
          <w:sz w:val="36"/>
          <w:szCs w:val="36"/>
        </w:rPr>
        <w:t>协同办公系统维护服务需求</w:t>
      </w:r>
    </w:p>
    <w:p>
      <w:pPr>
        <w:pStyle w:val="style0"/>
        <w:rPr>
          <w:rFonts w:ascii="宋体" w:cs="宋体" w:hAnsi="宋体"/>
          <w:b/>
          <w:bCs/>
          <w:szCs w:val="21"/>
        </w:rPr>
      </w:pPr>
    </w:p>
    <w:p>
      <w:pPr>
        <w:pStyle w:val="style0"/>
        <w:rPr>
          <w:rFonts w:ascii="宋体" w:cs="宋体" w:hAnsi="宋体"/>
          <w:b/>
          <w:bCs/>
          <w:color w:val="000000"/>
          <w:kern w:val="0"/>
          <w:sz w:val="18"/>
          <w:szCs w:val="18"/>
        </w:rPr>
      </w:pPr>
      <w:r>
        <w:rPr>
          <w:rFonts w:ascii="宋体" w:cs="宋体" w:hAnsi="宋体" w:hint="eastAsia"/>
          <w:b/>
          <w:bCs/>
          <w:szCs w:val="21"/>
        </w:rPr>
        <w:t>说明：本次项目维护服务周期一年。</w:t>
      </w:r>
    </w:p>
    <w:tbl>
      <w:tblPr>
        <w:tblStyle w:val="style105"/>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6"/>
        <w:gridCol w:w="2310"/>
        <w:gridCol w:w="3720"/>
      </w:tblGrid>
      <w:tr>
        <w:trPr>
          <w:trHeight w:val="577" w:hRule="atLeast"/>
        </w:trPr>
        <w:tc>
          <w:tcPr>
            <w:tcW w:w="1956" w:type="dxa"/>
            <w:tcBorders/>
            <w:vAlign w:val="center"/>
          </w:tcPr>
          <w:p>
            <w:pPr>
              <w:pStyle w:val="style0"/>
              <w:widowControl/>
              <w:jc w:val="center"/>
              <w:rPr>
                <w:rFonts w:ascii="宋体" w:cs="宋体" w:hAnsi="宋体"/>
                <w:b/>
                <w:bCs/>
                <w:color w:val="000000"/>
                <w:kern w:val="0"/>
                <w:szCs w:val="21"/>
              </w:rPr>
            </w:pPr>
            <w:r>
              <w:rPr>
                <w:rFonts w:ascii="宋体" w:cs="宋体" w:hAnsi="宋体" w:hint="eastAsia"/>
                <w:b/>
                <w:bCs/>
                <w:color w:val="000000"/>
                <w:kern w:val="0"/>
                <w:szCs w:val="21"/>
              </w:rPr>
              <w:t>服务类别</w:t>
            </w:r>
          </w:p>
        </w:tc>
        <w:tc>
          <w:tcPr>
            <w:tcW w:w="2310" w:type="dxa"/>
            <w:tcBorders/>
            <w:vAlign w:val="center"/>
          </w:tcPr>
          <w:p>
            <w:pPr>
              <w:pStyle w:val="style0"/>
              <w:widowControl/>
              <w:jc w:val="center"/>
              <w:rPr>
                <w:rFonts w:ascii="宋体" w:cs="宋体" w:hAnsi="宋体"/>
                <w:b/>
                <w:bCs/>
                <w:color w:val="000000"/>
                <w:kern w:val="0"/>
                <w:szCs w:val="21"/>
              </w:rPr>
            </w:pPr>
            <w:r>
              <w:rPr>
                <w:rFonts w:ascii="宋体" w:cs="宋体" w:hAnsi="宋体" w:hint="eastAsia"/>
                <w:b/>
                <w:bCs/>
                <w:color w:val="000000"/>
                <w:kern w:val="0"/>
                <w:szCs w:val="21"/>
              </w:rPr>
              <w:t>服务项</w:t>
            </w:r>
          </w:p>
        </w:tc>
        <w:tc>
          <w:tcPr>
            <w:tcW w:w="3720" w:type="dxa"/>
            <w:tcBorders/>
            <w:vAlign w:val="center"/>
          </w:tcPr>
          <w:p>
            <w:pPr>
              <w:pStyle w:val="style0"/>
              <w:widowControl/>
              <w:jc w:val="center"/>
              <w:rPr>
                <w:rFonts w:ascii="宋体" w:cs="宋体" w:hAnsi="宋体"/>
                <w:b/>
                <w:bCs/>
                <w:color w:val="000000"/>
                <w:kern w:val="0"/>
                <w:szCs w:val="21"/>
              </w:rPr>
            </w:pPr>
            <w:r>
              <w:rPr>
                <w:rFonts w:ascii="宋体" w:cs="宋体" w:hAnsi="宋体" w:hint="eastAsia"/>
                <w:b/>
                <w:bCs/>
                <w:color w:val="000000"/>
                <w:kern w:val="0"/>
                <w:szCs w:val="21"/>
              </w:rPr>
              <w:t>服务内容</w:t>
            </w:r>
          </w:p>
        </w:tc>
      </w:tr>
      <w:tr>
        <w:tblPrEx/>
        <w:trPr>
          <w:trHeight w:val="542" w:hRule="atLeast"/>
        </w:trPr>
        <w:tc>
          <w:tcPr>
            <w:tcW w:w="1956" w:type="dxa"/>
            <w:vMerge w:val="restart"/>
            <w:tcBorders/>
            <w:vAlign w:val="center"/>
          </w:tcPr>
          <w:p>
            <w:pPr>
              <w:pStyle w:val="style0"/>
              <w:widowControl/>
              <w:jc w:val="center"/>
              <w:rPr>
                <w:rFonts w:ascii="宋体" w:cs="宋体" w:hAnsi="宋体"/>
                <w:b/>
                <w:bCs/>
                <w:color w:val="000000"/>
                <w:kern w:val="0"/>
                <w:szCs w:val="21"/>
              </w:rPr>
            </w:pPr>
            <w:r>
              <w:rPr>
                <w:rFonts w:ascii="宋体" w:cs="宋体" w:hAnsi="宋体" w:hint="eastAsia"/>
                <w:b/>
                <w:bCs/>
                <w:color w:val="000000"/>
                <w:kern w:val="0"/>
                <w:szCs w:val="21"/>
              </w:rPr>
              <w:t>咨询热线</w:t>
            </w:r>
          </w:p>
        </w:tc>
        <w:tc>
          <w:tcPr>
            <w:tcW w:w="2310" w:type="dxa"/>
            <w:tcBorders/>
            <w:vAlign w:val="center"/>
          </w:tcPr>
          <w:p>
            <w:pPr>
              <w:pStyle w:val="style0"/>
              <w:widowControl/>
              <w:jc w:val="left"/>
              <w:rPr>
                <w:rFonts w:ascii="宋体" w:cs="宋体" w:hAnsi="宋体"/>
                <w:kern w:val="0"/>
                <w:szCs w:val="21"/>
              </w:rPr>
            </w:pPr>
            <w:r>
              <w:rPr>
                <w:rFonts w:ascii="宋体" w:cs="宋体" w:hAnsi="宋体" w:hint="eastAsia"/>
                <w:kern w:val="0"/>
                <w:szCs w:val="21"/>
              </w:rPr>
              <w:t>问题咨询与受理服务</w:t>
            </w:r>
          </w:p>
        </w:tc>
        <w:tc>
          <w:tcPr>
            <w:tcW w:w="3720" w:type="dxa"/>
            <w:tcBorders/>
            <w:vAlign w:val="center"/>
          </w:tcPr>
          <w:p>
            <w:pPr>
              <w:pStyle w:val="style0"/>
              <w:widowControl/>
              <w:jc w:val="left"/>
              <w:rPr>
                <w:rFonts w:ascii="宋体" w:cs="宋体" w:hAnsi="宋体"/>
                <w:kern w:val="0"/>
                <w:szCs w:val="21"/>
              </w:rPr>
            </w:pPr>
            <w:r>
              <w:rPr>
                <w:rFonts w:ascii="宋体" w:cs="宋体" w:hAnsi="宋体" w:hint="eastAsia"/>
                <w:kern w:val="0"/>
                <w:szCs w:val="21"/>
              </w:rPr>
              <w:t>提供7X24小时应用问题咨询</w:t>
            </w:r>
          </w:p>
        </w:tc>
      </w:tr>
      <w:tr>
        <w:tblPrEx/>
        <w:trPr>
          <w:trHeight w:val="532" w:hRule="atLeast"/>
        </w:trPr>
        <w:tc>
          <w:tcPr>
            <w:tcW w:w="1956" w:type="dxa"/>
            <w:vMerge w:val="continue"/>
            <w:tcBorders/>
            <w:vAlign w:val="center"/>
          </w:tcPr>
          <w:p>
            <w:pPr>
              <w:pStyle w:val="style0"/>
              <w:widowControl/>
              <w:jc w:val="left"/>
              <w:rPr>
                <w:rFonts w:ascii="宋体" w:cs="宋体" w:hAnsi="宋体"/>
                <w:b/>
                <w:bCs/>
                <w:color w:val="000000"/>
                <w:kern w:val="0"/>
                <w:szCs w:val="21"/>
              </w:rPr>
            </w:pP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运行维护和受理服务</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提供7X24小时系统问题远程诊断；</w:t>
            </w:r>
          </w:p>
        </w:tc>
      </w:tr>
      <w:tr>
        <w:tblPrEx/>
        <w:trPr>
          <w:trHeight w:val="748" w:hRule="atLeast"/>
        </w:trPr>
        <w:tc>
          <w:tcPr>
            <w:tcW w:w="1956" w:type="dxa"/>
            <w:vMerge w:val="continue"/>
            <w:tcBorders/>
            <w:vAlign w:val="center"/>
          </w:tcPr>
          <w:p>
            <w:pPr>
              <w:pStyle w:val="style0"/>
              <w:widowControl/>
              <w:jc w:val="left"/>
              <w:rPr>
                <w:rFonts w:ascii="宋体" w:cs="宋体" w:hAnsi="宋体"/>
                <w:b/>
                <w:bCs/>
                <w:color w:val="000000"/>
                <w:kern w:val="0"/>
                <w:szCs w:val="21"/>
              </w:rPr>
            </w:pP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系统升级服务</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提供小版本的免费升级服务；不定期发布补丁更新；</w:t>
            </w:r>
          </w:p>
        </w:tc>
      </w:tr>
      <w:tr>
        <w:tblPrEx/>
        <w:trPr>
          <w:trHeight w:val="748" w:hRule="atLeast"/>
        </w:trPr>
        <w:tc>
          <w:tcPr>
            <w:tcW w:w="1956" w:type="dxa"/>
            <w:tcBorders/>
            <w:vAlign w:val="center"/>
          </w:tcPr>
          <w:p>
            <w:pPr>
              <w:pStyle w:val="style0"/>
              <w:widowControl/>
              <w:jc w:val="center"/>
              <w:rPr>
                <w:rFonts w:ascii="宋体" w:cs="宋体" w:hAnsi="宋体"/>
                <w:b/>
                <w:bCs/>
                <w:color w:val="000000"/>
                <w:kern w:val="0"/>
                <w:szCs w:val="21"/>
              </w:rPr>
            </w:pPr>
            <w:r>
              <w:rPr>
                <w:rFonts w:ascii="宋体" w:cs="宋体" w:hAnsi="宋体" w:hint="eastAsia"/>
                <w:b/>
                <w:bCs/>
                <w:color w:val="000000"/>
                <w:kern w:val="0"/>
                <w:szCs w:val="21"/>
              </w:rPr>
              <w:t>培训服务</w:t>
            </w: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功能应用培训</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系统管理员培训&amp;产品应用培训；</w:t>
            </w:r>
          </w:p>
        </w:tc>
      </w:tr>
      <w:tr>
        <w:tblPrEx/>
        <w:trPr>
          <w:trHeight w:val="662" w:hRule="atLeast"/>
        </w:trPr>
        <w:tc>
          <w:tcPr>
            <w:tcW w:w="1956" w:type="dxa"/>
            <w:vMerge w:val="restart"/>
            <w:tcBorders/>
            <w:vAlign w:val="center"/>
          </w:tcPr>
          <w:p>
            <w:pPr>
              <w:pStyle w:val="style0"/>
              <w:ind w:firstLine="422" w:firstLineChars="200"/>
              <w:jc w:val="left"/>
              <w:rPr>
                <w:rFonts w:ascii="宋体" w:cs="宋体" w:hAnsi="宋体"/>
                <w:b/>
                <w:bCs/>
                <w:color w:val="000000"/>
                <w:kern w:val="0"/>
                <w:szCs w:val="21"/>
              </w:rPr>
            </w:pPr>
            <w:r>
              <w:rPr>
                <w:rFonts w:ascii="宋体" w:cs="宋体" w:hAnsi="宋体" w:hint="eastAsia"/>
                <w:b/>
                <w:bCs/>
                <w:color w:val="000000"/>
                <w:kern w:val="0"/>
                <w:szCs w:val="21"/>
              </w:rPr>
              <w:t>响应时间</w:t>
            </w: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系统故障热线服务</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针对系统出现故障，提供7X24小时热线咨询服务，一般问题电话接通后提供咨询服务；4小时内处理完毕；特殊复杂问题1个工作日处理完毕，</w:t>
            </w:r>
          </w:p>
        </w:tc>
      </w:tr>
      <w:tr>
        <w:tblPrEx/>
        <w:trPr>
          <w:trHeight w:val="662" w:hRule="atLeast"/>
        </w:trPr>
        <w:tc>
          <w:tcPr>
            <w:tcW w:w="1956" w:type="dxa"/>
            <w:vMerge w:val="continue"/>
            <w:tcBorders/>
            <w:vAlign w:val="center"/>
          </w:tcPr>
          <w:p>
            <w:pPr>
              <w:pStyle w:val="style0"/>
              <w:jc w:val="left"/>
              <w:rPr>
                <w:rFonts w:ascii="宋体" w:cs="宋体" w:hAnsi="宋体"/>
                <w:b/>
                <w:bCs/>
                <w:color w:val="000000"/>
                <w:kern w:val="0"/>
                <w:szCs w:val="21"/>
              </w:rPr>
            </w:pP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重大活动保障</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重要领导来访、重大活动及会议期间，提供现场系统演示、讲解及系统保障，由于系统原因引起的故障问题，应立即响应并在半小时内处理解决，如客观原因暂时无法解决，需提供其他应急解决方案保证系统运行，保障相关活动顺利开展。</w:t>
            </w:r>
          </w:p>
        </w:tc>
      </w:tr>
      <w:tr>
        <w:tblPrEx/>
        <w:trPr>
          <w:trHeight w:val="662" w:hRule="atLeast"/>
        </w:trPr>
        <w:tc>
          <w:tcPr>
            <w:tcW w:w="1956" w:type="dxa"/>
            <w:tcBorders/>
            <w:vAlign w:val="center"/>
          </w:tcPr>
          <w:p>
            <w:pPr>
              <w:pStyle w:val="style0"/>
              <w:ind w:firstLine="422" w:firstLineChars="200"/>
              <w:jc w:val="left"/>
              <w:rPr>
                <w:rFonts w:ascii="宋体" w:cs="宋体" w:hAnsi="宋体"/>
                <w:b/>
                <w:bCs/>
                <w:color w:val="000000"/>
                <w:kern w:val="0"/>
                <w:szCs w:val="21"/>
              </w:rPr>
            </w:pPr>
            <w:r>
              <w:rPr>
                <w:rFonts w:ascii="宋体" w:cs="宋体" w:hAnsi="宋体" w:hint="eastAsia"/>
                <w:b/>
                <w:bCs/>
                <w:color w:val="000000"/>
                <w:kern w:val="0"/>
                <w:szCs w:val="21"/>
              </w:rPr>
              <w:t>巡检服务</w:t>
            </w: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定期上门巡检服务</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每个季度定期上门现场巡检1次，出巡检报告；</w:t>
            </w:r>
          </w:p>
        </w:tc>
      </w:tr>
      <w:tr>
        <w:tblPrEx/>
        <w:trPr>
          <w:trHeight w:val="662" w:hRule="atLeast"/>
        </w:trPr>
        <w:tc>
          <w:tcPr>
            <w:tcW w:w="1956" w:type="dxa"/>
            <w:vMerge w:val="restart"/>
            <w:tcBorders/>
            <w:vAlign w:val="center"/>
          </w:tcPr>
          <w:p>
            <w:pPr>
              <w:pStyle w:val="style0"/>
              <w:ind w:firstLine="422" w:firstLineChars="200"/>
              <w:jc w:val="left"/>
              <w:rPr>
                <w:rFonts w:ascii="宋体" w:cs="宋体" w:hAnsi="宋体"/>
                <w:b/>
                <w:bCs/>
                <w:color w:val="000000"/>
                <w:kern w:val="0"/>
                <w:szCs w:val="21"/>
              </w:rPr>
            </w:pPr>
            <w:r>
              <w:rPr>
                <w:rFonts w:ascii="宋体" w:cs="宋体" w:hAnsi="宋体" w:hint="eastAsia"/>
                <w:b/>
                <w:bCs/>
                <w:color w:val="000000"/>
                <w:kern w:val="0"/>
                <w:szCs w:val="21"/>
              </w:rPr>
              <w:t>故障恢复</w:t>
            </w: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信息安全保障服务</w:t>
            </w:r>
          </w:p>
        </w:tc>
        <w:tc>
          <w:tcPr>
            <w:tcW w:w="3720" w:type="dxa"/>
            <w:tcBorders/>
            <w:vAlign w:val="center"/>
          </w:tcPr>
          <w:p>
            <w:pPr>
              <w:pStyle w:val="style0"/>
              <w:widowControl/>
              <w:numPr>
                <w:ilvl w:val="0"/>
                <w:numId w:val="1"/>
              </w:numPr>
              <w:jc w:val="left"/>
              <w:rPr>
                <w:rFonts w:ascii="宋体" w:cs="宋体" w:hAnsi="宋体"/>
                <w:color w:val="000000"/>
                <w:kern w:val="0"/>
                <w:szCs w:val="21"/>
              </w:rPr>
            </w:pPr>
            <w:r>
              <w:rPr>
                <w:rFonts w:ascii="宋体" w:cs="宋体" w:hAnsi="宋体" w:hint="eastAsia"/>
                <w:color w:val="000000"/>
                <w:kern w:val="0"/>
                <w:szCs w:val="21"/>
              </w:rPr>
              <w:t>提供服务器端系统数据的每天离线和在线备份，在必要时候能及时响应并在2小时内恢复备份，保证系统正常运行。</w:t>
            </w:r>
          </w:p>
          <w:p>
            <w:pPr>
              <w:pStyle w:val="style0"/>
              <w:widowControl/>
              <w:numPr>
                <w:ilvl w:val="0"/>
                <w:numId w:val="1"/>
              </w:numPr>
              <w:jc w:val="left"/>
              <w:rPr>
                <w:rFonts w:ascii="宋体" w:cs="宋体" w:hAnsi="宋体"/>
                <w:color w:val="000000"/>
                <w:kern w:val="0"/>
                <w:szCs w:val="21"/>
              </w:rPr>
            </w:pPr>
            <w:r>
              <w:rPr>
                <w:rFonts w:ascii="宋体" w:cs="宋体" w:hAnsi="宋体" w:hint="eastAsia"/>
                <w:color w:val="000000"/>
                <w:kern w:val="0"/>
                <w:szCs w:val="21"/>
              </w:rPr>
              <w:t>提供服务器端重大系统故障应急预案，并定期执行应急演练。</w:t>
            </w:r>
          </w:p>
        </w:tc>
      </w:tr>
      <w:tr>
        <w:tblPrEx/>
        <w:trPr>
          <w:trHeight w:val="662" w:hRule="atLeast"/>
        </w:trPr>
        <w:tc>
          <w:tcPr>
            <w:tcW w:w="1956" w:type="dxa"/>
            <w:vMerge w:val="continue"/>
            <w:tcBorders/>
            <w:vAlign w:val="center"/>
          </w:tcPr>
          <w:p>
            <w:pPr>
              <w:pStyle w:val="style0"/>
              <w:jc w:val="left"/>
              <w:rPr>
                <w:rFonts w:ascii="宋体" w:cs="宋体" w:hAnsi="宋体"/>
                <w:b/>
                <w:bCs/>
                <w:color w:val="000000"/>
                <w:kern w:val="0"/>
                <w:szCs w:val="21"/>
              </w:rPr>
            </w:pP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服务器运行环境监测及修复服务</w:t>
            </w:r>
          </w:p>
        </w:tc>
        <w:tc>
          <w:tcPr>
            <w:tcW w:w="3720" w:type="dxa"/>
            <w:tcBorders/>
            <w:vAlign w:val="center"/>
          </w:tcPr>
          <w:p>
            <w:pPr>
              <w:pStyle w:val="style0"/>
              <w:widowControl/>
              <w:numPr>
                <w:ilvl w:val="0"/>
                <w:numId w:val="2"/>
              </w:numPr>
              <w:jc w:val="left"/>
              <w:rPr>
                <w:rFonts w:ascii="宋体" w:cs="宋体" w:hAnsi="宋体"/>
                <w:color w:val="000000"/>
                <w:kern w:val="0"/>
                <w:szCs w:val="21"/>
              </w:rPr>
            </w:pPr>
            <w:r>
              <w:rPr>
                <w:rFonts w:ascii="宋体" w:cs="宋体" w:hAnsi="宋体" w:hint="eastAsia"/>
                <w:color w:val="000000"/>
                <w:kern w:val="0"/>
                <w:szCs w:val="21"/>
              </w:rPr>
              <w:t>提供服务器端系统运行环境监测服务，及时发现运行环境存在的问题。</w:t>
            </w:r>
          </w:p>
          <w:p>
            <w:pPr>
              <w:pStyle w:val="style0"/>
              <w:widowControl/>
              <w:numPr>
                <w:ilvl w:val="0"/>
                <w:numId w:val="2"/>
              </w:numPr>
              <w:jc w:val="left"/>
              <w:rPr>
                <w:rFonts w:ascii="宋体" w:cs="宋体" w:hAnsi="宋体"/>
                <w:color w:val="000000"/>
                <w:kern w:val="0"/>
                <w:szCs w:val="21"/>
              </w:rPr>
            </w:pPr>
            <w:r>
              <w:rPr>
                <w:rFonts w:ascii="宋体" w:cs="宋体" w:hAnsi="宋体" w:hint="eastAsia"/>
                <w:color w:val="000000"/>
                <w:kern w:val="0"/>
                <w:szCs w:val="21"/>
              </w:rPr>
              <w:t>服务器端运行环境（如操作系统）出现问题，影响系统使用，应及时发现并在2小时内修复。</w:t>
            </w:r>
          </w:p>
        </w:tc>
      </w:tr>
      <w:tr>
        <w:tblPrEx/>
        <w:trPr>
          <w:trHeight w:val="662" w:hRule="atLeast"/>
        </w:trPr>
        <w:tc>
          <w:tcPr>
            <w:tcW w:w="1956" w:type="dxa"/>
            <w:tcBorders/>
            <w:vAlign w:val="center"/>
          </w:tcPr>
          <w:p>
            <w:pPr>
              <w:pStyle w:val="style0"/>
              <w:jc w:val="left"/>
              <w:rPr>
                <w:rFonts w:ascii="宋体" w:cs="宋体" w:hAnsi="宋体"/>
                <w:b/>
                <w:bCs/>
                <w:color w:val="000000"/>
                <w:kern w:val="0"/>
                <w:szCs w:val="21"/>
              </w:rPr>
            </w:pPr>
            <w:r>
              <w:rPr>
                <w:rFonts w:ascii="宋体" w:cs="宋体" w:hAnsi="宋体" w:hint="eastAsia"/>
                <w:b/>
                <w:bCs/>
                <w:color w:val="000000"/>
                <w:kern w:val="0"/>
                <w:szCs w:val="21"/>
              </w:rPr>
              <w:t>资质要求</w:t>
            </w:r>
          </w:p>
        </w:tc>
        <w:tc>
          <w:tcPr>
            <w:tcW w:w="231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服务商需准备资料</w:t>
            </w:r>
          </w:p>
        </w:tc>
        <w:tc>
          <w:tcPr>
            <w:tcW w:w="3720" w:type="dxa"/>
            <w:tcBorders/>
            <w:vAlign w:val="center"/>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1、公司营业执照（复印件加盖单位公章，一式一份）</w:t>
            </w:r>
          </w:p>
          <w:p>
            <w:pPr>
              <w:pStyle w:val="style0"/>
              <w:rPr/>
            </w:pPr>
            <w:r>
              <w:t>2</w:t>
            </w:r>
            <w:r>
              <w:rPr>
                <w:rFonts w:hint="eastAsia"/>
              </w:rPr>
              <w:t>、投标方需具有兼容匹配市场主流OA环境证明文件</w:t>
            </w:r>
            <w:bookmarkStart w:id="0" w:name="_GoBack"/>
            <w:bookmarkEnd w:id="0"/>
            <w:r>
              <w:rPr>
                <w:rFonts w:hint="eastAsia"/>
              </w:rPr>
              <w:t>。</w:t>
            </w:r>
          </w:p>
          <w:p>
            <w:pPr>
              <w:pStyle w:val="style0"/>
              <w:rPr/>
            </w:pPr>
            <w:r>
              <w:rPr>
                <w:rFonts w:hint="default"/>
                <w:lang w:val="en-US"/>
              </w:rPr>
              <w:t>3</w:t>
            </w:r>
            <w:r>
              <w:rPr>
                <w:rFonts w:hint="eastAsia"/>
              </w:rPr>
              <w:t>、服务商未被列入失信被执行人名单、重大税收违法案件当事人名单或政府采购严重违法失信行为记录名单，相关违规信息以信用中国网站（www.creditchina.gov.cn）公布为准</w:t>
            </w:r>
          </w:p>
          <w:p>
            <w:pPr>
              <w:pStyle w:val="style0"/>
              <w:rPr>
                <w:rFonts w:eastAsia="宋体" w:hint="eastAsia"/>
                <w:lang w:eastAsia="zh-CN"/>
              </w:rPr>
            </w:pPr>
            <w:r>
              <w:rPr>
                <w:rFonts w:hint="default"/>
                <w:lang w:val="en-US"/>
              </w:rPr>
              <w:t>4</w:t>
            </w:r>
            <w:r>
              <w:rPr>
                <w:rFonts w:hint="eastAsia"/>
              </w:rPr>
              <w:t>、</w:t>
            </w:r>
            <w:r>
              <w:rPr>
                <w:rFonts w:hint="eastAsia"/>
                <w:lang w:eastAsia="zh-CN"/>
              </w:rPr>
              <w:t>具备履行合同所需专业技术能力说明。</w:t>
            </w:r>
          </w:p>
        </w:tc>
      </w:tr>
    </w:tbl>
    <w:p>
      <w:pPr>
        <w:pStyle w:val="style0"/>
        <w:rPr/>
      </w:pPr>
      <w:r>
        <w:rPr>
          <w:rFonts w:hint="eastAsia"/>
        </w:rPr>
        <w:t>备注：1、以上要求必须满足，否则会被取消资格。2、参选当天请将所有资料装进档案袋进行密封并在密封处加盖公章，包装要密封、完好无损，否则会被取消资格。</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AFF" w:usb1="C0007841" w:usb2="00000009" w:usb3="00000000" w:csb0="400001FF" w:csb1="FFFF0000"/>
  </w:font>
  <w:font w:name="宋体">
    <w:altName w:val="宋体"/>
    <w:panose1 w:val="02010600030000010101"/>
    <w:charset w:val="81"/>
    <w:family w:val="roman"/>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宋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Calibri Light">
    <w:altName w:val="Calibri Light"/>
    <w:panose1 w:val="020f0302020000030204"/>
    <w:charset w:val="00"/>
    <w:family w:val="auto"/>
    <w:pitch w:val="default"/>
    <w:sig w:usb0="A00002EF" w:usb1="4000207B" w:usb2="00000000" w:usb3="00000000" w:csb0="2000019F" w:csb1="00000000"/>
  </w:font>
  <w:font w:name="等线 Light">
    <w:altName w:val="宋体"/>
    <w:panose1 w:val="02010600030000010101"/>
    <w:charset w:val="86"/>
    <w:family w:val="auto"/>
    <w:pitch w:val="default"/>
    <w:sig w:usb0="00000000" w:usb1="00000000" w:usb2="00000016" w:usb3="00000000" w:csb0="0004000F" w:csb1="00000000"/>
  </w:font>
  <w:font w:name="微软雅黑">
    <w:altName w:val="微软雅黑"/>
    <w:panose1 w:val="020b0503020000020204"/>
    <w:charset w:val="86"/>
    <w:family w:val="auto"/>
    <w:pitch w:val="default"/>
    <w:sig w:usb0="80000287" w:usb1="280F3C52"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decimal"/>
      <w:suff w:val="nothing"/>
      <w:lvlText w:val="%1、"/>
      <w:lvlJc w:val="left"/>
      <w:pPr/>
    </w:lvl>
  </w:abstractNum>
  <w:abstractNum w:abstractNumId="1">
    <w:nsid w:val="00000001"/>
    <w:multiLevelType w:val="singleLevel"/>
    <w:tmpl w:val="00000001"/>
    <w:lvl w:ilvl="0">
      <w:start w:val="1"/>
      <w:numFmt w:val="decimal"/>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2">
    <w:name w:val="heading 2"/>
    <w:basedOn w:val="style0"/>
    <w:next w:val="style0"/>
    <w:qFormat/>
    <w:uiPriority w:val="9"/>
    <w:pPr>
      <w:keepNext/>
      <w:keepLines/>
      <w:spacing w:before="260" w:after="260" w:lineRule="auto" w:line="416"/>
      <w:outlineLvl w:val="1"/>
    </w:pPr>
    <w:rPr>
      <w:rFonts w:ascii="等线 Light" w:eastAsia="等线 Light" w:hAnsi="等线 Light"/>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756</Words>
  <Pages>2</Pages>
  <Characters>787</Characters>
  <Application>WPS Office</Application>
  <DocSecurity>0</DocSecurity>
  <Paragraphs>53</Paragraphs>
  <ScaleCrop>false</ScaleCrop>
  <LinksUpToDate>false</LinksUpToDate>
  <CharactersWithSpaces>787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2022-10-18T08:25:02Z</dcterms:created>
  <dc:creator>陈棠晖</dc:creator>
  <lastModifiedBy>ABR-AL60</lastModifiedBy>
  <dcterms:modified xsi:type="dcterms:W3CDTF">2022-10-18T08:25:02Z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e70cb227eaad4512a4d990c711e973a4</vt:lpwstr>
  </property>
</Properties>
</file>