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CBBDC">
      <w:pPr>
        <w:spacing w:after="0" w:line="590" w:lineRule="exact"/>
        <w:jc w:val="center"/>
        <w:rPr>
          <w:rFonts w:hint="eastAsia" w:ascii="方正小标宋_GBK" w:eastAsia="方正小标宋_GBK"/>
          <w:sz w:val="44"/>
          <w:szCs w:val="44"/>
        </w:rPr>
      </w:pPr>
      <w:r>
        <w:rPr>
          <w:rFonts w:hint="eastAsia" w:ascii="方正小标宋_GBK" w:eastAsia="方正小标宋_GBK"/>
          <w:sz w:val="44"/>
          <w:szCs w:val="44"/>
        </w:rPr>
        <w:t>《海南自由贸易港中医药发展促进条例</w:t>
      </w:r>
    </w:p>
    <w:p w14:paraId="7595D239">
      <w:pPr>
        <w:spacing w:after="0" w:line="590" w:lineRule="exact"/>
        <w:jc w:val="center"/>
        <w:rPr>
          <w:rFonts w:hint="eastAsia" w:ascii="方正小标宋_GBK" w:eastAsia="方正小标宋_GBK"/>
          <w:sz w:val="44"/>
          <w:szCs w:val="44"/>
        </w:rPr>
      </w:pPr>
      <w:r>
        <w:rPr>
          <w:rFonts w:hint="eastAsia" w:ascii="方正小标宋_GBK" w:eastAsia="方正小标宋_GBK"/>
          <w:sz w:val="44"/>
          <w:szCs w:val="44"/>
        </w:rPr>
        <w:t>（草案送审稿）</w:t>
      </w:r>
      <w:r>
        <w:rPr>
          <w:rFonts w:hint="eastAsia" w:ascii="方正小标宋_GBK" w:eastAsia="方正小标宋_GBK"/>
          <w:sz w:val="44"/>
          <w:szCs w:val="44"/>
          <w:lang w:eastAsia="zh-CN"/>
        </w:rPr>
        <w:t>》</w:t>
      </w:r>
      <w:r>
        <w:rPr>
          <w:rFonts w:hint="eastAsia" w:ascii="方正小标宋_GBK" w:eastAsia="方正小标宋_GBK"/>
          <w:sz w:val="44"/>
          <w:szCs w:val="44"/>
        </w:rPr>
        <w:t>起草说明</w:t>
      </w:r>
    </w:p>
    <w:p w14:paraId="0FAEBCA3">
      <w:pPr>
        <w:spacing w:after="0" w:line="590" w:lineRule="exact"/>
        <w:rPr>
          <w:rFonts w:hint="eastAsia" w:ascii="仿宋_GB2312" w:eastAsia="仿宋_GB2312"/>
          <w:sz w:val="32"/>
          <w:szCs w:val="32"/>
        </w:rPr>
      </w:pPr>
    </w:p>
    <w:p w14:paraId="3D876A4B">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现就《海南自由贸易港中医药发展促进条例（草案）》（以下简称《条例（草案）》）作如下说明。</w:t>
      </w:r>
    </w:p>
    <w:p w14:paraId="64A95458">
      <w:pPr>
        <w:spacing w:after="0" w:line="590" w:lineRule="exact"/>
        <w:ind w:firstLine="640" w:firstLineChars="200"/>
        <w:jc w:val="both"/>
        <w:rPr>
          <w:rFonts w:hint="eastAsia" w:ascii="黑体" w:hAnsi="黑体" w:eastAsia="黑体"/>
          <w:sz w:val="32"/>
          <w:szCs w:val="32"/>
        </w:rPr>
      </w:pPr>
      <w:r>
        <w:rPr>
          <w:rFonts w:hint="eastAsia" w:ascii="黑体" w:hAnsi="黑体" w:eastAsia="黑体"/>
          <w:sz w:val="32"/>
          <w:szCs w:val="32"/>
        </w:rPr>
        <w:t>一、立法的背景及目的</w:t>
      </w:r>
    </w:p>
    <w:p w14:paraId="0B245666">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一）贯彻落实党中央、国务院关于中医药传承创新发展的要求。党中央高度重视中医药事业，党的十九大提出“坚持中西医并重，传承发展中医药事业”，党的二十大要求“促进中医药传承创新发展”，《中共中央国务院关于促进中医药传承创新发展的意见》对中医药发展作出全面部署。有必要通过立法将中央要求转化为地方制度安排。</w:t>
      </w:r>
    </w:p>
    <w:p w14:paraId="57B97096">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二）贯彻实施《中华人民共和国中医药法》的需要。2017年施行的中医药法对中医药事业发展作出全面规定。我省陆续出台系列政策文件，形成了一些成熟经验和好的做法，需要及时将其上升为法规，确保中医药法在海南有效实施。</w:t>
      </w:r>
    </w:p>
    <w:p w14:paraId="10D7BE37">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三）解决我省中医药发展突出问题的客观要求。当前我省中医药发展存在中医药体制机制不够健全、南药资源优势未充分发挥、中药标准化滞后、龙头企业缺乏、品牌体系尚未形成，以及教育科研、文化传承和知识产权保护存在短板等问题，亟需通过立法加以引领和保障。</w:t>
      </w:r>
    </w:p>
    <w:p w14:paraId="2F685515">
      <w:pPr>
        <w:spacing w:after="0" w:line="590" w:lineRule="exact"/>
        <w:ind w:firstLine="640" w:firstLineChars="200"/>
        <w:jc w:val="both"/>
        <w:rPr>
          <w:rFonts w:hint="eastAsia" w:ascii="黑体" w:hAnsi="黑体" w:eastAsia="黑体"/>
          <w:sz w:val="32"/>
          <w:szCs w:val="32"/>
        </w:rPr>
      </w:pPr>
      <w:r>
        <w:rPr>
          <w:rFonts w:hint="eastAsia" w:ascii="黑体" w:hAnsi="黑体" w:eastAsia="黑体"/>
          <w:sz w:val="32"/>
          <w:szCs w:val="32"/>
        </w:rPr>
        <w:t>二、</w:t>
      </w:r>
      <w:r>
        <w:rPr>
          <w:rFonts w:ascii="黑体" w:hAnsi="黑体" w:eastAsia="黑体"/>
          <w:sz w:val="32"/>
          <w:szCs w:val="32"/>
        </w:rPr>
        <w:t>立法依据</w:t>
      </w:r>
    </w:p>
    <w:p w14:paraId="5094C6EB">
      <w:pPr>
        <w:spacing w:after="0" w:line="590" w:lineRule="exact"/>
        <w:jc w:val="both"/>
        <w:rPr>
          <w:rFonts w:hint="eastAsia" w:ascii="仿宋_GB2312" w:eastAsia="仿宋_GB2312"/>
          <w:sz w:val="32"/>
          <w:szCs w:val="32"/>
        </w:rPr>
      </w:pPr>
    </w:p>
    <w:p w14:paraId="76A0105E">
      <w:pPr>
        <w:spacing w:after="0" w:line="590" w:lineRule="exact"/>
        <w:ind w:firstLine="640" w:firstLineChars="200"/>
        <w:jc w:val="both"/>
        <w:rPr>
          <w:rFonts w:hint="eastAsia" w:ascii="仿宋_GB2312" w:eastAsia="仿宋_GB2312"/>
          <w:sz w:val="32"/>
          <w:szCs w:val="32"/>
        </w:rPr>
      </w:pPr>
      <w:r>
        <w:rPr>
          <w:rFonts w:ascii="仿宋_GB2312" w:eastAsia="仿宋_GB2312"/>
          <w:sz w:val="32"/>
          <w:szCs w:val="32"/>
        </w:rPr>
        <w:t>《条例（草案）》以《中华人民共和国中医药法》《中华人民共和国药品管理法》《中华人民共和国基本医疗卫生与健康促进法》《中华人民共和国医师法》《中华人民共和国海南自由贸易港法》等法律法规为主要依据，参考《中共中央国务院关于促进中医药传承创新发展的意见》《国务院办公厅关于提升中药质量促进中医药产业高质量发展的意见》以及</w:t>
      </w:r>
      <w:r>
        <w:rPr>
          <w:rFonts w:hint="eastAsia" w:ascii="仿宋_GB2312" w:eastAsia="仿宋_GB2312"/>
          <w:sz w:val="32"/>
          <w:szCs w:val="32"/>
        </w:rPr>
        <w:t>《省委 省政府关于促进中医药在海南自由贸易港传承创新发展的实施意见》</w:t>
      </w:r>
      <w:r>
        <w:rPr>
          <w:rFonts w:ascii="仿宋_GB2312" w:eastAsia="仿宋_GB2312"/>
          <w:sz w:val="32"/>
          <w:szCs w:val="32"/>
        </w:rPr>
        <w:t>《海南省中医药</w:t>
      </w:r>
      <w:r>
        <w:rPr>
          <w:rFonts w:hint="eastAsia" w:ascii="仿宋_GB2312" w:eastAsia="仿宋_GB2312"/>
          <w:sz w:val="32"/>
          <w:szCs w:val="32"/>
        </w:rPr>
        <w:t>振兴</w:t>
      </w:r>
      <w:r>
        <w:rPr>
          <w:rFonts w:ascii="仿宋_GB2312" w:eastAsia="仿宋_GB2312"/>
          <w:sz w:val="32"/>
          <w:szCs w:val="32"/>
        </w:rPr>
        <w:t>发展</w:t>
      </w:r>
      <w:r>
        <w:rPr>
          <w:rFonts w:hint="eastAsia" w:ascii="仿宋_GB2312" w:eastAsia="仿宋_GB2312"/>
          <w:sz w:val="32"/>
          <w:szCs w:val="32"/>
        </w:rPr>
        <w:t>工程重点项目建设实施方案</w:t>
      </w:r>
      <w:r>
        <w:rPr>
          <w:rFonts w:ascii="仿宋_GB2312" w:eastAsia="仿宋_GB2312"/>
          <w:sz w:val="32"/>
          <w:szCs w:val="32"/>
        </w:rPr>
        <w:t>》《海南省南药黎药产业发展规划（2023—2030年）》</w:t>
      </w:r>
      <w:r>
        <w:rPr>
          <w:rFonts w:hint="eastAsia" w:ascii="仿宋_GB2312" w:eastAsia="仿宋_GB2312"/>
          <w:sz w:val="32"/>
          <w:szCs w:val="32"/>
        </w:rPr>
        <w:t>《海南省推动中医药产业高质量发展三年行动方案</w:t>
      </w:r>
      <w:r>
        <w:rPr>
          <w:rFonts w:ascii="仿宋_GB2312" w:eastAsia="仿宋_GB2312"/>
          <w:sz w:val="32"/>
          <w:szCs w:val="32"/>
        </w:rPr>
        <w:t>（202</w:t>
      </w:r>
      <w:r>
        <w:rPr>
          <w:rFonts w:hint="eastAsia" w:ascii="仿宋_GB2312" w:eastAsia="仿宋_GB2312"/>
          <w:sz w:val="32"/>
          <w:szCs w:val="32"/>
        </w:rPr>
        <w:t>6</w:t>
      </w:r>
      <w:r>
        <w:rPr>
          <w:rFonts w:ascii="仿宋_GB2312" w:eastAsia="仿宋_GB2312"/>
          <w:sz w:val="32"/>
          <w:szCs w:val="32"/>
        </w:rPr>
        <w:t>—20</w:t>
      </w:r>
      <w:r>
        <w:rPr>
          <w:rFonts w:hint="eastAsia" w:ascii="仿宋_GB2312" w:eastAsia="仿宋_GB2312"/>
          <w:sz w:val="32"/>
          <w:szCs w:val="32"/>
        </w:rPr>
        <w:t>28</w:t>
      </w:r>
      <w:r>
        <w:rPr>
          <w:rFonts w:ascii="仿宋_GB2312" w:eastAsia="仿宋_GB2312"/>
          <w:sz w:val="32"/>
          <w:szCs w:val="32"/>
        </w:rPr>
        <w:t>年）</w:t>
      </w:r>
      <w:r>
        <w:rPr>
          <w:rFonts w:hint="eastAsia" w:ascii="仿宋_GB2312" w:eastAsia="仿宋_GB2312"/>
          <w:sz w:val="32"/>
          <w:szCs w:val="32"/>
        </w:rPr>
        <w:t>》</w:t>
      </w:r>
      <w:r>
        <w:rPr>
          <w:rFonts w:ascii="仿宋_GB2312" w:eastAsia="仿宋_GB2312"/>
          <w:sz w:val="32"/>
          <w:szCs w:val="32"/>
        </w:rPr>
        <w:t>等政策文件。</w:t>
      </w:r>
    </w:p>
    <w:p w14:paraId="4F07D09B">
      <w:pPr>
        <w:spacing w:after="0" w:line="590" w:lineRule="exact"/>
        <w:ind w:firstLine="640" w:firstLineChars="200"/>
        <w:jc w:val="both"/>
        <w:rPr>
          <w:rFonts w:hint="eastAsia" w:ascii="黑体" w:hAnsi="黑体" w:eastAsia="黑体"/>
          <w:sz w:val="32"/>
          <w:szCs w:val="32"/>
        </w:rPr>
      </w:pPr>
      <w:r>
        <w:rPr>
          <w:rFonts w:hint="eastAsia" w:ascii="黑体" w:hAnsi="黑体" w:eastAsia="黑体"/>
          <w:sz w:val="32"/>
          <w:szCs w:val="32"/>
        </w:rPr>
        <w:t>三、起草过程</w:t>
      </w:r>
    </w:p>
    <w:p w14:paraId="535F5CE8">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2023年7月，省卫生健康委成立起草工作小组，启动立法工作。工作小组系统收集国家及各省、自治区、直辖市</w:t>
      </w:r>
      <w:bookmarkStart w:id="1" w:name="_GoBack"/>
      <w:bookmarkEnd w:id="1"/>
      <w:r>
        <w:rPr>
          <w:rFonts w:hint="eastAsia" w:ascii="仿宋_GB2312" w:eastAsia="仿宋_GB2312"/>
          <w:sz w:val="32"/>
          <w:szCs w:val="32"/>
        </w:rPr>
        <w:t>中医药法律法规和政策文件，先后赴万宁、屯昌、文昌、保亭、琼中、五指山等十余个市县及省外开展中医药产业和中医医疗机构调研，全面掌握发展现状与立法需求。</w:t>
      </w:r>
    </w:p>
    <w:p w14:paraId="107CF7D4">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2023年10月，草案初稿形成，经多轮内部研讨修改，11月征求省直有关部门及医疗机构意见，收到反馈意见51条，逐条研究修改。2024年4月，召开立法专家研讨会和黎族医药专题讨论，进一步完善草案。在此期间，分别于2023年、2024年两次向省人大常委会法工委申报立法计划，虽因海南自由贸易港封关运作配套立法任务较重暂未列入审议项目，但草案修改完善工作持续推进。</w:t>
      </w:r>
    </w:p>
    <w:p w14:paraId="145EDA1E">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2025年10月，广泛征求了相关省直部门、市县政府及医疗机构意见，共收到反馈意见58条，其中有反馈意见40条、无意见18条，经认真研究，采纳22条，对未采纳的意见逐项与相关单位沟通说明，形成了送审版草案。</w:t>
      </w:r>
    </w:p>
    <w:p w14:paraId="36132785">
      <w:pPr>
        <w:spacing w:after="0" w:line="590" w:lineRule="exact"/>
        <w:ind w:firstLine="640" w:firstLineChars="200"/>
        <w:jc w:val="both"/>
        <w:rPr>
          <w:rFonts w:hint="eastAsia" w:ascii="黑体" w:hAnsi="黑体" w:eastAsia="黑体"/>
          <w:sz w:val="32"/>
          <w:szCs w:val="32"/>
        </w:rPr>
      </w:pPr>
      <w:r>
        <w:rPr>
          <w:rFonts w:hint="eastAsia" w:ascii="黑体" w:hAnsi="黑体" w:eastAsia="黑体"/>
          <w:sz w:val="32"/>
          <w:szCs w:val="32"/>
        </w:rPr>
        <w:t>四、主要内容说明</w:t>
      </w:r>
    </w:p>
    <w:p w14:paraId="02A5F80E">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《条例（草案）》共九章六十条，主要内容如下：</w:t>
      </w:r>
    </w:p>
    <w:p w14:paraId="47C4A7E2">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第一章总则（第一条至第五条），明确立法目的、适用范围，确立传承精华、守正创新和中西医并重的发展原则；规定各级政府职责，将中医药事业纳入发展规划和考核评价体系；发挥行业组织自律和服务作用。</w:t>
      </w:r>
    </w:p>
    <w:p w14:paraId="096D871A">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二章中医药服务（第六条至第十九条），健全中医药服务体系。明确中医医疗机构设置和科室建设要求，规定政府举办的综合医院、妇幼保健机构等设置中医科室，基层医疗卫生机构规范建设中医药服务区；明确中医医师执业、非中医类别人员经培训提供中医药服务等资质要求；支持组建医疗联合体，建设优势专科，运用互联网开展智慧中医药服务；强化治未病、康复和健康养老服务，推动中医药参与慢性病诊疗和疾病预防控制；建立中西医协同应对突发公共卫生事件机制；支持设立中医药国际医疗部、发展中医药康养旅游，鼓励公立中医医疗机构与社会资本合作举办中医药健康服务机构，开发特色中医药服务产品。</w:t>
      </w:r>
    </w:p>
    <w:p w14:paraId="624F1377">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三章中药产业促进与发展（第二十条至第三十一条），推动中药产业高质量发展。保障中药产业用地，加强濒危药用野生动植物保护，支持中药材规范化种植养殖；建立道地药材质量标准，打造南药、黎药等道地品牌，实施全过程质量追溯；鼓励中药企业利用自贸港政策规模化发展，建立中药饮片质量分级评价和优质优价机制；明确医疗机构炮制中药饮片的管理要求，规定传统工艺加工等情形不纳入医疗机构制剂管理；医疗机构中药制剂可在省内调剂使用，突发公共卫生事件中可按规定使用协定处方，并完善中药饮片、制剂自主定价机制。</w:t>
      </w:r>
    </w:p>
    <w:p w14:paraId="461D2ABB">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四章少数民族医药振兴与发展（第三十二条至第三十七条），突出黎族医药等少数民族医药特色。支持医疗机构设置黎族医药科室，考核认定黎医医师资格，允许持证进入海南热带雨林国家公园一般控制区采药；加强少数民族医药科研和传承，举办黎族医药文化节。</w:t>
      </w:r>
    </w:p>
    <w:p w14:paraId="2E99E5C7">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五章人才与科技支撑（第三十八条至第四十五条），完善人才培养和科技创新体系。支持举办中医药高等教育，建立健全人才评价和名中医评选制度，强化基层人员培训；构建符合中医药特点的科研评价体系，支持科研平台建设和临床应用研究，建设中药种质资源库。</w:t>
      </w:r>
    </w:p>
    <w:p w14:paraId="1D183A89">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六章中医药传承与文化传播（第四十六条至第五十一条），加强中医药传承保护与文化弘扬。开展民间验方、古籍文献和传统技艺的挖掘保护，强化非物质文化遗产和知识产权保护；将中医药知识纳入中小学健康教育，推进文化进基层，鼓励创作科普作品；支持对外交流合作，按规定考核认定外籍中医师在省内执业。</w:t>
      </w:r>
    </w:p>
    <w:p w14:paraId="6682D2E4">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七章保障措施（第五十二条至第五十六条），强化政策与要素支撑。将中医药事业经费纳入财政预算，建立中医医疗服务价格动态调整机制；将符合条件的中医项目、中药制剂等纳入医保支付，对中医优势病种实行中西医同病同效同价；开展中医药相关评审评估鉴定应有中医药专家参与；加强执法监督，规范中医药服务秩序。</w:t>
      </w:r>
    </w:p>
    <w:p w14:paraId="3A1FF36B">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第八章法律责任（第五十七条至第五十九条），规定政府部门未履职追责，打击以中医药名义扰乱秩序、骗取财物等行为，并明确综合行政执法衔接。</w:t>
      </w:r>
    </w:p>
    <w:p w14:paraId="41B53F10">
      <w:pPr>
        <w:spacing w:after="0" w:line="590" w:lineRule="exact"/>
        <w:ind w:firstLine="640" w:firstLineChars="200"/>
        <w:jc w:val="both"/>
        <w:rPr>
          <w:rFonts w:hint="eastAsia" w:ascii="仿宋_GB2312" w:eastAsia="仿宋_GB2312"/>
          <w:sz w:val="32"/>
          <w:szCs w:val="32"/>
        </w:rPr>
      </w:pPr>
      <w:r>
        <w:rPr>
          <w:rFonts w:hint="eastAsia" w:ascii="仿宋_GB2312" w:eastAsia="仿宋_GB2312"/>
          <w:sz w:val="32"/>
          <w:szCs w:val="32"/>
        </w:rPr>
        <w:t>第九章附则（第六十条），规定条例施行日期。</w:t>
      </w:r>
    </w:p>
    <w:p w14:paraId="17BC164C">
      <w:pPr>
        <w:spacing w:after="0" w:line="590" w:lineRule="exact"/>
        <w:ind w:firstLine="640" w:firstLineChars="200"/>
        <w:jc w:val="both"/>
        <w:rPr>
          <w:rFonts w:hint="eastAsia" w:ascii="黑体" w:hAnsi="黑体" w:eastAsia="黑体"/>
          <w:sz w:val="32"/>
          <w:szCs w:val="32"/>
        </w:rPr>
      </w:pPr>
      <w:bookmarkStart w:id="0" w:name="OLE_LINK2"/>
      <w:r>
        <w:rPr>
          <w:rFonts w:hint="eastAsia" w:ascii="黑体" w:hAnsi="黑体" w:eastAsia="黑体"/>
          <w:sz w:val="32"/>
          <w:szCs w:val="32"/>
        </w:rPr>
        <w:t>五、《条例（草案）》的创新与突破</w:t>
      </w:r>
    </w:p>
    <w:p w14:paraId="78BF1FF6">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一是在全国率先将少数民族医药以专章形式纳入省级中医药条例。《中医药法》对民族医药仅有原则性表述，各省条例均未设民族医药专章，相关规定仅见于个别原则性条款。《条例（草案）》将少数民族医药独立成章，把保亭、琼中、白沙等市县条例的相关制度上升为省级法规，实现少数民族医药体系化规定的制度性突破。</w:t>
      </w:r>
    </w:p>
    <w:p w14:paraId="6BD254DA">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二是创设黎族医药人员取得医师资格的专门通道。《中医药法》及各省条例关于确有专长人员考核的规定均未对少数民族医药人员单独设置考核路径。《条例（草案）》第三十三条规定，以师承方式学习黎族医药或有五年以上黎族医药实践经历、医术确有专长的人员，经相关中医类别医师推荐，参加省级考核合格并注册后，可从事黎族医药诊疗活动。这一规定结合黎族医药口传心授、缺乏院校教育体系的现实，为黎族医药从业人员打通了独特的执业准入通道，解决了长期存在的执业资格困境。</w:t>
      </w:r>
    </w:p>
    <w:p w14:paraId="5D99553F">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三是建立国家公园采药特许制度。《中医药法》未就国家公园内采药作出规定，各省条例在该领域均为空白。《条例（草案）》第三十六条规定“允许有资质的黎族医药从业人员依法持证进入海南国家热带雨林公园一般控制区内采药”，为民族医药资源保护性利用提供了法治路径。</w:t>
      </w:r>
    </w:p>
    <w:p w14:paraId="601FB0AF">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四是建立黎医黎药适宜技术纳入医保的便捷通道。各省推动中医药纳入医保已有不同程度探索，但纳入程序较为繁琐。《条例（草案）》第五十四条规定，对疗效确切、特色优势明确的黎族医药等民族医药特色技术，“参照现有相似的技术服务项目，无需申报新增医疗服务价格项目”，大幅降低了制度性交易成本。</w:t>
      </w:r>
    </w:p>
    <w:p w14:paraId="7769D7B4">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五是优化中药制剂管理，明确传统工艺加工不纳入制剂管理的情形。《条例（草案）》第二十八条以列举加兜底方式，对加工成细粉调配外用、鲜药捣碎榨汁煎煮、受患者委托应用传统工艺“一人一方”加工等情形作出规定，并允许会诊医师所在医疗机构依法加工的中药材或中药饮片在患者同意下使用，为医疗机构运用传统工艺开展临方加工提供了清晰的法律边界。</w:t>
      </w:r>
    </w:p>
    <w:p w14:paraId="37CCCD72">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六是明确外籍中医师执业准入的法定依据。《中医药法》未涉及外籍中医师在华执业的规定，各省条例虽提及中医药对外交流合作，但均未就外籍中医师执业准入作出实体性规定。《条例（草案）》第五十一条将外籍中医师执业准入纳入中医药立法，为中医药服务贸易国际化提供了法治保障。</w:t>
      </w:r>
    </w:p>
    <w:p w14:paraId="5E3164CA">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七是充分激发市场主体活力。《中医药法》对社会力量举办中医医疗机构持鼓励态度，各省条例对社会办医的规定多集中于准入和权利保障层面。《条例（草案）》第十七条至第二十条规定，鼓励公立中医医疗机构以品牌、技术、人才等优势资源与社会资本合作举办中医药健康服务机构，发展中医康养旅游，开发中医药康养旅游路线和健康旅游产品，支持有条件的医疗机构设置中医药服务点。</w:t>
      </w:r>
    </w:p>
    <w:p w14:paraId="6B8FD9DD">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八是促进中药产业集聚提升。《条例（草案）》第二十五条鼓励中药企业利用海南自由贸易港支持政策规模化发展，打造中药产业集群；第十一条鼓励运用互联网等现代信息技术提供中医远程医疗、智慧医院等服务，推动中医药产业与电子商务融合，打造“传统+数字”现代产业模式。</w:t>
      </w:r>
    </w:p>
    <w:p w14:paraId="70EAEFE5">
      <w:pPr>
        <w:spacing w:after="0" w:line="590" w:lineRule="exact"/>
        <w:ind w:firstLine="640" w:firstLineChars="200"/>
        <w:jc w:val="both"/>
        <w:rPr>
          <w:rFonts w:hint="eastAsia" w:ascii="仿宋_GB2312" w:hAnsi="等线" w:eastAsia="仿宋_GB2312" w:cs="Times New Roman"/>
          <w:sz w:val="32"/>
          <w:szCs w:val="32"/>
        </w:rPr>
      </w:pPr>
      <w:r>
        <w:rPr>
          <w:rFonts w:hint="eastAsia" w:ascii="仿宋_GB2312" w:hAnsi="等线" w:eastAsia="仿宋_GB2312" w:cs="Times New Roman"/>
          <w:sz w:val="32"/>
          <w:szCs w:val="32"/>
        </w:rPr>
        <w:t>九是确立中药种质资源系统性保护制度。《中医药法》未就中药种质资源保护作出专门规定，各省条例对中药种质资源保护的规定较为分散，多侧重于种植环节的规范化管理。《条例（草案）》第二十一条和第四十五条从濒危野生药用动植物保护区建设、资源动态监测与定期普查，到种质收集保存、鉴定评价、种子种苗繁育等，系统建立了中药种质资源全链条保护制度。</w:t>
      </w:r>
    </w:p>
    <w:p w14:paraId="4ABAEB02">
      <w:pPr>
        <w:spacing w:after="0" w:line="590" w:lineRule="exact"/>
        <w:ind w:firstLine="640" w:firstLineChars="200"/>
        <w:jc w:val="both"/>
        <w:rPr>
          <w:rFonts w:hint="eastAsia" w:ascii="仿宋_GB2312" w:hAnsi="等线" w:eastAsia="仿宋_GB2312" w:cs="Times New Roman"/>
          <w:sz w:val="32"/>
          <w:szCs w:val="32"/>
        </w:rPr>
      </w:pPr>
      <w:r>
        <w:rPr>
          <w:rFonts w:ascii="仿宋_GB2312" w:hAnsi="等线" w:eastAsia="仿宋_GB2312" w:cs="Times New Roman"/>
          <w:sz w:val="32"/>
          <w:szCs w:val="32"/>
        </w:rPr>
        <w:t>十是创新文化传播与人才培养。将中医药知识系统纳入中小学健康教育，建立以创新能力、实效贡献为导向的中医药人才评价体系，传承发展中医药文化。</w:t>
      </w:r>
    </w:p>
    <w:p w14:paraId="6CC85034">
      <w:pPr>
        <w:spacing w:after="0" w:line="590" w:lineRule="exact"/>
        <w:ind w:firstLine="640" w:firstLineChars="200"/>
        <w:jc w:val="both"/>
        <w:rPr>
          <w:rFonts w:hint="eastAsia" w:ascii="仿宋_GB2312" w:eastAsia="仿宋_GB2312"/>
          <w:sz w:val="32"/>
          <w:szCs w:val="32"/>
        </w:rPr>
      </w:pPr>
    </w:p>
    <w:bookmarkEnd w:id="0"/>
    <w:p w14:paraId="4AECAD7C">
      <w:pPr>
        <w:spacing w:after="0" w:line="590" w:lineRule="exact"/>
        <w:ind w:firstLine="640" w:firstLineChars="200"/>
        <w:jc w:val="both"/>
        <w:rPr>
          <w:rFonts w:hint="eastAsia" w:ascii="仿宋_GB2312" w:eastAsia="仿宋_GB2312"/>
          <w:sz w:val="32"/>
          <w:szCs w:val="32"/>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725819"/>
      <w:docPartObj>
        <w:docPartGallery w:val="autotext"/>
      </w:docPartObj>
    </w:sdtPr>
    <w:sdtEndPr>
      <w:rPr>
        <w:rFonts w:ascii="宋体" w:hAnsi="宋体" w:eastAsia="宋体"/>
        <w:sz w:val="28"/>
        <w:szCs w:val="28"/>
      </w:rPr>
    </w:sdtEndPr>
    <w:sdtContent>
      <w:p w14:paraId="71601F46">
        <w:pPr>
          <w:pStyle w:val="11"/>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05BE931C">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806"/>
    <w:rsid w:val="000014EC"/>
    <w:rsid w:val="0008079B"/>
    <w:rsid w:val="000A0D06"/>
    <w:rsid w:val="00241ABB"/>
    <w:rsid w:val="00265296"/>
    <w:rsid w:val="002718B2"/>
    <w:rsid w:val="004362E6"/>
    <w:rsid w:val="00474B64"/>
    <w:rsid w:val="00596C86"/>
    <w:rsid w:val="006055CE"/>
    <w:rsid w:val="00627C3E"/>
    <w:rsid w:val="00706A67"/>
    <w:rsid w:val="00717EFA"/>
    <w:rsid w:val="0097110C"/>
    <w:rsid w:val="00A21535"/>
    <w:rsid w:val="00B25806"/>
    <w:rsid w:val="00D069F3"/>
    <w:rsid w:val="00D609CB"/>
    <w:rsid w:val="00DB744B"/>
    <w:rsid w:val="00EA12FD"/>
    <w:rsid w:val="00EB6E08"/>
    <w:rsid w:val="00EF174B"/>
    <w:rsid w:val="00F779A3"/>
    <w:rsid w:val="5C5B2244"/>
    <w:rsid w:val="61AE2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3831</Words>
  <Characters>3872</Characters>
  <Lines>27</Lines>
  <Paragraphs>7</Paragraphs>
  <TotalTime>95</TotalTime>
  <ScaleCrop>false</ScaleCrop>
  <LinksUpToDate>false</LinksUpToDate>
  <CharactersWithSpaces>3873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2026-04-28T14:29:00Z</dcterms:created>
  <dc:creator>青峰 昝</dc:creator>
  <cp:lastModifiedBy>陈贤佳</cp:lastModifiedBy>
  <dcterms:modified xsi:type="dcterms:W3CDTF">2026-05-10T09:45:14Z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eyJoZGlkIjoiZjdhNzc4NDJmN2ZkYWQ5OGU5NTQ4N2VlMjY3ZTM0NmMiLCJ1c2VySWQiOiIxNDc0ODQ5NjA2In0=</vt:lpwstr>
  </property>
  <property fmtid="{D5CDD505-2E9C-101B-9397-08002B2CF9AE}" pid="3" name="KSOProductBuildVer">
    <vt:lpwstr>2052-12.1.0.25865</vt:lpwstr>
  </property>
  <property fmtid="{D5CDD505-2E9C-101B-9397-08002B2CF9AE}" pid="4" name="ICV">
    <vt:lpwstr>E9C1B4529EA94FE8A6E071372C52B774_12</vt:lpwstr>
  </property>
</Properties>
</file>