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atLeast"/>
        <w:jc w:val="center"/>
        <w:rPr>
          <w:rFonts w:ascii="宋体" w:hAnsi="宋体" w:cs="宋体"/>
          <w:b/>
          <w:bCs/>
          <w:kern w:val="0"/>
          <w:sz w:val="44"/>
          <w:szCs w:val="44"/>
        </w:rPr>
      </w:pPr>
      <w:bookmarkStart w:id="0" w:name="_GoBack"/>
      <w:bookmarkEnd w:id="0"/>
    </w:p>
    <w:p>
      <w:pPr>
        <w:widowControl/>
        <w:spacing w:line="578" w:lineRule="atLeast"/>
        <w:jc w:val="center"/>
        <w:rPr>
          <w:rFonts w:ascii="宋体" w:hAnsi="宋体" w:cs="宋体"/>
          <w:b/>
          <w:bCs/>
          <w:kern w:val="0"/>
          <w:sz w:val="44"/>
          <w:szCs w:val="44"/>
        </w:rPr>
      </w:pPr>
    </w:p>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财政支出项目绩效评价报告</w:t>
      </w: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评价类型：</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实施过程评价</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完成结果评价</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项目名称：</w:t>
      </w:r>
      <w:r>
        <w:rPr>
          <w:rFonts w:hint="eastAsia" w:ascii="仿宋_GB2312" w:hAnsi="宋体" w:eastAsia="仿宋_GB2312" w:cs="宋体"/>
          <w:kern w:val="0"/>
          <w:sz w:val="32"/>
          <w:szCs w:val="32"/>
          <w:u w:val="single"/>
        </w:rPr>
        <w:t xml:space="preserve">医疗服务能力提升补助资金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xml:space="preserve">  </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项目单位：</w:t>
      </w:r>
      <w:r>
        <w:rPr>
          <w:rFonts w:hint="eastAsia" w:ascii="仿宋_GB2312" w:hAnsi="宋体" w:eastAsia="仿宋_GB2312" w:cs="宋体"/>
          <w:kern w:val="0"/>
          <w:sz w:val="32"/>
          <w:szCs w:val="32"/>
          <w:u w:val="single"/>
        </w:rPr>
        <w:t xml:space="preserve">海南省妇女儿童医学中心          </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主管部门：</w:t>
      </w:r>
      <w:r>
        <w:rPr>
          <w:rFonts w:hint="eastAsia" w:ascii="仿宋_GB2312" w:hAnsi="宋体" w:eastAsia="仿宋_GB2312" w:cs="宋体"/>
          <w:kern w:val="0"/>
          <w:sz w:val="32"/>
          <w:szCs w:val="32"/>
          <w:u w:val="single"/>
        </w:rPr>
        <w:t>海南省卫生健康委员会</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评价时间： </w:t>
      </w:r>
      <w:r>
        <w:rPr>
          <w:rFonts w:hint="eastAsia" w:ascii="仿宋_GB2312" w:hAnsi="宋体" w:eastAsia="仿宋_GB2312" w:cs="宋体"/>
          <w:kern w:val="0"/>
          <w:sz w:val="32"/>
          <w:szCs w:val="32"/>
          <w:u w:val="single"/>
        </w:rPr>
        <w:t>2021年 4 月 20 日至2021 年5月15日</w:t>
      </w:r>
    </w:p>
    <w:p>
      <w:pPr>
        <w:widowControl/>
        <w:spacing w:line="578" w:lineRule="atLeast"/>
        <w:ind w:left="1600" w:hanging="1600"/>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组织方式：</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财政部门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主管部门</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项目单位</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评价机构：</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中介机构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专家组 </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项目单位评价组</w:t>
      </w:r>
    </w:p>
    <w:p>
      <w:pPr>
        <w:widowControl/>
        <w:spacing w:line="578" w:lineRule="atLeast"/>
        <w:ind w:left="1600" w:hanging="1600"/>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596" w:leftChars="760" w:firstLine="1120" w:firstLineChars="350"/>
        <w:rPr>
          <w:rFonts w:ascii="仿宋_GB2312" w:hAnsi="宋体" w:eastAsia="仿宋_GB2312" w:cs="宋体"/>
          <w:kern w:val="0"/>
          <w:sz w:val="32"/>
          <w:szCs w:val="32"/>
        </w:rPr>
      </w:pPr>
      <w:r>
        <w:rPr>
          <w:rFonts w:hint="eastAsia" w:ascii="仿宋_GB2312" w:hAnsi="宋体" w:eastAsia="仿宋_GB2312" w:cs="宋体"/>
          <w:kern w:val="0"/>
          <w:sz w:val="32"/>
          <w:szCs w:val="32"/>
        </w:rPr>
        <w:t>评价单位（盖章）：</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上报时间：</w:t>
      </w:r>
    </w:p>
    <w:p>
      <w:pPr>
        <w:widowControl/>
        <w:spacing w:line="578" w:lineRule="atLeast"/>
        <w:jc w:val="left"/>
        <w:rPr>
          <w:rFonts w:ascii="仿宋_GB2312" w:hAnsi="宋体" w:eastAsia="仿宋_GB2312" w:cs="宋体"/>
          <w:kern w:val="0"/>
          <w:sz w:val="32"/>
          <w:szCs w:val="32"/>
        </w:rPr>
      </w:pPr>
    </w:p>
    <w:p>
      <w:pPr>
        <w:widowControl/>
        <w:spacing w:line="578" w:lineRule="atLeast"/>
        <w:jc w:val="center"/>
        <w:rPr>
          <w:rFonts w:ascii="宋体" w:hAnsi="宋体" w:cs="宋体"/>
          <w:b/>
          <w:bCs/>
          <w:kern w:val="0"/>
          <w:sz w:val="44"/>
          <w:szCs w:val="44"/>
        </w:rPr>
      </w:pPr>
    </w:p>
    <w:p>
      <w:pPr>
        <w:widowControl/>
        <w:spacing w:line="578" w:lineRule="atLeast"/>
        <w:jc w:val="center"/>
        <w:rPr>
          <w:rFonts w:hint="eastAsia" w:ascii="宋体" w:hAnsi="宋体" w:cs="宋体"/>
          <w:b/>
          <w:bCs/>
          <w:kern w:val="0"/>
          <w:sz w:val="44"/>
          <w:szCs w:val="44"/>
        </w:rPr>
      </w:pPr>
    </w:p>
    <w:p>
      <w:pPr>
        <w:widowControl/>
        <w:spacing w:line="578" w:lineRule="atLeast"/>
        <w:jc w:val="center"/>
        <w:rPr>
          <w:rFonts w:hint="eastAsia" w:ascii="宋体" w:hAnsi="宋体" w:cs="宋体"/>
          <w:b/>
          <w:bCs/>
          <w:kern w:val="0"/>
          <w:sz w:val="44"/>
          <w:szCs w:val="44"/>
        </w:rPr>
      </w:pPr>
    </w:p>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项目基本信息表</w:t>
      </w:r>
    </w:p>
    <w:tbl>
      <w:tblPr>
        <w:tblStyle w:val="5"/>
        <w:tblW w:w="9427" w:type="dxa"/>
        <w:jc w:val="center"/>
        <w:tblLayout w:type="fixed"/>
        <w:tblCellMar>
          <w:top w:w="0" w:type="dxa"/>
          <w:left w:w="85" w:type="dxa"/>
          <w:bottom w:w="0" w:type="dxa"/>
          <w:right w:w="85" w:type="dxa"/>
        </w:tblCellMar>
      </w:tblPr>
      <w:tblGrid>
        <w:gridCol w:w="22"/>
        <w:gridCol w:w="1255"/>
        <w:gridCol w:w="210"/>
        <w:gridCol w:w="257"/>
        <w:gridCol w:w="398"/>
        <w:gridCol w:w="457"/>
        <w:gridCol w:w="336"/>
        <w:gridCol w:w="434"/>
        <w:gridCol w:w="24"/>
        <w:gridCol w:w="600"/>
        <w:gridCol w:w="278"/>
        <w:gridCol w:w="841"/>
        <w:gridCol w:w="425"/>
        <w:gridCol w:w="641"/>
        <w:gridCol w:w="68"/>
        <w:gridCol w:w="567"/>
        <w:gridCol w:w="243"/>
        <w:gridCol w:w="1714"/>
        <w:gridCol w:w="13"/>
        <w:gridCol w:w="190"/>
        <w:gridCol w:w="454"/>
      </w:tblGrid>
      <w:tr>
        <w:tblPrEx>
          <w:tblCellMar>
            <w:top w:w="0" w:type="dxa"/>
            <w:left w:w="85" w:type="dxa"/>
            <w:bottom w:w="0" w:type="dxa"/>
            <w:right w:w="85" w:type="dxa"/>
          </w:tblCellMar>
        </w:tblPrEx>
        <w:trPr>
          <w:gridBefore w:val="1"/>
          <w:gridAfter w:val="3"/>
          <w:wBefore w:w="22" w:type="dxa"/>
          <w:wAfter w:w="657" w:type="dxa"/>
          <w:trHeight w:val="20" w:hRule="atLeast"/>
          <w:jc w:val="center"/>
        </w:trPr>
        <w:tc>
          <w:tcPr>
            <w:tcW w:w="8748" w:type="dxa"/>
            <w:gridSpan w:val="17"/>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一、项目基本情况</w:t>
            </w:r>
          </w:p>
        </w:tc>
      </w:tr>
      <w:tr>
        <w:tblPrEx>
          <w:tblCellMar>
            <w:top w:w="0" w:type="dxa"/>
            <w:left w:w="85" w:type="dxa"/>
            <w:bottom w:w="0" w:type="dxa"/>
            <w:right w:w="85" w:type="dxa"/>
          </w:tblCellMar>
        </w:tblPrEx>
        <w:trPr>
          <w:gridBefore w:val="1"/>
          <w:gridAfter w:val="3"/>
          <w:wBefore w:w="22" w:type="dxa"/>
          <w:wAfter w:w="657" w:type="dxa"/>
          <w:trHeight w:val="1104"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项目实施单位</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578" w:lineRule="atLeast"/>
              <w:rPr>
                <w:rFonts w:ascii="宋体" w:hAnsi="宋体" w:cs="宋体"/>
                <w:kern w:val="0"/>
                <w:szCs w:val="21"/>
              </w:rPr>
            </w:pPr>
            <w:r>
              <w:rPr>
                <w:rFonts w:hint="eastAsia" w:ascii="宋体" w:hAnsi="宋体" w:cs="宋体"/>
                <w:kern w:val="0"/>
                <w:szCs w:val="21"/>
              </w:rPr>
              <w:t>海南省妇女儿童医学中心</w:t>
            </w:r>
          </w:p>
        </w:tc>
        <w:tc>
          <w:tcPr>
            <w:tcW w:w="2785"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主管部门</w:t>
            </w:r>
          </w:p>
        </w:tc>
        <w:tc>
          <w:tcPr>
            <w:tcW w:w="2592"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海南省卫生健康委员会</w:t>
            </w:r>
          </w:p>
        </w:tc>
      </w:tr>
      <w:tr>
        <w:tblPrEx>
          <w:tblCellMar>
            <w:top w:w="0" w:type="dxa"/>
            <w:left w:w="85" w:type="dxa"/>
            <w:bottom w:w="0" w:type="dxa"/>
            <w:right w:w="85" w:type="dxa"/>
          </w:tblCellMar>
        </w:tblPrEx>
        <w:trPr>
          <w:gridBefore w:val="1"/>
          <w:gridAfter w:val="3"/>
          <w:wBefore w:w="22" w:type="dxa"/>
          <w:wAfter w:w="657" w:type="dxa"/>
          <w:trHeight w:val="43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项目负责人</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莫少伟</w:t>
            </w:r>
          </w:p>
        </w:tc>
        <w:tc>
          <w:tcPr>
            <w:tcW w:w="2785"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联系电话</w:t>
            </w:r>
          </w:p>
        </w:tc>
        <w:tc>
          <w:tcPr>
            <w:tcW w:w="2592"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36689605</w:t>
            </w:r>
          </w:p>
        </w:tc>
      </w:tr>
      <w:tr>
        <w:tblPrEx>
          <w:tblCellMar>
            <w:top w:w="0" w:type="dxa"/>
            <w:left w:w="85" w:type="dxa"/>
            <w:bottom w:w="0" w:type="dxa"/>
            <w:right w:w="85" w:type="dxa"/>
          </w:tblCellMar>
        </w:tblPrEx>
        <w:trPr>
          <w:gridBefore w:val="1"/>
          <w:gridAfter w:val="3"/>
          <w:wBefore w:w="22" w:type="dxa"/>
          <w:wAfter w:w="657"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地址</w:t>
            </w:r>
          </w:p>
        </w:tc>
        <w:tc>
          <w:tcPr>
            <w:tcW w:w="4434" w:type="dxa"/>
            <w:gridSpan w:val="10"/>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海口市龙昆南路15号</w:t>
            </w:r>
          </w:p>
        </w:tc>
        <w:tc>
          <w:tcPr>
            <w:tcW w:w="878" w:type="dxa"/>
            <w:gridSpan w:val="3"/>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邮编</w:t>
            </w:r>
          </w:p>
        </w:tc>
        <w:tc>
          <w:tcPr>
            <w:tcW w:w="1714"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570206</w:t>
            </w:r>
          </w:p>
        </w:tc>
      </w:tr>
      <w:tr>
        <w:tblPrEx>
          <w:tblCellMar>
            <w:top w:w="0" w:type="dxa"/>
            <w:left w:w="85" w:type="dxa"/>
            <w:bottom w:w="0" w:type="dxa"/>
            <w:right w:w="85" w:type="dxa"/>
          </w:tblCellMar>
        </w:tblPrEx>
        <w:trPr>
          <w:gridBefore w:val="1"/>
          <w:gridAfter w:val="3"/>
          <w:wBefore w:w="22" w:type="dxa"/>
          <w:wAfter w:w="657"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项目类型</w:t>
            </w:r>
          </w:p>
        </w:tc>
        <w:tc>
          <w:tcPr>
            <w:tcW w:w="7026" w:type="dxa"/>
            <w:gridSpan w:val="14"/>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经常性项目（   ）       一次性项目（  ）</w:t>
            </w:r>
          </w:p>
        </w:tc>
      </w:tr>
      <w:tr>
        <w:tblPrEx>
          <w:tblCellMar>
            <w:top w:w="0" w:type="dxa"/>
            <w:left w:w="85" w:type="dxa"/>
            <w:bottom w:w="0" w:type="dxa"/>
            <w:right w:w="85" w:type="dxa"/>
          </w:tblCellMar>
        </w:tblPrEx>
        <w:trPr>
          <w:gridBefore w:val="1"/>
          <w:gridAfter w:val="2"/>
          <w:wBefore w:w="22" w:type="dxa"/>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计划投资额</w:t>
            </w:r>
          </w:p>
          <w:p>
            <w:pPr>
              <w:widowControl/>
              <w:spacing w:line="20" w:lineRule="atLeast"/>
              <w:jc w:val="center"/>
              <w:rPr>
                <w:rFonts w:ascii="宋体" w:hAnsi="宋体" w:cs="宋体"/>
                <w:kern w:val="0"/>
                <w:szCs w:val="21"/>
              </w:rPr>
            </w:pPr>
            <w:r>
              <w:rPr>
                <w:rFonts w:hint="eastAsia" w:ascii="宋体" w:hAnsi="宋体" w:cs="宋体"/>
                <w:kern w:val="0"/>
                <w:szCs w:val="21"/>
              </w:rPr>
              <w:t>（万元）</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200.89</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实际到位资金（万元）</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200.89</w:t>
            </w:r>
          </w:p>
        </w:tc>
        <w:tc>
          <w:tcPr>
            <w:tcW w:w="1701" w:type="dxa"/>
            <w:gridSpan w:val="4"/>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实际使用情况（万元）</w:t>
            </w:r>
          </w:p>
        </w:tc>
        <w:tc>
          <w:tcPr>
            <w:tcW w:w="1970"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177.17</w:t>
            </w:r>
          </w:p>
        </w:tc>
      </w:tr>
      <w:tr>
        <w:tblPrEx>
          <w:tblCellMar>
            <w:top w:w="0" w:type="dxa"/>
            <w:left w:w="85" w:type="dxa"/>
            <w:bottom w:w="0" w:type="dxa"/>
            <w:right w:w="85" w:type="dxa"/>
          </w:tblCellMar>
        </w:tblPrEx>
        <w:trPr>
          <w:gridBefore w:val="1"/>
          <w:gridAfter w:val="2"/>
          <w:wBefore w:w="22" w:type="dxa"/>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其中：中央财政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200.89</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其中：中央财政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200.89</w:t>
            </w:r>
          </w:p>
        </w:tc>
        <w:tc>
          <w:tcPr>
            <w:tcW w:w="1701"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Before w:val="1"/>
          <w:gridAfter w:val="2"/>
          <w:wBefore w:w="22" w:type="dxa"/>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省财政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省财政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701"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Before w:val="1"/>
          <w:gridAfter w:val="2"/>
          <w:wBefore w:w="22" w:type="dxa"/>
          <w:wAfter w:w="644" w:type="dxa"/>
          <w:trHeight w:val="334"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市县财政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市县财政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701"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Before w:val="1"/>
          <w:gridAfter w:val="2"/>
          <w:wBefore w:w="22" w:type="dxa"/>
          <w:wAfter w:w="644" w:type="dxa"/>
          <w:trHeight w:val="20" w:hRule="atLeast"/>
          <w:jc w:val="center"/>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其他</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其他</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701" w:type="dxa"/>
            <w:gridSpan w:val="4"/>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rFonts w:ascii="宋体" w:hAnsi="宋体" w:cs="宋体"/>
                <w:kern w:val="0"/>
                <w:szCs w:val="21"/>
              </w:rPr>
            </w:pPr>
          </w:p>
        </w:tc>
      </w:tr>
      <w:tr>
        <w:tblPrEx>
          <w:tblCellMar>
            <w:top w:w="0" w:type="dxa"/>
            <w:left w:w="85" w:type="dxa"/>
            <w:bottom w:w="0" w:type="dxa"/>
            <w:right w:w="85" w:type="dxa"/>
          </w:tblCellMar>
        </w:tblPrEx>
        <w:trPr>
          <w:gridBefore w:val="1"/>
          <w:gridAfter w:val="2"/>
          <w:wBefore w:w="22" w:type="dxa"/>
          <w:wAfter w:w="644" w:type="dxa"/>
          <w:trHeight w:val="20" w:hRule="atLeast"/>
          <w:jc w:val="center"/>
        </w:trPr>
        <w:tc>
          <w:tcPr>
            <w:tcW w:w="8761" w:type="dxa"/>
            <w:gridSpan w:val="18"/>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二、</w:t>
            </w:r>
            <w:r>
              <w:rPr>
                <w:rFonts w:hint="eastAsia" w:ascii="宋体" w:hAnsi="宋体" w:cs="宋体"/>
                <w:b/>
                <w:bCs/>
                <w:color w:val="000000"/>
                <w:kern w:val="0"/>
                <w:szCs w:val="21"/>
              </w:rPr>
              <w:t>绩效评价指标评分</w:t>
            </w:r>
          </w:p>
        </w:tc>
      </w:tr>
      <w:tr>
        <w:tblPrEx>
          <w:tblCellMar>
            <w:top w:w="0" w:type="dxa"/>
            <w:left w:w="85" w:type="dxa"/>
            <w:bottom w:w="0" w:type="dxa"/>
            <w:right w:w="85" w:type="dxa"/>
          </w:tblCellMar>
        </w:tblPrEx>
        <w:trPr>
          <w:trHeight w:val="20" w:hRule="atLeast"/>
          <w:jc w:val="center"/>
        </w:trPr>
        <w:tc>
          <w:tcPr>
            <w:tcW w:w="1277" w:type="dxa"/>
            <w:gridSpan w:val="2"/>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一级指标</w:t>
            </w:r>
          </w:p>
        </w:tc>
        <w:tc>
          <w:tcPr>
            <w:tcW w:w="865" w:type="dxa"/>
            <w:gridSpan w:val="3"/>
            <w:tcBorders>
              <w:top w:val="single" w:color="000000" w:sz="4" w:space="0"/>
              <w:left w:val="nil"/>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二级指标</w:t>
            </w: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三级指标</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得分</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项目决策</w:t>
            </w:r>
          </w:p>
        </w:tc>
        <w:tc>
          <w:tcPr>
            <w:tcW w:w="865" w:type="dxa"/>
            <w:gridSpan w:val="3"/>
            <w:vMerge w:val="restart"/>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20</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kern w:val="0"/>
                <w:szCs w:val="21"/>
              </w:rPr>
            </w:pPr>
            <w:r>
              <w:rPr>
                <w:rFonts w:hint="eastAsia" w:ascii="宋体" w:hAnsi="宋体" w:cs="宋体"/>
                <w:color w:val="000000"/>
                <w:kern w:val="0"/>
                <w:szCs w:val="21"/>
              </w:rPr>
              <w:t>项目目标</w:t>
            </w:r>
            <w:r>
              <w:rPr>
                <w:rFonts w:ascii="宋体" w:hAnsi="宋体" w:cs="宋体"/>
                <w:kern w:val="0"/>
                <w:szCs w:val="21"/>
              </w:rPr>
              <w:drawing>
                <wp:inline distT="0" distB="0" distL="0" distR="0">
                  <wp:extent cx="15240" cy="15240"/>
                  <wp:effectExtent l="0" t="0" r="0" b="0"/>
                  <wp:docPr id="1" name="图片 5" descr="wps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wps89D"/>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2" name="图片 6" descr="wps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89E"/>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3" name="图片 7" descr="wps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89F"/>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4" name="图片 8" descr="wps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wps8A0"/>
                          <pic:cNvPicPr>
                            <a:picLocks noChangeAspect="1" noChangeArrowheads="1"/>
                          </pic:cNvPicPr>
                        </pic:nvPicPr>
                        <pic:blipFill>
                          <a:blip r:embed="rId4"/>
                          <a:srcRect/>
                          <a:stretch>
                            <a:fillRect/>
                          </a:stretch>
                        </pic:blipFill>
                        <pic:spPr>
                          <a:xfrm>
                            <a:off x="0" y="0"/>
                            <a:ext cx="15240" cy="15240"/>
                          </a:xfrm>
                          <a:prstGeom prst="rect">
                            <a:avLst/>
                          </a:prstGeom>
                          <a:noFill/>
                          <a:ln w="9525" cmpd="sng">
                            <a:noFill/>
                            <a:miter lim="800000"/>
                            <a:headEnd/>
                            <a:tailEnd/>
                          </a:ln>
                        </pic:spPr>
                      </pic:pic>
                    </a:graphicData>
                  </a:graphic>
                </wp:inline>
              </w:drawing>
            </w: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4</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目标内容</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4</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4</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决策过程</w:t>
            </w:r>
          </w:p>
        </w:tc>
        <w:tc>
          <w:tcPr>
            <w:tcW w:w="624"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决策依据</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624" w:type="dxa"/>
            <w:gridSpan w:val="2"/>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决策程序</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5</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5</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资金分配</w:t>
            </w:r>
          </w:p>
        </w:tc>
        <w:tc>
          <w:tcPr>
            <w:tcW w:w="624"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分配办法</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624" w:type="dxa"/>
            <w:gridSpan w:val="2"/>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分配结果</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6</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6</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项目管理</w:t>
            </w:r>
          </w:p>
        </w:tc>
        <w:tc>
          <w:tcPr>
            <w:tcW w:w="865"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25</w:t>
            </w: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资金到位</w:t>
            </w:r>
          </w:p>
        </w:tc>
        <w:tc>
          <w:tcPr>
            <w:tcW w:w="62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5</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到位率</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624" w:type="dxa"/>
            <w:gridSpan w:val="2"/>
            <w:tcBorders>
              <w:top w:val="nil"/>
              <w:left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到位时效</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2</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资金管理</w:t>
            </w:r>
          </w:p>
        </w:tc>
        <w:tc>
          <w:tcPr>
            <w:tcW w:w="624"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10</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kern w:val="0"/>
                <w:szCs w:val="21"/>
              </w:rPr>
            </w:pPr>
            <w:r>
              <w:rPr>
                <w:rFonts w:hint="eastAsia" w:ascii="宋体" w:hAnsi="宋体" w:cs="宋体"/>
                <w:kern w:val="0"/>
                <w:szCs w:val="21"/>
              </w:rPr>
              <w:t>资金使用</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kern w:val="0"/>
                <w:szCs w:val="21"/>
              </w:rPr>
            </w:pPr>
            <w:r>
              <w:rPr>
                <w:rFonts w:hint="eastAsia" w:ascii="宋体" w:hAnsi="宋体" w:cs="宋体"/>
                <w:kern w:val="0"/>
                <w:szCs w:val="21"/>
              </w:rPr>
              <w:t>7</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7</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624" w:type="dxa"/>
            <w:gridSpan w:val="2"/>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财务管理</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3</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组织实施</w:t>
            </w:r>
          </w:p>
        </w:tc>
        <w:tc>
          <w:tcPr>
            <w:tcW w:w="624"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10</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组织机构</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1</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1</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624" w:type="dxa"/>
            <w:gridSpan w:val="2"/>
            <w:vMerge w:val="continue"/>
            <w:tcBorders>
              <w:top w:val="nil"/>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宋体" w:hAnsi="宋体" w:cs="宋体"/>
                <w:color w:val="000000"/>
                <w:kern w:val="0"/>
                <w:szCs w:val="21"/>
              </w:rPr>
            </w:pP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管理制度</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9</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9</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restart"/>
            <w:tcBorders>
              <w:top w:val="nil"/>
              <w:left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产出指标</w:t>
            </w:r>
          </w:p>
        </w:tc>
        <w:tc>
          <w:tcPr>
            <w:tcW w:w="865" w:type="dxa"/>
            <w:gridSpan w:val="3"/>
            <w:vMerge w:val="restart"/>
            <w:tcBorders>
              <w:top w:val="nil"/>
              <w:left w:val="nil"/>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40</w:t>
            </w:r>
          </w:p>
        </w:tc>
        <w:tc>
          <w:tcPr>
            <w:tcW w:w="122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数量指标</w:t>
            </w:r>
          </w:p>
        </w:tc>
        <w:tc>
          <w:tcPr>
            <w:tcW w:w="62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中医药骨干人才数量</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9</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9</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865" w:type="dxa"/>
            <w:gridSpan w:val="3"/>
            <w:vMerge w:val="continue"/>
            <w:tcBorders>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1227" w:type="dxa"/>
            <w:gridSpan w:val="3"/>
            <w:vMerge w:val="restart"/>
            <w:tcBorders>
              <w:top w:val="single" w:color="000000" w:sz="4" w:space="0"/>
              <w:left w:val="nil"/>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质量指标</w:t>
            </w: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儿科医师转岗培训完成率</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8</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0</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865" w:type="dxa"/>
            <w:gridSpan w:val="3"/>
            <w:vMerge w:val="continue"/>
            <w:tcBorders>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1227" w:type="dxa"/>
            <w:gridSpan w:val="3"/>
            <w:vMerge w:val="continue"/>
            <w:tcBorders>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中医培训计划完成率</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8</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8</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390" w:hRule="atLeast"/>
          <w:jc w:val="center"/>
        </w:trPr>
        <w:tc>
          <w:tcPr>
            <w:tcW w:w="1277" w:type="dxa"/>
            <w:gridSpan w:val="2"/>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865" w:type="dxa"/>
            <w:gridSpan w:val="3"/>
            <w:vMerge w:val="continue"/>
            <w:tcBorders>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出生缺陷防治人才培训完成率</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8</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Cs w:val="21"/>
              </w:rPr>
            </w:pPr>
            <w:r>
              <w:rPr>
                <w:rFonts w:hint="eastAsia" w:ascii="宋体" w:hAnsi="宋体" w:cs="宋体"/>
                <w:color w:val="000000"/>
                <w:kern w:val="0"/>
                <w:szCs w:val="21"/>
              </w:rPr>
              <w:t>8</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390" w:hRule="atLeast"/>
          <w:jc w:val="center"/>
        </w:trPr>
        <w:tc>
          <w:tcPr>
            <w:tcW w:w="1277" w:type="dxa"/>
            <w:gridSpan w:val="2"/>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p>
        </w:tc>
        <w:tc>
          <w:tcPr>
            <w:tcW w:w="865" w:type="dxa"/>
            <w:gridSpan w:val="3"/>
            <w:vMerge w:val="continue"/>
            <w:tcBorders>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r>
              <w:rPr>
                <w:rFonts w:hint="eastAsia" w:ascii="宋体" w:hAnsi="宋体" w:cs="宋体"/>
                <w:color w:val="000000"/>
                <w:kern w:val="0"/>
                <w:szCs w:val="21"/>
              </w:rPr>
              <w:t>成本指标</w:t>
            </w: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8</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 w:val="18"/>
                <w:szCs w:val="18"/>
              </w:rPr>
            </w:pPr>
            <w:r>
              <w:rPr>
                <w:rFonts w:hint="eastAsia" w:ascii="宋体" w:hAnsi="宋体" w:cs="宋体"/>
                <w:color w:val="000000"/>
                <w:kern w:val="0"/>
                <w:sz w:val="18"/>
                <w:szCs w:val="18"/>
              </w:rPr>
              <w:t>中央财政对住院医师规范化培训项目投入标准</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8</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8</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效益指标</w:t>
            </w:r>
          </w:p>
        </w:tc>
        <w:tc>
          <w:tcPr>
            <w:tcW w:w="8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15</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r>
              <w:rPr>
                <w:rFonts w:hint="eastAsia" w:ascii="宋体" w:hAnsi="宋体" w:cs="宋体"/>
                <w:color w:val="000000"/>
                <w:kern w:val="0"/>
                <w:szCs w:val="21"/>
              </w:rPr>
              <w:t>社会效益指标</w:t>
            </w: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15</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r>
              <w:rPr>
                <w:rFonts w:hint="eastAsia" w:ascii="宋体" w:hAnsi="宋体" w:cs="宋体"/>
                <w:color w:val="000000"/>
                <w:kern w:val="0"/>
                <w:szCs w:val="21"/>
              </w:rPr>
              <w:t>中医药人才技术水平提高</w:t>
            </w: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15</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15</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127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总分</w:t>
            </w:r>
          </w:p>
        </w:tc>
        <w:tc>
          <w:tcPr>
            <w:tcW w:w="8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p>
        </w:tc>
        <w:tc>
          <w:tcPr>
            <w:tcW w:w="62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225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color w:val="000000"/>
                <w:kern w:val="0"/>
                <w:szCs w:val="21"/>
              </w:rPr>
            </w:pPr>
          </w:p>
        </w:tc>
        <w:tc>
          <w:tcPr>
            <w:tcW w:w="5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100</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92</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378" w:hRule="atLeast"/>
          <w:jc w:val="center"/>
        </w:trPr>
        <w:tc>
          <w:tcPr>
            <w:tcW w:w="3993" w:type="dxa"/>
            <w:gridSpan w:val="10"/>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评价等次</w:t>
            </w:r>
          </w:p>
        </w:tc>
        <w:tc>
          <w:tcPr>
            <w:tcW w:w="4790"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hint="default" w:ascii="宋体" w:hAnsi="宋体" w:eastAsia="宋体" w:cs="宋体"/>
                <w:color w:val="000000" w:themeColor="text1"/>
                <w:kern w:val="0"/>
                <w:szCs w:val="21"/>
                <w:lang w:val="en-US" w:eastAsia="zh-CN"/>
              </w:rPr>
            </w:pPr>
            <w:r>
              <w:rPr>
                <w:rFonts w:hint="eastAsia" w:ascii="宋体" w:hAnsi="宋体" w:cs="宋体"/>
                <w:color w:val="000000" w:themeColor="text1"/>
                <w:kern w:val="0"/>
                <w:szCs w:val="21"/>
                <w:lang w:val="en-US" w:eastAsia="zh-CN"/>
              </w:rPr>
              <w:t>优</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8783" w:type="dxa"/>
            <w:gridSpan w:val="1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rPr>
                <w:rFonts w:ascii="宋体" w:hAnsi="宋体" w:cs="宋体"/>
                <w:b/>
                <w:bCs/>
                <w:kern w:val="0"/>
                <w:szCs w:val="21"/>
              </w:rPr>
            </w:pPr>
            <w:r>
              <w:rPr>
                <w:rFonts w:hint="eastAsia" w:ascii="宋体" w:hAnsi="宋体" w:cs="宋体"/>
                <w:b/>
                <w:bCs/>
                <w:kern w:val="0"/>
                <w:szCs w:val="21"/>
              </w:rPr>
              <w:t>三、评价人员</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737" w:hRule="atLeast"/>
          <w:jc w:val="center"/>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姓  名</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职务/职称</w:t>
            </w:r>
          </w:p>
        </w:tc>
        <w:tc>
          <w:tcPr>
            <w:tcW w:w="260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b/>
                <w:kern w:val="0"/>
                <w:szCs w:val="21"/>
              </w:rPr>
            </w:pPr>
            <w:r>
              <w:rPr>
                <w:rFonts w:hint="eastAsia" w:ascii="宋体" w:hAnsi="宋体" w:cs="宋体"/>
                <w:kern w:val="0"/>
                <w:szCs w:val="21"/>
              </w:rPr>
              <w:t>单   位</w:t>
            </w:r>
          </w:p>
        </w:tc>
        <w:tc>
          <w:tcPr>
            <w:tcW w:w="12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项目评分</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签 字</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1000" w:hRule="atLeast"/>
          <w:jc w:val="center"/>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李碧蓉</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财务部主任</w:t>
            </w:r>
          </w:p>
        </w:tc>
        <w:tc>
          <w:tcPr>
            <w:tcW w:w="260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海南省妇女儿童医学中心</w:t>
            </w:r>
          </w:p>
        </w:tc>
        <w:tc>
          <w:tcPr>
            <w:tcW w:w="12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108" w:hRule="atLeast"/>
          <w:jc w:val="center"/>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赵锐</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 w:val="18"/>
                <w:szCs w:val="18"/>
              </w:rPr>
            </w:pPr>
            <w:r>
              <w:rPr>
                <w:rFonts w:hint="eastAsia" w:ascii="宋体" w:hAnsi="宋体" w:cs="宋体"/>
                <w:kern w:val="0"/>
                <w:sz w:val="18"/>
                <w:szCs w:val="18"/>
              </w:rPr>
              <w:t>副主任医师/科室主任</w:t>
            </w:r>
          </w:p>
        </w:tc>
        <w:tc>
          <w:tcPr>
            <w:tcW w:w="260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海南省妇女儿童医学中心</w:t>
            </w:r>
          </w:p>
        </w:tc>
        <w:tc>
          <w:tcPr>
            <w:tcW w:w="12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1113" w:hRule="atLeast"/>
          <w:jc w:val="center"/>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莫少伟</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教学科主任</w:t>
            </w:r>
          </w:p>
        </w:tc>
        <w:tc>
          <w:tcPr>
            <w:tcW w:w="260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r>
              <w:rPr>
                <w:rFonts w:hint="eastAsia" w:ascii="宋体" w:hAnsi="宋体" w:cs="宋体"/>
                <w:kern w:val="0"/>
                <w:szCs w:val="21"/>
              </w:rPr>
              <w:t>海南省妇女儿童医学中心</w:t>
            </w:r>
          </w:p>
        </w:tc>
        <w:tc>
          <w:tcPr>
            <w:tcW w:w="12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898" w:hRule="atLeast"/>
          <w:jc w:val="center"/>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合计</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260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27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color w:val="A4A4A4"/>
                <w:kern w:val="0"/>
                <w:szCs w:val="21"/>
              </w:rPr>
              <w:t>平均得分</w:t>
            </w:r>
          </w:p>
        </w:tc>
        <w:tc>
          <w:tcPr>
            <w:tcW w:w="197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r>
        <w:tblPrEx>
          <w:tblCellMar>
            <w:top w:w="0" w:type="dxa"/>
            <w:left w:w="85" w:type="dxa"/>
            <w:bottom w:w="0" w:type="dxa"/>
            <w:right w:w="85" w:type="dxa"/>
          </w:tblCellMar>
        </w:tblPrEx>
        <w:trPr>
          <w:trHeight w:val="20" w:hRule="atLeast"/>
          <w:jc w:val="center"/>
        </w:trPr>
        <w:tc>
          <w:tcPr>
            <w:tcW w:w="8783" w:type="dxa"/>
            <w:gridSpan w:val="1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rPr>
                <w:rFonts w:ascii="宋体" w:hAnsi="宋体" w:cs="宋体"/>
                <w:kern w:val="0"/>
                <w:szCs w:val="21"/>
              </w:rPr>
            </w:pPr>
          </w:p>
          <w:p>
            <w:pPr>
              <w:widowControl/>
              <w:spacing w:line="578" w:lineRule="atLeast"/>
              <w:rPr>
                <w:rFonts w:ascii="宋体" w:hAnsi="宋体" w:cs="宋体"/>
                <w:kern w:val="0"/>
                <w:szCs w:val="21"/>
              </w:rPr>
            </w:pPr>
          </w:p>
          <w:p>
            <w:pPr>
              <w:widowControl/>
              <w:spacing w:line="578" w:lineRule="atLeast"/>
              <w:jc w:val="center"/>
              <w:rPr>
                <w:rFonts w:ascii="宋体" w:hAnsi="宋体" w:cs="宋体"/>
                <w:kern w:val="0"/>
                <w:szCs w:val="21"/>
              </w:rPr>
            </w:pPr>
            <w:r>
              <w:rPr>
                <w:rFonts w:hint="eastAsia" w:ascii="宋体" w:hAnsi="宋体" w:cs="宋体"/>
                <w:kern w:val="0"/>
                <w:szCs w:val="21"/>
              </w:rPr>
              <w:t>评价工作组组长（签字并单位盖章）：</w:t>
            </w:r>
          </w:p>
          <w:p>
            <w:pPr>
              <w:widowControl/>
              <w:spacing w:line="578" w:lineRule="atLeast"/>
              <w:rPr>
                <w:rFonts w:ascii="宋体" w:hAnsi="宋体" w:cs="宋体"/>
                <w:kern w:val="0"/>
                <w:szCs w:val="21"/>
              </w:rPr>
            </w:pPr>
          </w:p>
          <w:p>
            <w:pPr>
              <w:widowControl/>
              <w:spacing w:line="20" w:lineRule="atLeast"/>
              <w:jc w:val="center"/>
              <w:rPr>
                <w:rFonts w:ascii="宋体" w:hAnsi="宋体" w:cs="宋体"/>
                <w:kern w:val="0"/>
                <w:szCs w:val="21"/>
              </w:rPr>
            </w:pPr>
            <w:r>
              <w:rPr>
                <w:rFonts w:hint="eastAsia" w:ascii="宋体" w:hAnsi="宋体" w:cs="宋体"/>
                <w:kern w:val="0"/>
                <w:szCs w:val="21"/>
              </w:rPr>
              <w:t>年    月   日</w:t>
            </w:r>
          </w:p>
        </w:tc>
        <w:tc>
          <w:tcPr>
            <w:tcW w:w="190" w:type="dxa"/>
            <w:vAlign w:val="center"/>
          </w:tcPr>
          <w:p>
            <w:pPr>
              <w:widowControl/>
              <w:jc w:val="left"/>
              <w:rPr>
                <w:rFonts w:ascii="宋体" w:hAnsi="宋体" w:cs="宋体"/>
                <w:kern w:val="0"/>
                <w:sz w:val="2"/>
              </w:rPr>
            </w:pPr>
          </w:p>
        </w:tc>
        <w:tc>
          <w:tcPr>
            <w:tcW w:w="454" w:type="dxa"/>
            <w:vAlign w:val="center"/>
          </w:tcPr>
          <w:p>
            <w:pPr>
              <w:widowControl/>
              <w:jc w:val="left"/>
              <w:rPr>
                <w:kern w:val="0"/>
                <w:sz w:val="20"/>
                <w:szCs w:val="20"/>
              </w:rPr>
            </w:pPr>
          </w:p>
        </w:tc>
      </w:tr>
    </w:tbl>
    <w:p>
      <w:pPr>
        <w:widowControl/>
        <w:spacing w:line="578" w:lineRule="atLeast"/>
        <w:jc w:val="center"/>
        <w:rPr>
          <w:rFonts w:ascii="宋体" w:hAnsi="宋体" w:cs="宋体"/>
          <w:b/>
          <w:bCs/>
          <w:color w:val="000000"/>
          <w:kern w:val="0"/>
          <w:sz w:val="44"/>
          <w:szCs w:val="44"/>
          <w:highlight w:val="none"/>
        </w:rPr>
      </w:pPr>
      <w:r>
        <w:rPr>
          <w:rFonts w:hint="eastAsia" w:ascii="宋体" w:hAnsi="宋体" w:cs="宋体"/>
          <w:b/>
          <w:bCs/>
          <w:color w:val="000000"/>
          <w:kern w:val="0"/>
          <w:sz w:val="44"/>
          <w:szCs w:val="44"/>
          <w:highlight w:val="none"/>
        </w:rPr>
        <w:t>财政支出项目绩效评价报告</w:t>
      </w:r>
    </w:p>
    <w:p>
      <w:pPr>
        <w:widowControl/>
        <w:spacing w:line="578" w:lineRule="atLeast"/>
        <w:rPr>
          <w:rFonts w:ascii="仿宋_GB2312" w:hAnsi="宋体" w:eastAsia="仿宋_GB2312" w:cs="宋体"/>
          <w:color w:val="000000"/>
          <w:kern w:val="0"/>
          <w:sz w:val="32"/>
          <w:szCs w:val="32"/>
          <w:highlight w:val="none"/>
        </w:rPr>
      </w:pP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一、项目概况</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（一）项目基本性质、用途和主要内容</w:t>
      </w:r>
    </w:p>
    <w:p>
      <w:pPr>
        <w:widowControl/>
        <w:spacing w:line="578" w:lineRule="atLeast"/>
        <w:ind w:firstLine="640" w:firstLineChars="20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该项目用于住院医师培训、</w:t>
      </w:r>
      <w:r>
        <w:rPr>
          <w:rFonts w:hint="eastAsia" w:cs="宋体" w:asciiTheme="minorEastAsia" w:hAnsiTheme="minorEastAsia" w:eastAsiaTheme="minorEastAsia"/>
          <w:kern w:val="0"/>
          <w:sz w:val="32"/>
          <w:szCs w:val="32"/>
          <w:highlight w:val="none"/>
        </w:rPr>
        <w:t>儿科医师转岗培训、出生缺陷防治人才培训</w:t>
      </w:r>
      <w:r>
        <w:rPr>
          <w:rFonts w:hint="eastAsia" w:cs="宋体" w:asciiTheme="minorEastAsia" w:hAnsiTheme="minorEastAsia" w:eastAsiaTheme="minorEastAsia"/>
          <w:color w:val="000000"/>
          <w:kern w:val="0"/>
          <w:sz w:val="32"/>
          <w:szCs w:val="32"/>
          <w:highlight w:val="none"/>
        </w:rPr>
        <w:t>以及国家中医药管理局全国中药特色技术传承人才培训项目，用于培训对象参加全国中药特色技术传承基地游学培训（含会议费、食宿费、差旅费），以及书本费、论文版面费以及支付医疗设备历史合同尾款等。</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（二）项目绩效目标</w:t>
      </w:r>
    </w:p>
    <w:p>
      <w:pPr>
        <w:ind w:firstLine="640" w:firstLineChars="200"/>
        <w:rPr>
          <w:rFonts w:asciiTheme="minorEastAsia" w:hAnsiTheme="minorEastAsia" w:eastAsiaTheme="minorEastAsia"/>
          <w:sz w:val="32"/>
          <w:szCs w:val="32"/>
          <w:highlight w:val="none"/>
        </w:rPr>
      </w:pPr>
      <w:r>
        <w:rPr>
          <w:rFonts w:hint="eastAsia" w:cs="宋体" w:asciiTheme="minorEastAsia" w:hAnsiTheme="minorEastAsia" w:eastAsiaTheme="minorEastAsia"/>
          <w:color w:val="000000"/>
          <w:kern w:val="0"/>
          <w:sz w:val="32"/>
          <w:szCs w:val="32"/>
          <w:highlight w:val="none"/>
        </w:rPr>
        <w:t>住院医师（专科医师）规范化培训中央财政补助标准3万元/人/年、</w:t>
      </w:r>
      <w:r>
        <w:rPr>
          <w:rFonts w:hint="eastAsia" w:cs="宋体" w:asciiTheme="minorEastAsia" w:hAnsiTheme="minorEastAsia" w:eastAsiaTheme="minorEastAsia"/>
          <w:kern w:val="0"/>
          <w:sz w:val="32"/>
          <w:szCs w:val="32"/>
          <w:highlight w:val="none"/>
        </w:rPr>
        <w:t>儿科医师转岗培训项目</w:t>
      </w:r>
      <w:r>
        <w:rPr>
          <w:rFonts w:hint="eastAsia" w:cs="宋体" w:asciiTheme="minorEastAsia" w:hAnsiTheme="minorEastAsia" w:eastAsiaTheme="minorEastAsia"/>
          <w:color w:val="000000"/>
          <w:kern w:val="0"/>
          <w:sz w:val="32"/>
          <w:szCs w:val="32"/>
          <w:highlight w:val="none"/>
        </w:rPr>
        <w:t>中央财政补助资金补助标准每人1.5万/年按文件要求足额补助、</w:t>
      </w:r>
      <w:r>
        <w:rPr>
          <w:rFonts w:hint="eastAsia" w:cs="宋体" w:asciiTheme="minorEastAsia" w:hAnsiTheme="minorEastAsia" w:eastAsiaTheme="minorEastAsia"/>
          <w:kern w:val="0"/>
          <w:sz w:val="32"/>
          <w:szCs w:val="32"/>
          <w:highlight w:val="none"/>
        </w:rPr>
        <w:t>出生缺陷防治人才</w:t>
      </w:r>
      <w:r>
        <w:rPr>
          <w:rFonts w:hint="eastAsia" w:asciiTheme="minorEastAsia" w:hAnsiTheme="minorEastAsia" w:eastAsiaTheme="minorEastAsia"/>
          <w:sz w:val="32"/>
          <w:szCs w:val="32"/>
          <w:highlight w:val="none"/>
        </w:rPr>
        <w:t>完善教学计划推进培训基地建设,组织开展培训技能竞赛,持续对教学质量改进等任务。</w:t>
      </w:r>
      <w:r>
        <w:rPr>
          <w:rFonts w:hint="eastAsia" w:ascii="宋体" w:hAnsi="宋体" w:cs="宋体"/>
          <w:color w:val="000000"/>
          <w:kern w:val="0"/>
          <w:sz w:val="32"/>
          <w:szCs w:val="32"/>
          <w:highlight w:val="none"/>
        </w:rPr>
        <w:t>中医药人才</w:t>
      </w:r>
      <w:r>
        <w:rPr>
          <w:rFonts w:hint="eastAsia" w:cs="宋体" w:asciiTheme="minorEastAsia" w:hAnsiTheme="minorEastAsia" w:eastAsiaTheme="minorEastAsia"/>
          <w:kern w:val="0"/>
          <w:sz w:val="32"/>
          <w:szCs w:val="32"/>
          <w:highlight w:val="none"/>
        </w:rPr>
        <w:t>完成不少于15个以上中药传承基地游学培训，其中每年完成不少于5个全国中药特色技术传承基地游学培训任务。</w:t>
      </w:r>
    </w:p>
    <w:p>
      <w:pPr>
        <w:widowControl/>
        <w:spacing w:line="578" w:lineRule="atLeast"/>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 xml:space="preserve">    二、项目资金使用及管理情况</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kern w:val="0"/>
          <w:sz w:val="32"/>
          <w:szCs w:val="32"/>
          <w:highlight w:val="none"/>
        </w:rPr>
        <w:t>（一）项目资金到位情况分析</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ascii="宋体" w:hAnsi="宋体" w:cs="宋体"/>
          <w:color w:val="000000"/>
          <w:kern w:val="0"/>
          <w:sz w:val="32"/>
          <w:szCs w:val="32"/>
          <w:highlight w:val="none"/>
        </w:rPr>
        <w:t>资金到位共计</w:t>
      </w:r>
      <w:r>
        <w:rPr>
          <w:rFonts w:hint="eastAsia" w:cs="宋体" w:asciiTheme="minorEastAsia" w:hAnsiTheme="minorEastAsia" w:eastAsiaTheme="minorEastAsia"/>
          <w:color w:val="000000"/>
          <w:kern w:val="0"/>
          <w:sz w:val="32"/>
          <w:szCs w:val="32"/>
          <w:highlight w:val="none"/>
        </w:rPr>
        <w:t>200.89</w:t>
      </w:r>
      <w:r>
        <w:rPr>
          <w:rFonts w:hint="eastAsia" w:ascii="宋体" w:hAnsi="宋体" w:cs="宋体"/>
          <w:color w:val="000000"/>
          <w:kern w:val="0"/>
          <w:sz w:val="32"/>
          <w:szCs w:val="32"/>
          <w:highlight w:val="none"/>
        </w:rPr>
        <w:t>万元。</w:t>
      </w:r>
      <w:r>
        <w:rPr>
          <w:rFonts w:hint="eastAsia" w:cs="宋体" w:asciiTheme="minorEastAsia" w:hAnsiTheme="minorEastAsia" w:eastAsiaTheme="minorEastAsia"/>
          <w:color w:val="000000"/>
          <w:kern w:val="0"/>
          <w:sz w:val="32"/>
          <w:szCs w:val="32"/>
          <w:highlight w:val="none"/>
        </w:rPr>
        <w:t>2019年结转资金2.58万元（琼财社[2019]583号）、47.62</w:t>
      </w:r>
      <w:r>
        <w:rPr>
          <w:rFonts w:hint="eastAsia" w:cs="宋体" w:asciiTheme="minorEastAsia" w:hAnsiTheme="minorEastAsia" w:eastAsiaTheme="minorEastAsia"/>
          <w:color w:val="000000"/>
          <w:kern w:val="0"/>
          <w:sz w:val="32"/>
          <w:szCs w:val="32"/>
          <w:highlight w:val="none"/>
          <w:lang w:val="en-US" w:eastAsia="zh-CN"/>
        </w:rPr>
        <w:t>万元</w:t>
      </w:r>
      <w:r>
        <w:rPr>
          <w:rFonts w:hint="eastAsia" w:cs="宋体" w:asciiTheme="minorEastAsia" w:hAnsiTheme="minorEastAsia" w:eastAsiaTheme="minorEastAsia"/>
          <w:color w:val="000000"/>
          <w:kern w:val="0"/>
          <w:sz w:val="32"/>
          <w:szCs w:val="32"/>
          <w:highlight w:val="none"/>
        </w:rPr>
        <w:t>（琼财社[2019]514号），被收回28.63万元。2020年2月3日下达96.52万元（琼财社[2020]67号），2月29日下达6万元（琼财社[2020]104号），4月10日下达3万元（琼财社[2020]252号），10月12日下达73.8万元（琼财社[2020]817号）。</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（二）项目资金使用情况分析</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截止2020年12月31日，累计已使用资金177.17万元，项目资金支付率88.19%，剩余23.72万元按照规定结转第二年使用。项目资金均按预算和规定用途使用，未出现虚列项目支出情况，不存在截留、挤占、挪用项目资金情况，也不存在超标准开支情况。</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kern w:val="0"/>
          <w:sz w:val="32"/>
          <w:szCs w:val="32"/>
          <w:highlight w:val="none"/>
        </w:rPr>
        <w:t>（三）项目资金管理情况分析</w:t>
      </w:r>
    </w:p>
    <w:p>
      <w:pPr>
        <w:spacing w:line="578" w:lineRule="exact"/>
        <w:ind w:firstLine="640" w:firstLineChars="200"/>
        <w:outlineLvl w:val="0"/>
        <w:rPr>
          <w:rFonts w:ascii="宋体" w:hAnsi="宋体"/>
          <w:bCs/>
          <w:color w:val="000000"/>
          <w:sz w:val="32"/>
          <w:szCs w:val="32"/>
          <w:highlight w:val="none"/>
        </w:rPr>
      </w:pPr>
      <w:r>
        <w:rPr>
          <w:rFonts w:hint="eastAsia" w:ascii="宋体" w:hAnsi="宋体"/>
          <w:bCs/>
          <w:color w:val="000000"/>
          <w:sz w:val="32"/>
          <w:szCs w:val="32"/>
          <w:highlight w:val="none"/>
        </w:rPr>
        <w:t>该项目资金做到专款专用，在实施过程中按照指标文件用途执行。项目经费使用由单位财务部统一管理，支付按照项目管理制度执行。在项目资金管理上，我单位建立健全资金管理和费用支出制度，遵守《政府会计制度》《中华人民共和国会计法》《会计基础工作规范》《现金管理制度》《省妇幼保健院财务会计内控管理制度》并严格执行，会计核算规范；同时重大项目的安排和资金使用支出均严格按照“三重一大”集体决策制度和报告审批制度执行。支付款项按照合同和项目进度，由使用科室和保障部签名验收，分管项目的经办人和主任签名，经财务部和监察审计科审核后，报分管院领导审批，最后提交院务会、党委会集体审议批准。</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三、项目组织实施情况</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（一）项目组织情况分析</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项目按照国家规定严格执行，目前项目进展顺利，接近完成尾声。由于2020年上半年疫情影响项目暂停，下半年重启，继续顺利推进。</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（二）项目管理情况分析</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项目严格按照省卫生健康委员会与中医药管理局等文件制度执行，日常监督管理工作由海南省卫生健康委员会与海南省中医药管理局和所在单位海南省妇女儿童医学中心严格监督执行。</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四、项目绩效情况</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（一）项目绩效目标完成情况分析</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1. 项目的经济性分析</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（1）项目成本（预算）控制情况</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项目严格按照文件规定资金用途执行，全额落实用于住院医师培训及中药传承游学培训工作，发挥资金用途效益最大化。</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（2）项目成本（预算）节约情况</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color w:val="000000"/>
          <w:kern w:val="0"/>
          <w:sz w:val="32"/>
          <w:szCs w:val="32"/>
          <w:highlight w:val="none"/>
        </w:rPr>
        <w:t>住院医师培训、</w:t>
      </w:r>
      <w:r>
        <w:rPr>
          <w:rFonts w:hint="eastAsia" w:cs="宋体" w:asciiTheme="minorEastAsia" w:hAnsiTheme="minorEastAsia" w:eastAsiaTheme="minorEastAsia"/>
          <w:kern w:val="0"/>
          <w:sz w:val="32"/>
          <w:szCs w:val="32"/>
          <w:highlight w:val="none"/>
        </w:rPr>
        <w:t>儿科医师转岗培训、出生缺陷防治人才培训按文件标准进行补助。中医人才培训严格节约项目经费差旅费严格控制在最低标准。</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2. 项目的效率性分析</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（1）项目的实施进度</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项目按计划已</w:t>
      </w:r>
      <w:r>
        <w:rPr>
          <w:rFonts w:hint="eastAsia" w:cs="宋体" w:asciiTheme="minorEastAsia" w:hAnsiTheme="minorEastAsia" w:eastAsiaTheme="minorEastAsia"/>
          <w:color w:val="000000"/>
          <w:kern w:val="0"/>
          <w:sz w:val="32"/>
          <w:szCs w:val="32"/>
          <w:highlight w:val="none"/>
        </w:rPr>
        <w:t>支付医疗设备历史合同尾款</w:t>
      </w:r>
      <w:r>
        <w:rPr>
          <w:rFonts w:hint="eastAsia" w:cs="宋体" w:asciiTheme="minorEastAsia" w:hAnsiTheme="minorEastAsia" w:eastAsiaTheme="minorEastAsia"/>
          <w:kern w:val="0"/>
          <w:sz w:val="32"/>
          <w:szCs w:val="32"/>
          <w:highlight w:val="none"/>
        </w:rPr>
        <w:t>,</w:t>
      </w:r>
      <w:r>
        <w:rPr>
          <w:rFonts w:hint="eastAsia" w:ascii="宋体" w:hAnsi="宋体" w:cs="宋体"/>
          <w:color w:val="000000"/>
          <w:kern w:val="0"/>
          <w:sz w:val="32"/>
          <w:szCs w:val="32"/>
          <w:highlight w:val="none"/>
        </w:rPr>
        <w:t xml:space="preserve"> 中医药人才</w:t>
      </w:r>
      <w:r>
        <w:rPr>
          <w:rFonts w:hint="eastAsia" w:cs="宋体" w:asciiTheme="minorEastAsia" w:hAnsiTheme="minorEastAsia" w:eastAsiaTheme="minorEastAsia"/>
          <w:kern w:val="0"/>
          <w:sz w:val="32"/>
          <w:szCs w:val="32"/>
          <w:highlight w:val="none"/>
        </w:rPr>
        <w:t>至今共参加16个培训基地学习，撰写并发表核心期刊论文2篇，完成读书笔记5篇，开展中药特色技术传承推广报告5次以上。</w:t>
      </w:r>
    </w:p>
    <w:p>
      <w:pPr>
        <w:widowControl/>
        <w:spacing w:line="578" w:lineRule="atLeast"/>
        <w:ind w:firstLine="66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住院医师规范化培训根据中央财政补助标准为3万元/人/年，已足额发放补助21人。</w:t>
      </w:r>
      <w:r>
        <w:rPr>
          <w:rFonts w:hint="eastAsia" w:cs="宋体" w:asciiTheme="minorEastAsia" w:hAnsiTheme="minorEastAsia" w:eastAsiaTheme="minorEastAsia"/>
          <w:kern w:val="0"/>
          <w:sz w:val="32"/>
          <w:szCs w:val="32"/>
          <w:highlight w:val="none"/>
        </w:rPr>
        <w:t>儿科医师转岗培训项目，</w:t>
      </w:r>
      <w:r>
        <w:rPr>
          <w:rFonts w:hint="eastAsia" w:cs="宋体" w:asciiTheme="minorEastAsia" w:hAnsiTheme="minorEastAsia" w:eastAsiaTheme="minorEastAsia"/>
          <w:color w:val="000000"/>
          <w:kern w:val="0"/>
          <w:sz w:val="32"/>
          <w:szCs w:val="32"/>
          <w:highlight w:val="none"/>
        </w:rPr>
        <w:t>招录报到人数为0人，根据中央财政补助标准为1.5万元/人/年，实际执行发放补助0人。</w:t>
      </w:r>
    </w:p>
    <w:p>
      <w:pPr>
        <w:widowControl/>
        <w:spacing w:line="578" w:lineRule="atLeast"/>
        <w:ind w:firstLine="66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我单位首次启动海南省出生缺陷防治人才培训项目，科学谋划，积极筹备、认真落实，已顺利完成海南省十八个市县基层医疗机构人员50人次的集中授课（1周）和实地进修（7周）两个环节的任务。</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（2）项目完成质量</w:t>
      </w:r>
    </w:p>
    <w:p>
      <w:pPr>
        <w:widowControl/>
        <w:spacing w:line="578" w:lineRule="atLeast"/>
        <w:ind w:firstLine="66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住院医师培训</w:t>
      </w:r>
      <w:r>
        <w:rPr>
          <w:rFonts w:hint="eastAsia" w:cs="宋体" w:asciiTheme="minorEastAsia" w:hAnsiTheme="minorEastAsia" w:eastAsiaTheme="minorEastAsia"/>
          <w:kern w:val="0"/>
          <w:sz w:val="32"/>
          <w:szCs w:val="32"/>
          <w:highlight w:val="none"/>
        </w:rPr>
        <w:t>、出生缺陷防治人才培训已完成2020年既定任务，儿科医师转岗培训项目现仍处实施阶段</w:t>
      </w:r>
      <w:r>
        <w:rPr>
          <w:rFonts w:hint="eastAsia" w:cs="宋体" w:asciiTheme="minorEastAsia" w:hAnsiTheme="minorEastAsia" w:eastAsiaTheme="minorEastAsia"/>
          <w:color w:val="000000"/>
          <w:kern w:val="0"/>
          <w:sz w:val="32"/>
          <w:szCs w:val="32"/>
          <w:highlight w:val="none"/>
        </w:rPr>
        <w:t>未能按计划完成培训，</w:t>
      </w:r>
      <w:r>
        <w:rPr>
          <w:rFonts w:hint="eastAsia" w:ascii="宋体" w:hAnsi="宋体" w:cs="宋体"/>
          <w:color w:val="000000"/>
          <w:kern w:val="0"/>
          <w:sz w:val="32"/>
          <w:szCs w:val="32"/>
          <w:highlight w:val="none"/>
        </w:rPr>
        <w:t>中医药人才</w:t>
      </w:r>
      <w:r>
        <w:rPr>
          <w:rFonts w:hint="eastAsia" w:cs="宋体" w:asciiTheme="minorEastAsia" w:hAnsiTheme="minorEastAsia" w:eastAsiaTheme="minorEastAsia"/>
          <w:kern w:val="0"/>
          <w:sz w:val="32"/>
          <w:szCs w:val="32"/>
          <w:highlight w:val="none"/>
        </w:rPr>
        <w:t>严格完成文件规定的项目任务，参加所有16个游学培训基地考核结果均为优秀。海南省出省缺陷防治人才培训项目，</w:t>
      </w:r>
      <w:r>
        <w:rPr>
          <w:rFonts w:hint="eastAsia" w:cs="宋体" w:asciiTheme="minorEastAsia" w:hAnsiTheme="minorEastAsia" w:eastAsiaTheme="minorEastAsia"/>
          <w:color w:val="000000"/>
          <w:kern w:val="0"/>
          <w:sz w:val="32"/>
          <w:szCs w:val="32"/>
          <w:highlight w:val="none"/>
        </w:rPr>
        <w:t>取得了显著成效。</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3. 项目的</w:t>
      </w:r>
      <w:r>
        <w:rPr>
          <w:rFonts w:hint="eastAsia" w:cs="宋体" w:asciiTheme="minorEastAsia" w:hAnsiTheme="minorEastAsia" w:eastAsiaTheme="minorEastAsia"/>
          <w:kern w:val="0"/>
          <w:sz w:val="32"/>
          <w:szCs w:val="32"/>
          <w:highlight w:val="none"/>
        </w:rPr>
        <w:t>效益性分析</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（1）项目预期目标完成程度</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住院医师规范化培训学员生活补助发放目标已完成预期100%，出生缺陷防治人才培训项目培养人员预期目标完成100%；中医药人次培养项目目标预期完成100%。儿科医师转岗培训项目现实施阶段，预期于2021年完成。</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（2）项目实施对经济和社会的影响</w:t>
      </w:r>
    </w:p>
    <w:p>
      <w:pPr>
        <w:widowControl/>
        <w:spacing w:line="578" w:lineRule="atLeast"/>
        <w:ind w:firstLine="64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该项目实施有力加强了全国中药特色技术的传承与推广工作，做好了中药的传承精华、守正创新工作，为推动中药事业发展发挥了积极作用。为健康中国、健康海南、保障海南人民群众健康事业做出了积极贡献，特别是利用中药特色技术服务海南省人民群众、加快中药特色技术在海南传承发展，发挥了积极作用。</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4. 项目的可持续性分析</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全国中药特色技术传承人才培训项目完成后，将继续开展中药特色技术传承推广工作。积极争取国家、省里及单位对中药传承事业的政策及资金支持，开展更多的中药传承与推广工作。项目完成后积极参与国内、省市、单位中药传承及发展工作。</w:t>
      </w:r>
    </w:p>
    <w:p>
      <w:pPr>
        <w:widowControl/>
        <w:spacing w:line="578" w:lineRule="atLeast"/>
        <w:ind w:firstLine="64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我单位将制定鼓励与发展中药传承与发展的政策制度，安排专项资金，坚决保障中药特色技术传承人才完成项目任务后，创造良好的工作平台环境，进一步专职开展中药传承工作，鼓励中药传承人才继续加强全国、省内中药传承学习与交流工作，支持中药传承人才在单位开展传、帮、带工作。</w:t>
      </w:r>
    </w:p>
    <w:p>
      <w:pPr>
        <w:widowControl/>
        <w:spacing w:line="578" w:lineRule="atLeast"/>
        <w:ind w:firstLine="63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color w:val="000000"/>
          <w:kern w:val="0"/>
          <w:sz w:val="32"/>
          <w:szCs w:val="32"/>
          <w:highlight w:val="none"/>
        </w:rPr>
        <w:t>（二）项目绩效目标未完成原因分析</w:t>
      </w:r>
    </w:p>
    <w:p>
      <w:pPr>
        <w:widowControl/>
        <w:spacing w:line="578" w:lineRule="atLeast"/>
        <w:ind w:firstLine="630"/>
        <w:rPr>
          <w:rFonts w:cs="宋体" w:asciiTheme="minorEastAsia" w:hAnsiTheme="minorEastAsia" w:eastAsiaTheme="minorEastAsia"/>
          <w:color w:val="000000"/>
          <w:kern w:val="0"/>
          <w:sz w:val="32"/>
          <w:szCs w:val="32"/>
          <w:highlight w:val="none"/>
        </w:rPr>
      </w:pPr>
      <w:r>
        <w:rPr>
          <w:rFonts w:hint="eastAsia" w:cs="宋体" w:asciiTheme="minorEastAsia" w:hAnsiTheme="minorEastAsia" w:eastAsiaTheme="minorEastAsia"/>
          <w:kern w:val="0"/>
          <w:sz w:val="32"/>
          <w:szCs w:val="32"/>
          <w:highlight w:val="none"/>
        </w:rPr>
        <w:t>儿科医师转岗培训项目现仍处实施阶段</w:t>
      </w:r>
      <w:r>
        <w:rPr>
          <w:rFonts w:hint="eastAsia" w:cs="宋体" w:asciiTheme="minorEastAsia" w:hAnsiTheme="minorEastAsia" w:eastAsiaTheme="minorEastAsia"/>
          <w:color w:val="000000"/>
          <w:kern w:val="0"/>
          <w:sz w:val="32"/>
          <w:szCs w:val="32"/>
          <w:highlight w:val="none"/>
        </w:rPr>
        <w:t>，</w:t>
      </w:r>
      <w:r>
        <w:rPr>
          <w:rFonts w:hint="eastAsia" w:cs="宋体" w:asciiTheme="minorEastAsia" w:hAnsiTheme="minorEastAsia" w:eastAsiaTheme="minorEastAsia"/>
          <w:kern w:val="0"/>
          <w:sz w:val="32"/>
          <w:szCs w:val="32"/>
          <w:highlight w:val="none"/>
        </w:rPr>
        <w:t>预期于2021年完成。中医人才项目</w:t>
      </w:r>
      <w:r>
        <w:rPr>
          <w:rFonts w:hint="eastAsia" w:cs="宋体" w:asciiTheme="minorEastAsia" w:hAnsiTheme="minorEastAsia" w:eastAsiaTheme="minorEastAsia"/>
          <w:color w:val="000000"/>
          <w:kern w:val="0"/>
          <w:sz w:val="32"/>
          <w:szCs w:val="32"/>
          <w:highlight w:val="none"/>
        </w:rPr>
        <w:t>2020年由于新冠疫情影响，项目延后，预计2021年6月底前全部结束。</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五、综合评价情况及评价结论</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通过组织系统化、规范化培训，学员们有了更深层次的了解和认识，为基层医疗卫生机构培养了一批“明白人”和“实干家”。普遍感到，内容耳目一新，针对性实用性强，培训方式新颖、过程扎实，经费和师资保障得力，培训收获大，满意度较高，达到了开阔眼界、全面提升服务能力和业务水平的目的。</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目前项目正在积极实施中，接近尾声，将于预期规定时间内圆满完成。项目总体开展顺利，各项指标高质量完成，各阶段步骤均顺利完成。</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rPr>
        <w:t>六、主要经验及做法、存在的问题和建议</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lang w:eastAsia="zh-CN"/>
        </w:rPr>
        <w:t>（</w:t>
      </w:r>
      <w:r>
        <w:rPr>
          <w:rFonts w:hint="eastAsia" w:cs="宋体" w:asciiTheme="minorEastAsia" w:hAnsiTheme="minorEastAsia" w:eastAsiaTheme="minorEastAsia"/>
          <w:kern w:val="0"/>
          <w:sz w:val="32"/>
          <w:szCs w:val="32"/>
          <w:highlight w:val="none"/>
          <w:lang w:val="en-US" w:eastAsia="zh-CN"/>
        </w:rPr>
        <w:t>一</w:t>
      </w:r>
      <w:r>
        <w:rPr>
          <w:rFonts w:hint="eastAsia" w:cs="宋体" w:asciiTheme="minorEastAsia" w:hAnsiTheme="minorEastAsia" w:eastAsiaTheme="minorEastAsia"/>
          <w:kern w:val="0"/>
          <w:sz w:val="32"/>
          <w:szCs w:val="32"/>
          <w:highlight w:val="none"/>
          <w:lang w:eastAsia="zh-CN"/>
        </w:rPr>
        <w:t>）</w:t>
      </w:r>
      <w:r>
        <w:rPr>
          <w:rFonts w:hint="eastAsia" w:cs="宋体" w:asciiTheme="minorEastAsia" w:hAnsiTheme="minorEastAsia" w:eastAsiaTheme="minorEastAsia"/>
          <w:kern w:val="0"/>
          <w:sz w:val="32"/>
          <w:szCs w:val="32"/>
          <w:highlight w:val="none"/>
        </w:rPr>
        <w:t>主要经验及做法：全国中药特色技术传承人才培训项目顺利实施及高质量完成，取决于国家中医药管理局及海南省中医药管理局正确领导，得益于海南省妇女儿童医学中心党委书记及院长大力支持，严格按照国家中医药管理局有关文件要求执行，对项目培养人才进行全方位保障工作，培养对象坚决克服工学矛盾及重重困难，勤奋刻苦，一丝不苟按照国家规定开展中药传承相关工作，高质量地完成了各项任务目标。</w:t>
      </w:r>
    </w:p>
    <w:p>
      <w:pPr>
        <w:widowControl/>
        <w:spacing w:line="578" w:lineRule="atLeast"/>
        <w:ind w:firstLine="63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lang w:eastAsia="zh-CN"/>
        </w:rPr>
        <w:t>（</w:t>
      </w:r>
      <w:r>
        <w:rPr>
          <w:rFonts w:hint="eastAsia" w:cs="宋体" w:asciiTheme="minorEastAsia" w:hAnsiTheme="minorEastAsia" w:eastAsiaTheme="minorEastAsia"/>
          <w:kern w:val="0"/>
          <w:sz w:val="32"/>
          <w:szCs w:val="32"/>
          <w:highlight w:val="none"/>
          <w:lang w:val="en-US" w:eastAsia="zh-CN"/>
        </w:rPr>
        <w:t>二</w:t>
      </w:r>
      <w:r>
        <w:rPr>
          <w:rFonts w:hint="eastAsia" w:cs="宋体" w:asciiTheme="minorEastAsia" w:hAnsiTheme="minorEastAsia" w:eastAsiaTheme="minorEastAsia"/>
          <w:kern w:val="0"/>
          <w:sz w:val="32"/>
          <w:szCs w:val="32"/>
          <w:highlight w:val="none"/>
          <w:lang w:eastAsia="zh-CN"/>
        </w:rPr>
        <w:t>）</w:t>
      </w:r>
      <w:r>
        <w:rPr>
          <w:rFonts w:hint="eastAsia" w:cs="宋体" w:asciiTheme="minorEastAsia" w:hAnsiTheme="minorEastAsia" w:eastAsiaTheme="minorEastAsia"/>
          <w:kern w:val="0"/>
          <w:sz w:val="32"/>
          <w:szCs w:val="32"/>
          <w:highlight w:val="none"/>
        </w:rPr>
        <w:t>存在的问题：</w:t>
      </w:r>
    </w:p>
    <w:p>
      <w:pPr>
        <w:ind w:firstLine="640" w:firstLineChars="200"/>
        <w:rPr>
          <w:rFonts w:hint="eastAsia"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lang w:val="en-US" w:eastAsia="zh-CN"/>
        </w:rPr>
        <w:t>1.</w:t>
      </w:r>
      <w:r>
        <w:rPr>
          <w:rFonts w:hint="eastAsia" w:cs="宋体" w:asciiTheme="minorEastAsia" w:hAnsiTheme="minorEastAsia" w:eastAsiaTheme="minorEastAsia"/>
          <w:kern w:val="0"/>
          <w:sz w:val="32"/>
          <w:szCs w:val="32"/>
          <w:highlight w:val="none"/>
        </w:rPr>
        <w:t>问题由于疫情影响，项目实施时间仓促。海南省地处偏远，交通成本昂贵，培养对象经费仅能完成基本任务，更多中药传承及推广工作难以开展。</w:t>
      </w:r>
      <w:r>
        <w:rPr>
          <w:rFonts w:hint="eastAsia" w:cs="宋体" w:asciiTheme="minorEastAsia" w:hAnsiTheme="minorEastAsia" w:eastAsiaTheme="minorEastAsia"/>
          <w:color w:val="000000"/>
          <w:kern w:val="0"/>
          <w:sz w:val="32"/>
          <w:szCs w:val="32"/>
          <w:highlight w:val="none"/>
        </w:rPr>
        <w:t>全国中药特色技术传承人才培训项目</w:t>
      </w:r>
      <w:r>
        <w:rPr>
          <w:rFonts w:hint="eastAsia" w:cs="宋体" w:asciiTheme="minorEastAsia" w:hAnsiTheme="minorEastAsia" w:eastAsiaTheme="minorEastAsia"/>
          <w:kern w:val="0"/>
          <w:sz w:val="32"/>
          <w:szCs w:val="32"/>
          <w:highlight w:val="none"/>
        </w:rPr>
        <w:t>将在规定时间内圆满完成</w:t>
      </w:r>
      <w:r>
        <w:rPr>
          <w:rFonts w:hint="eastAsia" w:cs="宋体" w:asciiTheme="minorEastAsia" w:hAnsiTheme="minorEastAsia" w:eastAsiaTheme="minorEastAsia"/>
          <w:kern w:val="0"/>
          <w:sz w:val="32"/>
          <w:szCs w:val="32"/>
          <w:highlight w:val="none"/>
          <w:lang w:eastAsia="zh-CN"/>
        </w:rPr>
        <w:t>，</w:t>
      </w:r>
      <w:r>
        <w:rPr>
          <w:rFonts w:hint="eastAsia" w:cs="宋体" w:asciiTheme="minorEastAsia" w:hAnsiTheme="minorEastAsia" w:eastAsiaTheme="minorEastAsia"/>
          <w:kern w:val="0"/>
          <w:sz w:val="32"/>
          <w:szCs w:val="32"/>
          <w:highlight w:val="none"/>
        </w:rPr>
        <w:t>2021年</w:t>
      </w:r>
      <w:r>
        <w:rPr>
          <w:rFonts w:hint="eastAsia" w:cs="宋体" w:asciiTheme="minorEastAsia" w:hAnsiTheme="minorEastAsia" w:eastAsiaTheme="minorEastAsia"/>
          <w:kern w:val="0"/>
          <w:sz w:val="32"/>
          <w:szCs w:val="32"/>
          <w:highlight w:val="none"/>
          <w:lang w:val="en-US" w:eastAsia="zh-CN"/>
        </w:rPr>
        <w:t>8</w:t>
      </w:r>
      <w:r>
        <w:rPr>
          <w:rFonts w:hint="eastAsia" w:cs="宋体" w:asciiTheme="minorEastAsia" w:hAnsiTheme="minorEastAsia" w:eastAsiaTheme="minorEastAsia"/>
          <w:kern w:val="0"/>
          <w:sz w:val="32"/>
          <w:szCs w:val="32"/>
          <w:highlight w:val="none"/>
        </w:rPr>
        <w:t>月底前完成支出工作。</w:t>
      </w:r>
    </w:p>
    <w:p>
      <w:pPr>
        <w:ind w:firstLine="640" w:firstLineChars="20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lang w:val="en-US" w:eastAsia="zh-CN"/>
        </w:rPr>
        <w:t>2.</w:t>
      </w:r>
      <w:r>
        <w:rPr>
          <w:rFonts w:hint="eastAsia" w:cs="宋体" w:asciiTheme="minorEastAsia" w:hAnsiTheme="minorEastAsia" w:eastAsiaTheme="minorEastAsia"/>
          <w:kern w:val="0"/>
          <w:sz w:val="32"/>
          <w:szCs w:val="32"/>
          <w:highlight w:val="none"/>
        </w:rPr>
        <w:t>各市县</w:t>
      </w:r>
      <w:r>
        <w:rPr>
          <w:rFonts w:hint="eastAsia" w:cs="宋体" w:asciiTheme="minorEastAsia" w:hAnsiTheme="minorEastAsia" w:eastAsiaTheme="minorEastAsia"/>
          <w:kern w:val="0"/>
          <w:sz w:val="32"/>
          <w:szCs w:val="32"/>
          <w:highlight w:val="none"/>
          <w:lang w:eastAsia="zh-CN"/>
        </w:rPr>
        <w:t>卫生健康委</w:t>
      </w:r>
      <w:r>
        <w:rPr>
          <w:rFonts w:hint="eastAsia" w:cs="宋体" w:asciiTheme="minorEastAsia" w:hAnsiTheme="minorEastAsia" w:eastAsiaTheme="minorEastAsia"/>
          <w:kern w:val="0"/>
          <w:sz w:val="32"/>
          <w:szCs w:val="32"/>
          <w:highlight w:val="none"/>
        </w:rPr>
        <w:t>对项目培训重视度不够，选派学员层次不同与培训专业方向不一致；</w:t>
      </w:r>
    </w:p>
    <w:p>
      <w:pPr>
        <w:ind w:firstLine="640" w:firstLineChars="200"/>
        <w:rPr>
          <w:rFonts w:cs="宋体" w:asciiTheme="minorEastAsia" w:hAnsiTheme="minorEastAsia" w:eastAsiaTheme="minorEastAsia"/>
          <w:kern w:val="0"/>
          <w:sz w:val="32"/>
          <w:szCs w:val="32"/>
          <w:highlight w:val="none"/>
        </w:rPr>
      </w:pPr>
      <w:r>
        <w:rPr>
          <w:rFonts w:hint="eastAsia" w:cs="宋体" w:asciiTheme="minorEastAsia" w:hAnsiTheme="minorEastAsia" w:eastAsiaTheme="minorEastAsia"/>
          <w:kern w:val="0"/>
          <w:sz w:val="32"/>
          <w:szCs w:val="32"/>
          <w:highlight w:val="none"/>
          <w:lang w:val="en-US" w:eastAsia="zh-CN"/>
        </w:rPr>
        <w:t>3.</w:t>
      </w:r>
      <w:r>
        <w:rPr>
          <w:rFonts w:hint="eastAsia" w:cs="宋体" w:asciiTheme="minorEastAsia" w:hAnsiTheme="minorEastAsia" w:eastAsiaTheme="minorEastAsia"/>
          <w:kern w:val="0"/>
          <w:sz w:val="32"/>
          <w:szCs w:val="32"/>
          <w:highlight w:val="none"/>
        </w:rPr>
        <w:t>培训学员缺乏学习主动性，学习目的不明确；</w:t>
      </w:r>
    </w:p>
    <w:p>
      <w:pPr>
        <w:ind w:firstLine="640" w:firstLineChars="200"/>
        <w:rPr>
          <w:rFonts w:hint="eastAsia" w:cs="宋体" w:asciiTheme="minorEastAsia" w:hAnsiTheme="minorEastAsia" w:eastAsiaTheme="minorEastAsia"/>
          <w:kern w:val="0"/>
          <w:sz w:val="32"/>
          <w:szCs w:val="32"/>
          <w:highlight w:val="none"/>
          <w:lang w:eastAsia="zh-CN"/>
        </w:rPr>
      </w:pPr>
      <w:r>
        <w:rPr>
          <w:rFonts w:hint="eastAsia" w:cs="宋体" w:asciiTheme="minorEastAsia" w:hAnsiTheme="minorEastAsia" w:eastAsiaTheme="minorEastAsia"/>
          <w:kern w:val="0"/>
          <w:sz w:val="32"/>
          <w:szCs w:val="32"/>
          <w:highlight w:val="none"/>
          <w:lang w:val="en-US" w:eastAsia="zh-CN"/>
        </w:rPr>
        <w:t>4.</w:t>
      </w:r>
      <w:r>
        <w:rPr>
          <w:rFonts w:hint="eastAsia" w:cs="宋体" w:asciiTheme="minorEastAsia" w:hAnsiTheme="minorEastAsia" w:eastAsiaTheme="minorEastAsia"/>
          <w:kern w:val="0"/>
          <w:sz w:val="32"/>
          <w:szCs w:val="32"/>
          <w:highlight w:val="none"/>
        </w:rPr>
        <w:t>项目经费有限，项目人均培训费用低</w:t>
      </w:r>
      <w:r>
        <w:rPr>
          <w:rFonts w:hint="eastAsia" w:cs="宋体" w:asciiTheme="minorEastAsia" w:hAnsiTheme="minorEastAsia" w:eastAsiaTheme="minorEastAsia"/>
          <w:kern w:val="0"/>
          <w:sz w:val="32"/>
          <w:szCs w:val="32"/>
          <w:highlight w:val="none"/>
          <w:lang w:eastAsia="zh-CN"/>
        </w:rPr>
        <w:t>。</w:t>
      </w:r>
    </w:p>
    <w:p>
      <w:pPr>
        <w:widowControl/>
        <w:spacing w:line="578" w:lineRule="atLeast"/>
        <w:ind w:firstLine="640"/>
        <w:rPr>
          <w:rFonts w:cs="宋体" w:asciiTheme="minorEastAsia" w:hAnsiTheme="minorEastAsia" w:eastAsiaTheme="minorEastAsia"/>
          <w:kern w:val="0"/>
          <w:sz w:val="32"/>
          <w:szCs w:val="32"/>
        </w:rPr>
      </w:pPr>
    </w:p>
    <w:p>
      <w:pPr>
        <w:widowControl/>
        <w:spacing w:line="578" w:lineRule="atLeast"/>
        <w:ind w:left="885" w:hanging="885"/>
        <w:jc w:val="left"/>
        <w:rPr>
          <w:rFonts w:asciiTheme="minorEastAsia" w:hAnsiTheme="minorEastAsia" w:eastAsiaTheme="minorEastAsia"/>
          <w:sz w:val="32"/>
          <w:szCs w:val="32"/>
        </w:rPr>
      </w:pPr>
    </w:p>
    <w:p>
      <w:pPr>
        <w:rPr>
          <w:rFonts w:asciiTheme="minorEastAsia" w:hAnsiTheme="minorEastAsia" w:eastAsiaTheme="minorEastAsia"/>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5YjBiYmNmMWVhM2RkOWYwYmViNTM0Mzg5MmQ0ZDEifQ=="/>
  </w:docVars>
  <w:rsids>
    <w:rsidRoot w:val="00D1251B"/>
    <w:rsid w:val="00064E77"/>
    <w:rsid w:val="000657DE"/>
    <w:rsid w:val="000757B7"/>
    <w:rsid w:val="000D551D"/>
    <w:rsid w:val="000E493F"/>
    <w:rsid w:val="00120AB3"/>
    <w:rsid w:val="00132A78"/>
    <w:rsid w:val="0014605A"/>
    <w:rsid w:val="001F4C8A"/>
    <w:rsid w:val="002320BD"/>
    <w:rsid w:val="002F6346"/>
    <w:rsid w:val="00315253"/>
    <w:rsid w:val="00324121"/>
    <w:rsid w:val="003853CD"/>
    <w:rsid w:val="00387112"/>
    <w:rsid w:val="00394F94"/>
    <w:rsid w:val="003C6AFE"/>
    <w:rsid w:val="00412BF3"/>
    <w:rsid w:val="004174A1"/>
    <w:rsid w:val="00452FC0"/>
    <w:rsid w:val="004B47CF"/>
    <w:rsid w:val="004C37AD"/>
    <w:rsid w:val="004C6C7A"/>
    <w:rsid w:val="005035D8"/>
    <w:rsid w:val="00506C37"/>
    <w:rsid w:val="00554B8D"/>
    <w:rsid w:val="00581FAD"/>
    <w:rsid w:val="00613527"/>
    <w:rsid w:val="006257F1"/>
    <w:rsid w:val="00626822"/>
    <w:rsid w:val="006271C2"/>
    <w:rsid w:val="006A6FA7"/>
    <w:rsid w:val="006D3D58"/>
    <w:rsid w:val="00702A7C"/>
    <w:rsid w:val="00715757"/>
    <w:rsid w:val="00726F0E"/>
    <w:rsid w:val="00733A53"/>
    <w:rsid w:val="007F7CE6"/>
    <w:rsid w:val="008378D9"/>
    <w:rsid w:val="00850130"/>
    <w:rsid w:val="00853CF5"/>
    <w:rsid w:val="008807E9"/>
    <w:rsid w:val="00882BFB"/>
    <w:rsid w:val="00884CA8"/>
    <w:rsid w:val="008B7131"/>
    <w:rsid w:val="008D5070"/>
    <w:rsid w:val="008E0079"/>
    <w:rsid w:val="0094213A"/>
    <w:rsid w:val="009866F6"/>
    <w:rsid w:val="009B6DE0"/>
    <w:rsid w:val="00A30E2D"/>
    <w:rsid w:val="00A45658"/>
    <w:rsid w:val="00A5603E"/>
    <w:rsid w:val="00A83624"/>
    <w:rsid w:val="00A932C8"/>
    <w:rsid w:val="00AE014B"/>
    <w:rsid w:val="00AE288A"/>
    <w:rsid w:val="00B10C18"/>
    <w:rsid w:val="00B17AC4"/>
    <w:rsid w:val="00B257E2"/>
    <w:rsid w:val="00B93CE6"/>
    <w:rsid w:val="00B95399"/>
    <w:rsid w:val="00BA3642"/>
    <w:rsid w:val="00BE7C5E"/>
    <w:rsid w:val="00BF2E4F"/>
    <w:rsid w:val="00C12D31"/>
    <w:rsid w:val="00C15085"/>
    <w:rsid w:val="00C86C2C"/>
    <w:rsid w:val="00C97654"/>
    <w:rsid w:val="00CE755D"/>
    <w:rsid w:val="00CF7576"/>
    <w:rsid w:val="00D1251B"/>
    <w:rsid w:val="00D33A74"/>
    <w:rsid w:val="00D506FD"/>
    <w:rsid w:val="00D60A93"/>
    <w:rsid w:val="00D950EB"/>
    <w:rsid w:val="00DD4462"/>
    <w:rsid w:val="00E63D24"/>
    <w:rsid w:val="00E64B33"/>
    <w:rsid w:val="00E708DC"/>
    <w:rsid w:val="00E86C81"/>
    <w:rsid w:val="00E93A63"/>
    <w:rsid w:val="00EC3A9C"/>
    <w:rsid w:val="00F07BC8"/>
    <w:rsid w:val="00F54497"/>
    <w:rsid w:val="00F56D9F"/>
    <w:rsid w:val="00FF1716"/>
    <w:rsid w:val="057C0A38"/>
    <w:rsid w:val="0A02072A"/>
    <w:rsid w:val="11065359"/>
    <w:rsid w:val="130463D5"/>
    <w:rsid w:val="136F55EC"/>
    <w:rsid w:val="13E2303A"/>
    <w:rsid w:val="1679634B"/>
    <w:rsid w:val="242B67C6"/>
    <w:rsid w:val="29F34B90"/>
    <w:rsid w:val="3E5229DF"/>
    <w:rsid w:val="40C37DFF"/>
    <w:rsid w:val="44CD75B1"/>
    <w:rsid w:val="48CA591A"/>
    <w:rsid w:val="503C6095"/>
    <w:rsid w:val="52F340B0"/>
    <w:rsid w:val="62E40DFC"/>
    <w:rsid w:val="715E6F55"/>
    <w:rsid w:val="76E11A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3526</Words>
  <Characters>3734</Characters>
  <Lines>30</Lines>
  <Paragraphs>8</Paragraphs>
  <TotalTime>3</TotalTime>
  <ScaleCrop>false</ScaleCrop>
  <LinksUpToDate>false</LinksUpToDate>
  <CharactersWithSpaces>3854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2021-05-20T00:34:00Z</dcterms:created>
  <dc:creator>微软用户</dc:creator>
  <cp:lastModifiedBy>Lnini</cp:lastModifiedBy>
  <dcterms:modified xsi:type="dcterms:W3CDTF">2024-06-11T09:22:48Z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D0161D59B29D4DD4A7328F9A622C7E2C</vt:lpwstr>
  </property>
</Properties>
</file>