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财政支出项目绩效评价报告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评价类型：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实施过程评价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</w:t>
      </w:r>
      <w:r>
        <w:rPr>
          <w:rFonts w:ascii="宋体" w:hAnsi="宋体"/>
          <w:szCs w:val="21"/>
        </w:rPr>
        <w:t>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完成结果评价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项目名称：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人才引进和培养                                    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项目单位：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海南省妇女儿童医学中心                                    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主管部门：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海南省卫生健康委员会                  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评价时间： 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2021年 4月20日至2021年5月15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组织方式：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财政部门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主管部门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>
        <w:rPr>
          <w:rFonts w:ascii="宋体" w:hAnsi="宋体"/>
          <w:szCs w:val="21"/>
        </w:rPr>
        <w:t>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项目单位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评价机构：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中介机构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pacing w:val="-20"/>
          <w:kern w:val="0"/>
          <w:sz w:val="32"/>
          <w:szCs w:val="32"/>
          <w:u w:val="single"/>
        </w:rPr>
        <w:t>□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专家组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宋体" w:hAnsi="宋体"/>
          <w:szCs w:val="21"/>
        </w:rPr>
        <w:t>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项目单位评价组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评价单位（盖章）：</w:t>
      </w:r>
    </w:p>
    <w:p w:rsidR="000B5EDC" w:rsidRDefault="000B5EDC" w:rsidP="000B5EDC">
      <w:pPr>
        <w:widowControl/>
        <w:spacing w:line="578" w:lineRule="atLeast"/>
        <w:ind w:left="1600" w:hanging="160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上报时间：</w:t>
      </w:r>
    </w:p>
    <w:p w:rsidR="000B5EDC" w:rsidRDefault="000B5EDC" w:rsidP="000B5EDC">
      <w:pPr>
        <w:widowControl/>
        <w:spacing w:line="578" w:lineRule="atLeas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lastRenderedPageBreak/>
        <w:t>项目基本信息表</w:t>
      </w:r>
    </w:p>
    <w:p w:rsidR="000B5EDC" w:rsidRDefault="000B5EDC" w:rsidP="000B5EDC">
      <w:pPr>
        <w:widowControl/>
        <w:spacing w:line="578" w:lineRule="atLeast"/>
        <w:jc w:val="center"/>
        <w:rPr>
          <w:rFonts w:ascii="仿宋_GB2312" w:eastAsia="仿宋_GB2312" w:hAnsi="宋体" w:cs="宋体" w:hint="eastAsia"/>
          <w:b/>
          <w:bCs/>
          <w:kern w:val="0"/>
          <w:sz w:val="44"/>
          <w:szCs w:val="44"/>
        </w:rPr>
      </w:pPr>
      <w:r>
        <w:rPr>
          <w:rFonts w:ascii="仿宋_GB2312" w:eastAsia="仿宋_GB2312" w:hAnsi="宋体" w:cs="宋体" w:hint="eastAsia"/>
          <w:b/>
          <w:bCs/>
          <w:kern w:val="0"/>
          <w:sz w:val="44"/>
          <w:szCs w:val="44"/>
        </w:rPr>
        <w:t xml:space="preserve"> </w:t>
      </w:r>
    </w:p>
    <w:tbl>
      <w:tblPr>
        <w:tblW w:w="9427" w:type="dxa"/>
        <w:jc w:val="center"/>
        <w:tblLayout w:type="fixed"/>
        <w:tblCellMar>
          <w:left w:w="85" w:type="dxa"/>
          <w:right w:w="85" w:type="dxa"/>
        </w:tblCellMar>
        <w:tblLook w:val="0000"/>
      </w:tblPr>
      <w:tblGrid>
        <w:gridCol w:w="22"/>
        <w:gridCol w:w="1255"/>
        <w:gridCol w:w="210"/>
        <w:gridCol w:w="257"/>
        <w:gridCol w:w="398"/>
        <w:gridCol w:w="457"/>
        <w:gridCol w:w="336"/>
        <w:gridCol w:w="434"/>
        <w:gridCol w:w="24"/>
        <w:gridCol w:w="753"/>
        <w:gridCol w:w="125"/>
        <w:gridCol w:w="689"/>
        <w:gridCol w:w="435"/>
        <w:gridCol w:w="385"/>
        <w:gridCol w:w="398"/>
        <w:gridCol w:w="343"/>
        <w:gridCol w:w="23"/>
        <w:gridCol w:w="512"/>
        <w:gridCol w:w="1714"/>
        <w:gridCol w:w="13"/>
        <w:gridCol w:w="190"/>
        <w:gridCol w:w="454"/>
      </w:tblGrid>
      <w:tr w:rsidR="000B5EDC" w:rsidTr="008D251F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87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一、项目基本情况</w:t>
            </w:r>
          </w:p>
        </w:tc>
      </w:tr>
      <w:tr w:rsidR="000B5EDC" w:rsidTr="008D251F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项目实施单位</w:t>
            </w: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海南省妇女儿童医学中心</w:t>
            </w: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海南省卫生健康委员会</w:t>
            </w:r>
          </w:p>
        </w:tc>
      </w:tr>
      <w:tr w:rsidR="000B5EDC" w:rsidTr="008D251F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6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林云燕</w:t>
            </w: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18608930819</w:t>
            </w:r>
          </w:p>
        </w:tc>
      </w:tr>
      <w:tr w:rsidR="000B5EDC" w:rsidTr="008D251F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443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海口市龙昆南路15号</w:t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邮编</w:t>
            </w:r>
          </w:p>
        </w:tc>
        <w:tc>
          <w:tcPr>
            <w:tcW w:w="1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570206</w:t>
            </w:r>
          </w:p>
        </w:tc>
      </w:tr>
      <w:tr w:rsidR="000B5EDC" w:rsidTr="008D251F">
        <w:trPr>
          <w:gridBefore w:val="1"/>
          <w:gridAfter w:val="3"/>
          <w:wBefore w:w="22" w:type="dxa"/>
          <w:wAfter w:w="657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项目类型</w:t>
            </w:r>
          </w:p>
        </w:tc>
        <w:tc>
          <w:tcPr>
            <w:tcW w:w="7026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经常性项目（ </w:t>
            </w:r>
            <w:r>
              <w:rPr>
                <w:rFonts w:ascii="宋体" w:hAnsi="宋体"/>
                <w:szCs w:val="21"/>
              </w:rPr>
              <w:t>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）       一次性项目（  ）</w:t>
            </w:r>
          </w:p>
        </w:tc>
      </w:tr>
      <w:tr w:rsidR="000B5EDC" w:rsidTr="008D251F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计划投资额</w:t>
            </w:r>
          </w:p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278</w:t>
            </w: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实际到位资金（万元）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278</w:t>
            </w:r>
          </w:p>
        </w:tc>
        <w:tc>
          <w:tcPr>
            <w:tcW w:w="15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实际使用情况（万元）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111.12</w:t>
            </w:r>
          </w:p>
        </w:tc>
      </w:tr>
      <w:tr w:rsidR="000B5EDC" w:rsidTr="008D251F">
        <w:trPr>
          <w:gridBefore w:val="1"/>
          <w:gridAfter w:val="2"/>
          <w:wBefore w:w="22" w:type="dxa"/>
          <w:wAfter w:w="644" w:type="dxa"/>
          <w:trHeight w:val="9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其中：中央财政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其中：中央财政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B5EDC" w:rsidTr="008D251F">
        <w:trPr>
          <w:gridBefore w:val="1"/>
          <w:gridAfter w:val="2"/>
          <w:wBefore w:w="22" w:type="dxa"/>
          <w:wAfter w:w="644" w:type="dxa"/>
          <w:trHeight w:val="9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省财政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278</w:t>
            </w: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省财政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278</w:t>
            </w:r>
          </w:p>
        </w:tc>
        <w:tc>
          <w:tcPr>
            <w:tcW w:w="15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B5EDC" w:rsidTr="008D251F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市县财政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市县财政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B5EDC" w:rsidTr="008D251F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1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B5EDC" w:rsidTr="008D251F">
        <w:trPr>
          <w:gridBefore w:val="1"/>
          <w:gridAfter w:val="2"/>
          <w:wBefore w:w="22" w:type="dxa"/>
          <w:wAfter w:w="644" w:type="dxa"/>
          <w:trHeight w:val="20"/>
          <w:jc w:val="center"/>
        </w:trPr>
        <w:tc>
          <w:tcPr>
            <w:tcW w:w="876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spacing w:line="2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二、绩效评价指标评分</w:t>
            </w: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项目决策</w:t>
            </w:r>
          </w:p>
        </w:tc>
        <w:tc>
          <w:tcPr>
            <w:tcW w:w="86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项目目标</w:t>
            </w:r>
            <w:r>
              <w:rPr>
                <w:rFonts w:ascii="宋体" w:hAnsi="宋体" w:cs="宋体"/>
                <w:noProof/>
                <w:color w:val="000000"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1" name="图片 5" descr="wps89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 descr="wps89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color w:val="000000"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2" name="图片 6" descr="wps89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6" descr="wps89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color w:val="000000"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3" name="图片 7" descr="wps89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" descr="wps89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noProof/>
                <w:color w:val="000000"/>
                <w:kern w:val="0"/>
                <w:szCs w:val="21"/>
              </w:rPr>
              <w:drawing>
                <wp:inline distT="0" distB="0" distL="0" distR="0">
                  <wp:extent cx="15240" cy="15240"/>
                  <wp:effectExtent l="0" t="0" r="0" b="0"/>
                  <wp:docPr id="4" name="图片 8" descr="wps8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 descr="wps8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目标内容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决策过程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决策依据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决策程序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资金分配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分配办法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分配结果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</w:t>
            </w:r>
          </w:p>
        </w:tc>
        <w:tc>
          <w:tcPr>
            <w:tcW w:w="86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资金到位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到位率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到位时效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资金管理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资金使用</w:t>
            </w: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财务管理</w:t>
            </w: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组织实施</w:t>
            </w: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组织机构</w:t>
            </w: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管理制度</w:t>
            </w: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1196"/>
          <w:jc w:val="center"/>
        </w:trPr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规培目的达成率</w:t>
            </w: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4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评价等次</w:t>
            </w:r>
          </w:p>
        </w:tc>
        <w:tc>
          <w:tcPr>
            <w:tcW w:w="463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仿宋" w:hint="eastAsia"/>
                <w:color w:val="000000"/>
                <w:szCs w:val="32"/>
              </w:rPr>
              <w:t>中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87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三、评价人员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24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   位</w:t>
            </w:r>
          </w:p>
        </w:tc>
        <w:tc>
          <w:tcPr>
            <w:tcW w:w="11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项目评分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签 字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林云燕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人事部主任</w:t>
            </w:r>
          </w:p>
        </w:tc>
        <w:tc>
          <w:tcPr>
            <w:tcW w:w="24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海南省妇女儿童医学中心</w:t>
            </w:r>
          </w:p>
        </w:tc>
        <w:tc>
          <w:tcPr>
            <w:tcW w:w="11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莫少伟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教学科主任</w:t>
            </w:r>
          </w:p>
        </w:tc>
        <w:tc>
          <w:tcPr>
            <w:tcW w:w="24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海南省妇女儿童医学中心</w:t>
            </w:r>
          </w:p>
        </w:tc>
        <w:tc>
          <w:tcPr>
            <w:tcW w:w="11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李碧蓉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财务部主任</w:t>
            </w:r>
          </w:p>
        </w:tc>
        <w:tc>
          <w:tcPr>
            <w:tcW w:w="24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海南省妇女儿童医学中心</w:t>
            </w:r>
          </w:p>
        </w:tc>
        <w:tc>
          <w:tcPr>
            <w:tcW w:w="11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C2E75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平均得分</w:t>
            </w:r>
          </w:p>
        </w:tc>
        <w:tc>
          <w:tcPr>
            <w:tcW w:w="2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0B5EDC" w:rsidTr="008D251F">
        <w:trPr>
          <w:trHeight w:val="20"/>
          <w:jc w:val="center"/>
        </w:trPr>
        <w:tc>
          <w:tcPr>
            <w:tcW w:w="87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0B5EDC" w:rsidRDefault="000B5EDC" w:rsidP="000B5EDC">
            <w:pPr>
              <w:widowControl/>
              <w:spacing w:line="578" w:lineRule="atLeas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0B5EDC" w:rsidRDefault="000B5EDC" w:rsidP="000B5EDC">
            <w:pPr>
              <w:widowControl/>
              <w:spacing w:line="578" w:lineRule="atLeas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0B5EDC" w:rsidRDefault="000B5EDC" w:rsidP="008D251F">
            <w:pPr>
              <w:widowControl/>
              <w:spacing w:line="578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评价工作组组长（签字并单位盖章）：</w:t>
            </w:r>
          </w:p>
          <w:p w:rsidR="000B5EDC" w:rsidRDefault="000B5EDC" w:rsidP="008D251F">
            <w:pPr>
              <w:widowControl/>
              <w:spacing w:line="578" w:lineRule="atLeas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0B5EDC" w:rsidRDefault="000B5EDC" w:rsidP="008D251F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  月   日</w:t>
            </w:r>
          </w:p>
        </w:tc>
        <w:tc>
          <w:tcPr>
            <w:tcW w:w="190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rFonts w:ascii="宋体" w:hAnsi="宋体" w:cs="宋体"/>
                <w:kern w:val="0"/>
                <w:sz w:val="2"/>
              </w:rPr>
            </w:pPr>
          </w:p>
        </w:tc>
        <w:tc>
          <w:tcPr>
            <w:tcW w:w="454" w:type="dxa"/>
            <w:vAlign w:val="center"/>
          </w:tcPr>
          <w:p w:rsidR="000B5EDC" w:rsidRDefault="000B5EDC" w:rsidP="008D251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0B5EDC" w:rsidRDefault="000B5EDC" w:rsidP="000B5EDC">
      <w:pPr>
        <w:widowControl/>
        <w:spacing w:line="578" w:lineRule="atLeast"/>
        <w:jc w:val="left"/>
        <w:rPr>
          <w:rFonts w:ascii="黑体" w:eastAsia="黑体" w:hAnsi="宋体" w:cs="宋体" w:hint="eastAsia"/>
          <w:kern w:val="0"/>
          <w:sz w:val="32"/>
          <w:szCs w:val="32"/>
        </w:rPr>
      </w:pPr>
    </w:p>
    <w:p w:rsidR="000B5EDC" w:rsidRDefault="000B5EDC" w:rsidP="000B5EDC">
      <w:pPr>
        <w:widowControl/>
        <w:spacing w:line="578" w:lineRule="atLeast"/>
        <w:jc w:val="left"/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lastRenderedPageBreak/>
        <w:t xml:space="preserve"> </w:t>
      </w: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</w:p>
    <w:p w:rsidR="000B5EDC" w:rsidRDefault="000B5EDC" w:rsidP="000B5EDC">
      <w:pPr>
        <w:widowControl/>
        <w:spacing w:line="578" w:lineRule="atLeast"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财政支出项目绩效评价报告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一、项目概况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（一）项目基本性质、用途和主要内容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依据《海南省“妇幼双百”人才引进工作方案》（琼府办〔2017〕10号），为加快发展我省妇幼健康事业，解决基层妇幼健康人才紧缺问题，根据《海南省中长期人才发展规划纲要（2010-2020年）》等有关文件精神，结合我省实际，特组织开展海南省妇幼双百人才引进计划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通过实施人才引进，切实提高我省妇幼健康服务队伍整体素质，增强基层妇幼健康服务机构服务能力，促进优质医疗资源下沉，推动城乡基本公共服务均等化，保障全面两孩政策顺利实施，着力提高妇女儿童健康水平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公开招聘工作由省卫健委牵头负责，省编办、省财政厅、省人力资源和社会保障厅等相关部门配合，具体工作由海南省妇女儿童医学中心组织实施。</w:t>
      </w:r>
    </w:p>
    <w:p w:rsidR="000B5EDC" w:rsidRDefault="000B5EDC" w:rsidP="000B5EDC">
      <w:pPr>
        <w:widowControl/>
        <w:numPr>
          <w:ilvl w:val="0"/>
          <w:numId w:val="1"/>
        </w:numPr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项目绩效目标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从2017年起面向全国公开招聘儿科、妇产科医生各100名。截止到2020年12月底，已实际招录45人，其中妇产科26人、儿科19人。</w:t>
      </w:r>
    </w:p>
    <w:p w:rsidR="000B5EDC" w:rsidRDefault="000B5EDC" w:rsidP="000B5EDC">
      <w:pPr>
        <w:widowControl/>
        <w:spacing w:line="578" w:lineRule="atLeas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二、项目资金使用及管理情况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（一）项目资金到位情况分析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（包括财政资金、自筹资金等）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2020年年初预算下达财政资金278万元。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（二）项目资金使用情况分析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截止2020年12月31日，累计使用资金111.12万元，项目资金支付率40%。项目资金均按预算和规定用途使用，未出现虚列项目支出情况，不存在截留、挤占、挪用项目资金情况，也不存在超标准开支情况。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（三）项目资金管理情况分析</w:t>
      </w:r>
    </w:p>
    <w:p w:rsidR="000B5EDC" w:rsidRDefault="000B5EDC" w:rsidP="000B5EDC">
      <w:pPr>
        <w:spacing w:line="578" w:lineRule="exact"/>
        <w:ind w:firstLineChars="200" w:firstLine="640"/>
        <w:outlineLvl w:val="0"/>
        <w:rPr>
          <w:rFonts w:ascii="仿宋" w:eastAsia="仿宋" w:hAnsi="仿宋" w:hint="eastAsia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z w:val="32"/>
          <w:szCs w:val="32"/>
        </w:rPr>
        <w:t>该项目资金做到专款专用，在实施过程中按照指标文件用途执行。项目经费使用由单位财务部统一管理，支付按照项目管理制度执行。在项目资金管理上，我单位建立健全资金管理和费用支出制度，遵守《政府会计制度》</w:t>
      </w:r>
      <w:bookmarkStart w:id="0" w:name="_GoBack"/>
      <w:bookmarkEnd w:id="0"/>
      <w:r>
        <w:rPr>
          <w:rFonts w:ascii="仿宋" w:eastAsia="仿宋" w:hAnsi="仿宋" w:hint="eastAsia"/>
          <w:bCs/>
          <w:color w:val="000000"/>
          <w:sz w:val="32"/>
          <w:szCs w:val="32"/>
        </w:rPr>
        <w:t>《中华人民共和国会计法》《会计基础工作规范》《现金管理制度》《省妇幼保健院财务会计内控管理制度》并严格执行，会计核算规范；同时重大项目的安排和资金使用支出均严格按照“三重一大”集体决策制度和报告审批制度执行。支付款项按照合同和项目进度，由使用科室和保障部签名验收，分管项目的经办人和主任签名，经财务部和监察审计科审核后，报分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lastRenderedPageBreak/>
        <w:t>管院领导审批，最后提交院务会、党委会集体审议批准。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三、项目组织实施情况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（一）项目组织情况分析</w:t>
      </w:r>
    </w:p>
    <w:p w:rsidR="000B5EDC" w:rsidRDefault="000B5EDC" w:rsidP="000B5EDC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1D759A">
        <w:rPr>
          <w:rFonts w:ascii="仿宋" w:eastAsia="仿宋" w:hint="eastAsia"/>
          <w:sz w:val="32"/>
          <w:szCs w:val="32"/>
        </w:rPr>
        <w:t>2020年，组织开展2批“妇幼双百”人才招聘工作，招聘8人，实际录用4人。同</w:t>
      </w:r>
      <w:r>
        <w:rPr>
          <w:rFonts w:ascii="仿宋" w:eastAsia="仿宋" w:hint="eastAsia"/>
          <w:sz w:val="32"/>
          <w:szCs w:val="32"/>
        </w:rPr>
        <w:t>时加强“妇幼双百”人员的管理，积极配合省卫健委做好2020年规培期满的21名“妇幼双百”人才下市县工作安排，目前14人已到市县妇幼保健院报到上班。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（二）项目管理情况分析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严格按照《海南省“妇幼双百”人才引进工作方案》（琼府办〔2017〕10号）、《事业单位公开招聘人员暂行规定》等有关文件执行。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四、项目绩效情况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（一）项目绩效目标完成情况分析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 项目的经济性分析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（1）项目成本（预算）控制情况</w:t>
      </w:r>
    </w:p>
    <w:p w:rsidR="000B5EDC" w:rsidRDefault="000B5EDC" w:rsidP="000B5EDC">
      <w:pPr>
        <w:spacing w:line="578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严格控制项目成本，未出现超预算现象。</w:t>
      </w:r>
    </w:p>
    <w:p w:rsidR="000B5EDC" w:rsidRDefault="000B5EDC" w:rsidP="000B5EDC">
      <w:pPr>
        <w:widowControl/>
        <w:numPr>
          <w:ilvl w:val="0"/>
          <w:numId w:val="2"/>
        </w:numPr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项目成本（预算）节约情况</w:t>
      </w:r>
    </w:p>
    <w:p w:rsidR="000B5EDC" w:rsidRDefault="000B5EDC" w:rsidP="000B5EDC">
      <w:pPr>
        <w:spacing w:line="578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严格控制项目成本，未出现预算浪费现象。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 项目的效率性分析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（1）项目的实施进度</w:t>
      </w:r>
    </w:p>
    <w:p w:rsidR="000B5EDC" w:rsidRDefault="000B5EDC" w:rsidP="000B5EDC">
      <w:pPr>
        <w:widowControl/>
        <w:spacing w:line="520" w:lineRule="exac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2020年为第四年，目前项目持续进行中。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（2）项目完成质量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等线 Light" w:hint="eastAsia"/>
          <w:color w:val="000000"/>
          <w:sz w:val="32"/>
          <w:szCs w:val="32"/>
        </w:rPr>
        <w:lastRenderedPageBreak/>
        <w:t>实施过程中严格按照相关文件要求进行，所以项目完成质量良好。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 项目的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效益性分析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（1）项目预期目标完成程度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2020年计划招聘9人，招聘8人，实际录用4人。</w:t>
      </w:r>
    </w:p>
    <w:p w:rsidR="000B5EDC" w:rsidRDefault="000B5EDC" w:rsidP="000B5EDC">
      <w:pPr>
        <w:widowControl/>
        <w:spacing w:line="578" w:lineRule="atLeast"/>
        <w:ind w:left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（2）项目实施对经济和社会的影响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通过实施妇幼双百人才引进，将切实提高我省妇幼健康服务队伍整体素质，增强基层妇幼健康服务机构服务能力，促进优质医疗资源下沉，推动城乡基本公共服务均等化，保障全面两孩政策顺利实施，着力提高妇女儿童健康水平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 项目的可持续性分析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完成人员招聘工作后，我们需要不断跟进拟录用人员的工作意向，安排好后续的考察、体检和合同签订工作，关注待规培人员的后续规培安排，并且与基层妇幼保健院对接招录人员下市县工作事宜。</w:t>
      </w:r>
    </w:p>
    <w:p w:rsidR="000B5EDC" w:rsidRDefault="000B5EDC" w:rsidP="000B5EDC">
      <w:pPr>
        <w:widowControl/>
        <w:spacing w:line="578" w:lineRule="atLeast"/>
        <w:ind w:left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（二）项目绩效目标未完成原因分析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1.应聘人员投递简历后，未能及时组织笔试和面试，招聘周期过长，很多应聘人员在接到笔试、面试或规培通知时已找到工作。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2.有意向下基层服务的人员并不多。</w:t>
      </w:r>
    </w:p>
    <w:p w:rsidR="000B5EDC" w:rsidRDefault="000B5EDC" w:rsidP="000B5EDC">
      <w:pPr>
        <w:widowControl/>
        <w:spacing w:line="578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3.规培人员未能按时完成规培考试。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五、综合评价情况及评价结论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通过实施妇幼双百人才引进，将切实提高我省妇幼健康服务队伍整体素质，增强基层妇幼健康服务机构服务能力，促进优质医疗资源下沉，推动城乡基本公共服务均等化，保障全面两孩政策顺利实施，着力提高妇女儿童健康水平。但是项目招聘完成率不高，实施周期较长。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六、主要经验及做法、存在的问题和建议</w:t>
      </w:r>
    </w:p>
    <w:p w:rsidR="000B5EDC" w:rsidRDefault="000B5EDC" w:rsidP="000B5EDC">
      <w:pPr>
        <w:widowControl/>
        <w:spacing w:line="578" w:lineRule="atLeast"/>
        <w:ind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妇幼双百项目招聘效果不太理想，所以2021年申报预算经费是将保守申报。我中心在开展校园招聘的同时，也将相应积极地宣传妇幼双百项目，在宣传海报和易拉宝上诺列招聘需求和招聘岗位。</w:t>
      </w:r>
    </w:p>
    <w:p w:rsidR="0059267A" w:rsidRPr="000B5EDC" w:rsidRDefault="0059267A"/>
    <w:sectPr w:rsidR="0059267A" w:rsidRPr="000B5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67A" w:rsidRDefault="0059267A" w:rsidP="000B5EDC">
      <w:r>
        <w:separator/>
      </w:r>
    </w:p>
  </w:endnote>
  <w:endnote w:type="continuationSeparator" w:id="1">
    <w:p w:rsidR="0059267A" w:rsidRDefault="0059267A" w:rsidP="000B5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67A" w:rsidRDefault="0059267A" w:rsidP="000B5EDC">
      <w:r>
        <w:separator/>
      </w:r>
    </w:p>
  </w:footnote>
  <w:footnote w:type="continuationSeparator" w:id="1">
    <w:p w:rsidR="0059267A" w:rsidRDefault="0059267A" w:rsidP="000B5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0D4EE0"/>
    <w:multiLevelType w:val="singleLevel"/>
    <w:tmpl w:val="880D4EE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F0800E1"/>
    <w:multiLevelType w:val="singleLevel"/>
    <w:tmpl w:val="FF0800E1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5EDC"/>
    <w:rsid w:val="000B5EDC"/>
    <w:rsid w:val="000C2E75"/>
    <w:rsid w:val="0059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5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5E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5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5ED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5ED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5E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464</Words>
  <Characters>2645</Characters>
  <Application>Microsoft Office Word</Application>
  <DocSecurity>0</DocSecurity>
  <Lines>22</Lines>
  <Paragraphs>6</Paragraphs>
  <ScaleCrop>false</ScaleCrop>
  <Company>微软中国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2021-05-21T08:39:00Z</dcterms:created>
  <dcterms:modified xsi:type="dcterms:W3CDTF">2021-05-21T08:41:00Z</dcterms:modified>
</cp:coreProperties>
</file>