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693B" w14:textId="77777777" w:rsidR="006C0062" w:rsidRDefault="006C006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C810960" w14:textId="77777777" w:rsidR="000E2532" w:rsidRPr="000E2532" w:rsidRDefault="000E2532" w:rsidP="000E2532">
      <w:pPr>
        <w:widowControl/>
        <w:spacing w:line="620" w:lineRule="atLeast"/>
        <w:jc w:val="center"/>
        <w:rPr>
          <w:rFonts w:ascii="方正小标宋_GBK" w:eastAsia="方正小标宋_GBK" w:hAnsi="Times New Roman" w:cs="Times New Roman" w:hint="eastAsia"/>
          <w:color w:val="484848"/>
          <w:kern w:val="0"/>
          <w:sz w:val="32"/>
          <w:szCs w:val="32"/>
        </w:rPr>
      </w:pPr>
      <w:r w:rsidRPr="000E2532">
        <w:rPr>
          <w:rFonts w:ascii="方正小标宋_GBK" w:eastAsia="方正小标宋_GBK" w:hAnsi="宋体" w:cs="Times New Roman" w:hint="eastAsia"/>
          <w:b/>
          <w:bCs/>
          <w:color w:val="484848"/>
          <w:kern w:val="0"/>
          <w:sz w:val="44"/>
          <w:szCs w:val="44"/>
        </w:rPr>
        <w:t>方舱医院设计导则</w:t>
      </w:r>
    </w:p>
    <w:p w14:paraId="6D517FC3" w14:textId="77777777" w:rsidR="000E2532" w:rsidRPr="000E2532" w:rsidRDefault="000E2532" w:rsidP="000E2532">
      <w:pPr>
        <w:widowControl/>
        <w:spacing w:line="620" w:lineRule="atLeast"/>
        <w:jc w:val="center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楷体_GB2312" w:eastAsia="楷体_GB2312" w:hAnsi="微软雅黑" w:cs="Times New Roman" w:hint="eastAsia"/>
          <w:b/>
          <w:bCs/>
          <w:color w:val="484848"/>
          <w:kern w:val="0"/>
          <w:sz w:val="32"/>
          <w:szCs w:val="32"/>
        </w:rPr>
        <w:t>（试</w:t>
      </w:r>
      <w:r w:rsidRPr="000E2532">
        <w:rPr>
          <w:rFonts w:ascii="楷体_GB2312" w:eastAsia="楷体_GB2312" w:hAnsi="微软雅黑" w:cs="Times New Roman" w:hint="eastAsia"/>
          <w:b/>
          <w:bCs/>
          <w:color w:val="484848"/>
          <w:kern w:val="0"/>
          <w:sz w:val="32"/>
          <w:szCs w:val="32"/>
        </w:rPr>
        <w:t> </w:t>
      </w:r>
      <w:r w:rsidRPr="000E2532">
        <w:rPr>
          <w:rFonts w:ascii="楷体_GB2312" w:eastAsia="楷体_GB2312" w:hAnsi="微软雅黑" w:cs="Times New Roman" w:hint="eastAsia"/>
          <w:b/>
          <w:bCs/>
          <w:color w:val="484848"/>
          <w:kern w:val="0"/>
          <w:sz w:val="32"/>
          <w:szCs w:val="32"/>
        </w:rPr>
        <w:t> </w:t>
      </w:r>
      <w:r w:rsidRPr="000E2532">
        <w:rPr>
          <w:rFonts w:ascii="楷体_GB2312" w:eastAsia="楷体_GB2312" w:hAnsi="微软雅黑" w:cs="Times New Roman" w:hint="eastAsia"/>
          <w:b/>
          <w:bCs/>
          <w:color w:val="484848"/>
          <w:kern w:val="0"/>
          <w:sz w:val="32"/>
          <w:szCs w:val="32"/>
        </w:rPr>
        <w:t>行）</w:t>
      </w:r>
    </w:p>
    <w:p w14:paraId="6A9F5E83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</w:p>
    <w:p w14:paraId="7EF9BF66" w14:textId="77777777" w:rsidR="000E2532" w:rsidRPr="000E2532" w:rsidRDefault="000E2532" w:rsidP="000E2532">
      <w:pPr>
        <w:widowControl/>
        <w:spacing w:line="620" w:lineRule="atLeast"/>
        <w:ind w:firstLine="48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一、总则</w:t>
      </w:r>
    </w:p>
    <w:p w14:paraId="4E3096E7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1.1 为积极适应新冠肺炎疫情常态化防控形势，指导方舱医院建设，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构建平急结合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的医疗救治体系，做好新冠肺炎感染者分类救治，最大限度实现应收尽收，应治尽治，制定本设计导则。</w:t>
      </w:r>
    </w:p>
    <w:p w14:paraId="3919F6A8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1.2 方舱医院是快速、大量、集中收治新冠肺炎轻症患者及无症状感染者的建筑及其配套设施。本导则适用于方舱医院项目的设计工作。</w:t>
      </w:r>
    </w:p>
    <w:p w14:paraId="3418639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1.3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方舱医院的建设应充分利用现有设施设备，在当地联防联控机制下结合城镇总体规划、医疗资源、建设条件、管理模式等多方面实际情况，合理确定改造建设方案，确保快速使用，高效运行。</w:t>
      </w:r>
    </w:p>
    <w:p w14:paraId="26B1B2E2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1.4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 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方舱医院应统筹考虑日常和应急使用需要，合理确定使用功能。平时可做日常设施使用，应急时能够快速、顺畅转化为医疗收治设施，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做到平急结合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，应急优先。</w:t>
      </w:r>
    </w:p>
    <w:p w14:paraId="0A285AD3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1.5 方舱医院应按照快速集中收治、闭环流程管控、分类同质管理、洁污分区分流的基本原则，做到环境安全、生物安全、防疫安全、结构安全、消防安全、质量可靠。</w:t>
      </w:r>
    </w:p>
    <w:p w14:paraId="49311882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lastRenderedPageBreak/>
        <w:t>1.6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方舱医院的建筑布局及机电系统设置应满足疫情防控要求，并符合平时及应急时功能需要。应制定平时与应急时功能及系统快速转换方案，做好物资储备、日常演练工作。</w:t>
      </w:r>
    </w:p>
    <w:p w14:paraId="7B86147B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1.7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方舱医院应为收治人员提供安全、实用的治疗、康复环境，为医护工作人员提供安全、便捷的工作条件。场地环境、材料、室内色彩等设计和选择，应充分考虑使用人群的生理和心理需求。</w:t>
      </w:r>
    </w:p>
    <w:p w14:paraId="61CCAA0B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1.8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方舱医院应设置具有明确引导、管理等功能的标识系统。</w:t>
      </w:r>
    </w:p>
    <w:p w14:paraId="03A44F7A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1.9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方舱医院应充分利用信息化手段，加强安全防范、健康监测、感染控制、物资配送、设备运行维护等动态管理，在保证治疗效果、效率基础上降低医护工作人员工作强度。</w:t>
      </w:r>
    </w:p>
    <w:p w14:paraId="5189A8E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1.10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方舱医院应综合考虑平时及应急时的功能，建筑、结构、机电、消防、环保、节能、无障碍等各专业设计应符合国家、地方相关建设标准、规范、文件要求。</w:t>
      </w:r>
    </w:p>
    <w:p w14:paraId="2920840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二、选址</w:t>
      </w:r>
    </w:p>
    <w:p w14:paraId="5F74B9AF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2.1 方舱医院的选址应符合当地城镇规划、疫情防控工作、社会稳定性风险评估和环保评估等的要求，宜预留扩展条件。</w:t>
      </w:r>
    </w:p>
    <w:p w14:paraId="1C044592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2.2 方舱医院应符合下列规定：</w:t>
      </w:r>
    </w:p>
    <w:p w14:paraId="6AEDA117" w14:textId="77777777" w:rsidR="000E2532" w:rsidRPr="000E2532" w:rsidRDefault="000E2532" w:rsidP="000E2532">
      <w:pPr>
        <w:widowControl/>
        <w:spacing w:line="620" w:lineRule="atLeast"/>
        <w:ind w:firstLine="48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lastRenderedPageBreak/>
        <w:t>（1）地形较平坦、有利于排水、空气流通，地质条件良好，市政设施完备；</w:t>
      </w:r>
    </w:p>
    <w:p w14:paraId="3949F242" w14:textId="77777777" w:rsidR="000E2532" w:rsidRPr="000E2532" w:rsidRDefault="000E2532" w:rsidP="000E2532">
      <w:pPr>
        <w:widowControl/>
        <w:spacing w:line="620" w:lineRule="atLeast"/>
        <w:ind w:firstLine="48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（2）场地周边道路畅通，与城镇其他区域有可靠、便利交通联系，易于收治人员转运和物资配送，具有较好的社会协作条件；</w:t>
      </w:r>
    </w:p>
    <w:p w14:paraId="64DF8E0A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（3）场地宜与周边公共建筑保持一定距离的间隔，远离人口密集区域以及幼儿园、学校、老年人照护设施等易感人群场所；</w:t>
      </w:r>
    </w:p>
    <w:p w14:paraId="6F58FB15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（4）远离污染源和易燃、易爆产品的生产、储存区域，远离噪声、振动和强电磁场等区域；</w:t>
      </w:r>
    </w:p>
    <w:p w14:paraId="43A55295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（5）远离食品和饲料加工生产企业等区域。</w:t>
      </w:r>
    </w:p>
    <w:p w14:paraId="385E0502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2.3 场地宜与两条交通通行状况良好的城市道路相邻，设置至少两个独立出入口。</w:t>
      </w:r>
    </w:p>
    <w:p w14:paraId="09F2E044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2.4 场地内空间应满足功能布局及交通组织的要求。</w:t>
      </w:r>
    </w:p>
    <w:p w14:paraId="45924F91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三、总体布局</w:t>
      </w:r>
    </w:p>
    <w:p w14:paraId="190356BA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3.1 按集中收治轻症患者与无症状感染者的医疗功能需求划分功能区域，主要包括院前区、收治区、清洁工作区、卫生通过区等。院前区、收治区为污染区；清洁工作区为清洁区；卫生通过区为缓冲区。</w:t>
      </w:r>
    </w:p>
    <w:p w14:paraId="3022EA6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（1）院前区：包括接送收治人员车辆停靠区、车辆清洗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消毒区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及必要的管理用房；</w:t>
      </w:r>
    </w:p>
    <w:p w14:paraId="46861F52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lastRenderedPageBreak/>
        <w:t>（2）收治区：对收治人员进行诊疗的建筑及其周边场地，场地内设置医疗废弃物暂存区、污水处理等配套区域及设施；</w:t>
      </w:r>
    </w:p>
    <w:p w14:paraId="226C5A58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（3）清洁工作区：污染区外医护工作人员工作及休息的区域，包括库房等相应配套用房；</w:t>
      </w:r>
    </w:p>
    <w:p w14:paraId="31D2955F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（4）卫生通过区：设于污染区与清洁区之间，供医护工作人员及物资由清洁工作区进入污染区、由污染区返回清洁工作区时进行卫生处置的区域。包括工作人员换鞋、更衣、洗手、沐浴，以及穿戴、卸去防护用品的用房，并应安排物资配送通道。</w:t>
      </w:r>
    </w:p>
    <w:p w14:paraId="76B92836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3.2 方舱医院应根据实际需要，合理确定互相匹配的院前区、收治区、清洁工作区、卫生通过区的建设规模，各区宜预留扩展条件。</w:t>
      </w:r>
    </w:p>
    <w:p w14:paraId="3848A37E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3.3 污染区内的建筑及设施与院区外周边相邻建筑、及清洁区内建筑之间的绿化隔离距离不宜小于20m，当不具备绿化条件时，其隔离距离不宜小于30m。</w:t>
      </w:r>
    </w:p>
    <w:p w14:paraId="55B4E69F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3.4 方舱医院污染区、清洁区应分设出入口，且相互距离不宜小于10m。宜单独设置医疗废弃物转运出口。</w:t>
      </w:r>
    </w:p>
    <w:p w14:paraId="18005767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3.5 方舱医院应合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理规划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内部道路、绿化系统以及洁污、人车、医护工作人员与收治人员等流线，避免交叉感染。收治人员经院前区进出收治区，医护工作人员与清洁物资由清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lastRenderedPageBreak/>
        <w:t>洁区经卫生通过区进出收治区，医疗废弃物经专用出口由收治区运送至医疗废弃物暂存区，转运出院区。</w:t>
      </w:r>
    </w:p>
    <w:p w14:paraId="6025C4A3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四、建筑</w:t>
      </w:r>
    </w:p>
    <w:p w14:paraId="23F5803A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 院前区应合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理组织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收治人员流线，规划必要车辆停靠空间，设置负压救护车停放场地，并在适当位置设置车辆洗消场地及设施，并配套建设管理人员及司机工作、临时休息用房。</w:t>
      </w:r>
    </w:p>
    <w:p w14:paraId="1C44F0D6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4.2 收治区主要包括：接待和登记区、住院病房区、检查治疗区、特殊人员抢救、照护区、护士站、出院、转院处置区、物资存放区、开水间、卫生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洗漱区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以及医疗废弃物暂存与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洗消间等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。</w:t>
      </w:r>
    </w:p>
    <w:p w14:paraId="1BD80B53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4.3 收治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区宜设置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收治人员活动区、心理辅导区、健康教育区。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宜设置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公安民警、保洁、保安的工作用房。可根据具体情况设置收治人员衣物晾晒区。</w:t>
      </w:r>
    </w:p>
    <w:p w14:paraId="4A3730DD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 xml:space="preserve">4.4 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收治区宜采用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方整、规则的建筑形体，宜选择大空间形式，方便高效安排收治床位，提高诊疗工作效率。</w:t>
      </w:r>
    </w:p>
    <w:p w14:paraId="425A7397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4.5 收治区的建筑主体宜采用单层、多层建筑形式。当为多层建筑时，应设置用于转送收治人员的坡道或电梯。电梯宜根据收治人员和医护工作人员、洁物和污物等不同使用对象分类设置。</w:t>
      </w:r>
    </w:p>
    <w:p w14:paraId="23113183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4.6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 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应严格规划收治区内收治人员和医护工作人员的出入口及交通流线，洁物和污物分设流线，防止交叉感染。医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lastRenderedPageBreak/>
        <w:t>护人员及保安、保洁等工作人员宜从不同卫生通过区进出收治区。出入口宜设雨雪遮蔽设施。</w:t>
      </w:r>
    </w:p>
    <w:p w14:paraId="65A53745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4.7 收治区功能布局宜采用开敞形式，以住院病房区为中心，在周边位置合理配置相应功能区域。</w:t>
      </w:r>
    </w:p>
    <w:p w14:paraId="0E463340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4.8 结合实际需要设置特殊人员转运前的抢救、照护区域，并与其他区域相对分隔。配置相应的救治设备设施，收治人员转运路线应设置无障碍通道及设施。</w:t>
      </w:r>
    </w:p>
    <w:p w14:paraId="3628E848" w14:textId="77777777" w:rsidR="000E2532" w:rsidRPr="000E2532" w:rsidRDefault="000E2532" w:rsidP="000E2532">
      <w:pPr>
        <w:widowControl/>
        <w:spacing w:line="620" w:lineRule="atLeast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4.9 根据收治区床位规模、管理要求，合理规划护士站数量及规模，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护士站宜设于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住院病房区的中间位置，便于观察和到达收治人员床边。</w:t>
      </w:r>
    </w:p>
    <w:p w14:paraId="5A63D75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4.10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 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收治区宜按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每20床位设置一个看护单元，单元之间设置轻质隔断。收治人员每床位净使用面积不宜小于6平方米，可根据情况进行灵活隔断组合。宜在病床床头和一侧设置高度不低于1.3m的隔断，围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合形成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相对私密的空间。</w:t>
      </w:r>
    </w:p>
    <w:p w14:paraId="43480B01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4.11收治区内集中设置公共盥洗间、厕所时，宜按每100张床位配置10-15个盥洗龙头及10-15厕位。可根据实际情况设置收治人员用淋浴间。</w:t>
      </w:r>
    </w:p>
    <w:p w14:paraId="3DDAF144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4.12 结合功能分区可在院前区、收治区适当位置设置或预留医疗检查和治疗设备的空间和安装条件，便于快速运输、安装到位。设置移动式CT、检测实验室等设施时，应预留相应土建及机电建设条件，及其与建筑之间的通道。</w:t>
      </w:r>
    </w:p>
    <w:p w14:paraId="1366979F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lastRenderedPageBreak/>
        <w:t>4.13 清洁工作区应设置医护人员办公室、会议室（具备远程会诊功能）、值班室、休息室、卫生间、淋浴间、物资库房、备餐间、设备机房等配套用房，并配置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供公安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民警、保洁、保安等人员使用的办公、休息、换班交接用房。可根据需要设置警务工作站、工作人员宿舍等用房。</w:t>
      </w:r>
    </w:p>
    <w:p w14:paraId="61D3610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4.14 清洁工作区宜根据不同工作性质及风险等级合理分区设置办公区、宿舍区及配套区，合理规划人员、餐食、物资等流线。宿舍宜采用单人间，房间内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宜设置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卫生间，配置洗漱、厕位、淋浴等基本设施。</w:t>
      </w:r>
    </w:p>
    <w:p w14:paraId="053E91E8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4.15 厨房、备餐间的面积和平面布局应根据管理流程、收治人员和医护工作人员规模合理确定。应采取措施避免噪声、油烟、气味及食品储运对其他区域造成干扰。</w:t>
      </w:r>
    </w:p>
    <w:p w14:paraId="4C701984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4.16 卫生通过区应靠近收治区，可通过连廊等与收治区相连。卫生通过区附近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宜设置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运送工作人员及物资车辆的停靠场地。应综合方舱医院规模、管理流程、医护工作人员通过卫生通过区消耗时间等因素，合理确定卫生通过用房建设规模。污染区与清洁工作区之间的物资配送宜采用设置双门的缓冲间。</w:t>
      </w:r>
    </w:p>
    <w:p w14:paraId="038FCB8D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4.17 医护工作人员进入污染区应经过更衣、穿戴防护装备、缓冲等房间；由污染区返回清洁区，应经过一脱、二脱、淋浴（可根据需要设置）、更衣等房间；卫生通过区的医疗废弃物外运通道应相对独立、便捷。</w:t>
      </w:r>
    </w:p>
    <w:p w14:paraId="3E809798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lastRenderedPageBreak/>
        <w:t>4.18 方舱医院应根据平时及应急时需要，统筹设置给水排水、通风与空调、供暖、变配电、网络通信、消防控制及安全防范等设备用房。其位置应符合感染控制的要求，宜靠近负荷中心，噪声和振动不应对收治人员、医护工作人员的治疗、康复和工作造成干扰。设备用房应设置或预留安装和检修大型设备的通道。管道穿越</w:t>
      </w:r>
      <w:proofErr w:type="gramStart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不</w:t>
      </w:r>
      <w:proofErr w:type="gramEnd"/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同房间处应采取密封措施。</w:t>
      </w:r>
    </w:p>
    <w:p w14:paraId="664484F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4.19 方舱医院宜选用标准化的轻质结构主体构件，及模数化、装配式围护材料。建筑材料选择和构造设计，应满足耐擦洗、防腐蚀、防渗漏、便于清洁和维护的要求。</w:t>
      </w:r>
    </w:p>
    <w:p w14:paraId="6DAE2DBB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五、结构</w:t>
      </w:r>
    </w:p>
    <w:p w14:paraId="4E1D40A4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5.1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方舱医院结构安全等级不得低于一级，抗震设防分类不得低于重点设防类。</w:t>
      </w:r>
    </w:p>
    <w:p w14:paraId="5345A805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5.2 根据实际需要，合理确定结构设计工作年限。</w:t>
      </w:r>
    </w:p>
    <w:p w14:paraId="324BBCDB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5.3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结构作用及楼面和屋面活荷载取值，应执行现行国家标准《工程结构通用规范》GB55001及《建筑结构荷载规范》GB50009的规定。</w:t>
      </w:r>
    </w:p>
    <w:p w14:paraId="1E98ECC3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5.4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应急建设的临时性建筑结构形式的选择应因地制宜，满足方便加工、运输、安装及快速建造的要求。</w:t>
      </w:r>
    </w:p>
    <w:p w14:paraId="6BBFA817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5.5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主体结构及围护结构应满足密闭性要求，其结构材料应满足防渗、防漏要求。</w:t>
      </w:r>
    </w:p>
    <w:p w14:paraId="32A05D7D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六、给水排水</w:t>
      </w:r>
    </w:p>
    <w:p w14:paraId="4D2F43E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lastRenderedPageBreak/>
        <w:t>6.1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的给水排水设计应符合现行国家标准《建筑给水排水设计标准》GB50015的规定；当采用既有建筑改造时，其建筑给水排水系统应按现行国家标准《建筑与工业给水排水系统安全评价标准》GB/T51188进行安全评价，并依据评价结果进行改造。</w:t>
      </w:r>
    </w:p>
    <w:p w14:paraId="294BBC72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6.2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生活给水泵房和集中生活热水机房应设置在清洁区。</w:t>
      </w:r>
    </w:p>
    <w:p w14:paraId="5989339C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6.3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生活给水系统宜采用断流水箱供水方式供给，且供水系统宜采用断流水箱加水泵的给水系统，当采用断流水箱供水确有困难时，可采用减压型倒流防止器。</w:t>
      </w:r>
    </w:p>
    <w:p w14:paraId="7F8DCB7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6.4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排水系统应采取防止水封破坏的技术措施,并应符合下列规定:</w:t>
      </w:r>
    </w:p>
    <w:p w14:paraId="7DC3DF0F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（1）排水立管的最大设计排水能力取值不应大于现行国家标准《建筑给水排水设计标准》GB50015规定值的0.7倍;</w:t>
      </w:r>
    </w:p>
    <w:p w14:paraId="5E513743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（2）存水弯的水封高度不得小于50mm，且不得大于100mm；</w:t>
      </w:r>
    </w:p>
    <w:p w14:paraId="6CC1E612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（3）当地漏附近有洗手盆时，宜采用洗手盆排水给地漏水封补水的措施。</w:t>
      </w:r>
    </w:p>
    <w:p w14:paraId="65A42D7C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6.5 排水系统的通气和污水处理系统的尾气应采用高空排放方式，且不应邻近人员活动区域。</w:t>
      </w:r>
    </w:p>
    <w:p w14:paraId="6671CC14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lastRenderedPageBreak/>
        <w:t>6.6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排水管道应进行闭水试验，且应采取防止排水管道内的污水外渗和泄漏的措施。</w:t>
      </w:r>
    </w:p>
    <w:p w14:paraId="36AF19E5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6.7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污水处理应采用二级生化处理，当排入有城市污水处理厂的城市污水管道时，其污水处理可采用强化消毒处理工艺，且应符合下列规定：</w:t>
      </w:r>
    </w:p>
    <w:p w14:paraId="76813EFA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（1）污水处理应在化粪池进水口处设置预消毒剂投加；</w:t>
      </w:r>
    </w:p>
    <w:p w14:paraId="575A0663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（2）化粪池后二级消毒池水力停留时间不应小于2h。</w:t>
      </w:r>
    </w:p>
    <w:p w14:paraId="33B3F0B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七、供暖、通风与空调</w:t>
      </w:r>
    </w:p>
    <w:p w14:paraId="192558EC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7.1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方舱医院各功能房间、区域室内设计温度冬季宜为18-22℃，夏季宜为26-28℃。</w:t>
      </w:r>
    </w:p>
    <w:p w14:paraId="48D1061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7.2 供暖系统宜采用散热器供暖系统或地板辐射供暖系统。</w:t>
      </w:r>
    </w:p>
    <w:p w14:paraId="15E273B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7.3 清洁工作区空调系统宜采用各室独立的分体式空调系统、多联式空调系统或风机盘管系统。</w:t>
      </w:r>
    </w:p>
    <w:p w14:paraId="2B7E46DE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7.4 大空间的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收治区宜采用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直流式（全新风）空调系统；如采用全空气一次回风空调系统，新风量应满足收治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区补风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要求，回风口应设置不低于高中效的空气过滤设备。</w:t>
      </w:r>
    </w:p>
    <w:p w14:paraId="26717124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7.5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收治区、清洁工作区、卫生通过区的通风系统应按区域独立设置。</w:t>
      </w:r>
    </w:p>
    <w:p w14:paraId="690E384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7.6 清洁工作区各房间设置新风系统的，新风量宜不小于2次/h。</w:t>
      </w:r>
    </w:p>
    <w:p w14:paraId="619229ED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lastRenderedPageBreak/>
        <w:t>7.7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收治区应设机械排风，排风量不小于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150m</w:t>
      </w:r>
      <w:r w:rsidRPr="000E2532">
        <w:rPr>
          <w:rFonts w:ascii="仿宋_GB2312" w:eastAsia="仿宋_GB2312" w:hAnsi="微软雅黑" w:cs="Times New Roman" w:hint="eastAsia"/>
          <w:color w:val="484848"/>
          <w:kern w:val="0"/>
          <w:sz w:val="32"/>
          <w:szCs w:val="32"/>
          <w:vertAlign w:val="superscript"/>
        </w:rPr>
        <w:t>3</w:t>
      </w:r>
      <w:r w:rsidRPr="000E2532">
        <w:rPr>
          <w:rFonts w:ascii="仿宋_GB2312" w:eastAsia="仿宋_GB2312" w:hAnsi="Times New Roman" w:cs="Times New Roman" w:hint="eastAsia"/>
          <w:color w:val="484848"/>
          <w:kern w:val="0"/>
          <w:sz w:val="32"/>
          <w:szCs w:val="32"/>
        </w:rPr>
        <w:t>/h·床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。室内排风口应远离医务人员入口及工作区域。收治区的新风量宜不大于排风量的80%。</w:t>
      </w:r>
    </w:p>
    <w:p w14:paraId="3F5F4808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7.8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收治区卫生间应设置机械排风设施，排风量不小于12次/h。</w:t>
      </w:r>
    </w:p>
    <w:p w14:paraId="455B3A11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7.9 由污染区返回清洁区的一脱、二脱、淋浴等房间应设置机械通风，并应控制周边相通房间空气顺序流向一脱房间。一脱房间排风换气次数不应小于20次/h，室内气流组织应采用上送风、下排风。</w:t>
      </w:r>
    </w:p>
    <w:p w14:paraId="57CF6BE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7.10 脱防护服房间、收治区及其卫生间的排风应经净化消毒装置进行处理后排放。</w:t>
      </w:r>
    </w:p>
    <w:p w14:paraId="4B6A5813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7.11 垃圾暂存间、污水处理等设施应设机械排风。</w:t>
      </w:r>
    </w:p>
    <w:p w14:paraId="49C1B9BA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7.12 排风系统的室外排风口不应邻近人员活动区域，排风口应高于屋面向高空排放。排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风口与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新风系统取风口的水平距离不应小于20m；当水平距离不足20m时，排风口应高出进风口不小于6m。</w:t>
      </w:r>
    </w:p>
    <w:p w14:paraId="27FEF2D5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7.13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收治区空调的冷凝水应集中收集，并应采用间接排水的方式排入设施污水排水系统统一处理。</w:t>
      </w:r>
    </w:p>
    <w:p w14:paraId="7AB69C2F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八、电气</w:t>
      </w:r>
    </w:p>
    <w:p w14:paraId="4A92A9DD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8.1 方舱医院为重要电力用户，其供电电源配置不应低于现行国家标准《重要电力用户供电电源及自备应急电源配置技术规范》GB/T29328中二级重要电力用户的配置要求。</w:t>
      </w:r>
    </w:p>
    <w:p w14:paraId="778B679C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lastRenderedPageBreak/>
        <w:t>8.2 安全防范系统、污水处理设施、卫生通过区的照明及通风设备的负荷等级应为一级；收治区的照明及通风设备的负荷等级应为二级。</w:t>
      </w:r>
    </w:p>
    <w:p w14:paraId="3A12D431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8.3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应在变电所等适当的位置预留应急发电机接口。</w:t>
      </w:r>
    </w:p>
    <w:p w14:paraId="7F6333D7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8.4 配电柜、配电箱等设施应设置在配电间或管理用房内；清洁区、污染区应分别设置配电回路。</w:t>
      </w:r>
    </w:p>
    <w:p w14:paraId="1BC8A95B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8.5 方舱内病房区域的照度宜为200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lx,护士站、检查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治疗区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等场所应设置局部照明，照度宜为300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lx；病房区域的一般照明应采取防眩光措施。</w:t>
      </w:r>
    </w:p>
    <w:p w14:paraId="7C15D16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8.6 卫生通过区、污物暂存间、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洗消间等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需要灭菌消毒的场所应设置固定或移动式紫外线消毒器、消毒灯等消毒设施。</w:t>
      </w:r>
    </w:p>
    <w:p w14:paraId="6C0FA2AD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8.7 当灯具的安装高度低于2.5米时，其配电回路应设置30mA的剩余电流保护器作为附加防护。</w:t>
      </w:r>
    </w:p>
    <w:p w14:paraId="2EE0B8AA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8.8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每个床位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宜设置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不少于3个220V、10A单相五孔插座。特殊人员抢救、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照护区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应按床位设置独立插座回路，每个床位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宜设置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不少于6个220V、10A单相五孔插座。公共区域应设置清扫及智能设备用插座。</w:t>
      </w:r>
    </w:p>
    <w:p w14:paraId="7E19284C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8.9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电线电缆应采用低烟、无卤、低毒阻燃类线缆；消防设备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供电线缆应符合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现行国家及地方标准的有关规定。</w:t>
      </w:r>
    </w:p>
    <w:p w14:paraId="262BE3F2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8.10</w:t>
      </w:r>
      <w:proofErr w:type="gramStart"/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槽盒及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线管穿越隔墙时，隔墙缝隙、槽口及管口应采用不燃材料可靠密封。</w:t>
      </w:r>
    </w:p>
    <w:p w14:paraId="7CD489F6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lastRenderedPageBreak/>
        <w:t>8.11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盥洗间、淋浴间及有淋浴功能的卫生间等场所应设置辅助等电位连接。</w:t>
      </w:r>
    </w:p>
    <w:p w14:paraId="00BD946A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九、智能化</w:t>
      </w:r>
    </w:p>
    <w:p w14:paraId="03F3454F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9.1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方舱医院应设置视频安防监控系统，在院区各出入口、收治区、清洁工作区、卫生通过区、垃圾暂存间等重要部位应设置监控摄像机。卫生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通过区宜采用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双向语音对讲摄像机,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便于院感值班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或护士站工作人员进行远程监督和指导。</w:t>
      </w:r>
    </w:p>
    <w:p w14:paraId="26B68DEA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9.2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方舱医院应根据管理流程和功能区域设置出入口控制系统，系统采用非接触式控制方式，当火灾等紧急情况发生时应能立即解除。</w:t>
      </w:r>
    </w:p>
    <w:p w14:paraId="446F2168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9.3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方舱医院的室内应实现无线Wi-Fi全覆盖、手机信号全覆盖；清洁工作区应设置有线网络和无线网络，宜分别设置内网和外网信息插座。</w:t>
      </w:r>
    </w:p>
    <w:p w14:paraId="766173B3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9.4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方舱医院通风系统宜采用集中控制和工作状态监控方式。</w:t>
      </w:r>
    </w:p>
    <w:p w14:paraId="13A0852E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9.5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收治区卫生间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宜设置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紧急呼叫按钮，安装于便器旁易于操作的位置，底边距地宜为400mm～500mm。</w:t>
      </w:r>
    </w:p>
    <w:p w14:paraId="1021DF9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9.6</w:t>
      </w:r>
      <w:r w:rsidRPr="000E2532">
        <w:rPr>
          <w:rFonts w:ascii="Calibri" w:eastAsia="仿宋" w:hAnsi="Calibri" w:cs="Calibri"/>
          <w:color w:val="484848"/>
          <w:kern w:val="0"/>
          <w:sz w:val="32"/>
          <w:szCs w:val="32"/>
        </w:rPr>
        <w:t> 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方舱医院宜在病房区、特殊人员抢救、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照护区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设置医护对讲系统，主机宜设在医护值班室。护士站或医护值班室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宜设置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一键报警按钮，报警信号传至安防监控中心或指挥中心。火灾报警系统宜接入当地消防设施联网监测系统。</w:t>
      </w:r>
    </w:p>
    <w:p w14:paraId="7E8BB8A9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lastRenderedPageBreak/>
        <w:t>9.7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方舱医院应根据防控工作要求，设置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与疾控中心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、应急指挥中心等主管部门的专用通信接口。</w:t>
      </w:r>
    </w:p>
    <w:p w14:paraId="5138218E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9.8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有条件的方舱医院宜充分利用人工智能和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物联网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应用技术，实现“无接触式”体温监测及人脸识别、心理疏导、场所消毒、物资配送、重点人群体征监测和污物跟踪管理等安全防疫功能。</w:t>
      </w:r>
    </w:p>
    <w:p w14:paraId="716C2FA8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黑体" w:eastAsia="黑体" w:hAnsi="黑体" w:cs="Times New Roman" w:hint="eastAsia"/>
          <w:color w:val="484848"/>
          <w:kern w:val="0"/>
          <w:sz w:val="32"/>
          <w:szCs w:val="32"/>
        </w:rPr>
        <w:t>十、医用气体</w:t>
      </w:r>
    </w:p>
    <w:p w14:paraId="5E6D2F86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10.1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收治区内应设置可直通室外的医用气体存放间，配备氧气瓶、氧气袋和配套吸氧用品，</w:t>
      </w:r>
      <w:proofErr w:type="gramStart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供特殊</w:t>
      </w:r>
      <w:proofErr w:type="gramEnd"/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人员抢救及应急使用。</w:t>
      </w:r>
    </w:p>
    <w:p w14:paraId="1DC50C50" w14:textId="77777777" w:rsidR="000E2532" w:rsidRPr="000E2532" w:rsidRDefault="000E2532" w:rsidP="000E2532">
      <w:pPr>
        <w:widowControl/>
        <w:spacing w:line="620" w:lineRule="atLeast"/>
        <w:ind w:firstLine="640"/>
        <w:rPr>
          <w:rFonts w:ascii="Times New Roman" w:eastAsia="宋体" w:hAnsi="Times New Roman" w:cs="Times New Roman"/>
          <w:color w:val="484848"/>
          <w:kern w:val="0"/>
          <w:sz w:val="32"/>
          <w:szCs w:val="32"/>
        </w:rPr>
      </w:pP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10.2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 </w:t>
      </w:r>
      <w:r w:rsidRPr="000E2532">
        <w:rPr>
          <w:rFonts w:ascii="仿宋" w:eastAsia="仿宋" w:hAnsi="仿宋" w:cs="Times New Roman" w:hint="eastAsia"/>
          <w:color w:val="484848"/>
          <w:kern w:val="0"/>
          <w:sz w:val="32"/>
          <w:szCs w:val="32"/>
        </w:rPr>
        <w:t>收治区根据需求配备无创呼吸机等。</w:t>
      </w:r>
    </w:p>
    <w:p w14:paraId="561A485B" w14:textId="3BFE9119" w:rsidR="006C0062" w:rsidRPr="000E2532" w:rsidRDefault="006C0062">
      <w:pPr>
        <w:pStyle w:val="a3"/>
        <w:widowControl/>
        <w:spacing w:beforeAutospacing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shd w:val="clear" w:color="auto" w:fill="FFFFFF"/>
        </w:rPr>
      </w:pPr>
    </w:p>
    <w:p w14:paraId="11CF21F7" w14:textId="5EE29D3E" w:rsidR="006C0062" w:rsidRDefault="006C0062">
      <w:pPr>
        <w:snapToGrid w:val="0"/>
        <w:spacing w:line="336" w:lineRule="auto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</w:p>
    <w:sectPr w:rsidR="006C0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0F130C"/>
    <w:rsid w:val="000E2532"/>
    <w:rsid w:val="006C0062"/>
    <w:rsid w:val="2AB058F3"/>
    <w:rsid w:val="34A76117"/>
    <w:rsid w:val="350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B8970"/>
  <w15:docId w15:val="{6E15DC7D-E448-4BF9-BF5B-DD054CED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仙花</dc:creator>
  <cp:lastModifiedBy>高炳乾</cp:lastModifiedBy>
  <cp:revision>2</cp:revision>
  <dcterms:created xsi:type="dcterms:W3CDTF">2022-08-12T16:15:00Z</dcterms:created>
  <dcterms:modified xsi:type="dcterms:W3CDTF">2022-08-12T16:15:00Z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A15303C6460D4871BCC327622329A932</vt:lpwstr>
  </property>
</Properties>
</file>