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7"/>
        <w:jc w:val="left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</w:rPr>
        <w:t>附件</w:t>
      </w:r>
    </w:p>
    <w:p>
      <w:pPr>
        <w:pStyle w:val="17"/>
        <w:snapToGrid w:val="0"/>
        <w:spacing w:line="240" w:lineRule="auto"/>
        <w:jc w:val="center"/>
        <w:rPr>
          <w:rFonts w:hint="eastAsia" w:ascii="方正小标宋_GBK" w:hAnsi="方正小标宋_GBK" w:eastAsia="方正小标宋_GBK" w:cs="仿宋_GB2312"/>
          <w:b w:val="0"/>
          <w:bCs/>
          <w:color w:val="auto"/>
          <w:sz w:val="44"/>
          <w:szCs w:val="32"/>
          <w:u w:val="none"/>
        </w:rPr>
      </w:pPr>
      <w:r>
        <w:rPr>
          <w:rFonts w:hint="eastAsia" w:ascii="方正小标宋_GBK" w:hAnsi="方正小标宋_GBK" w:eastAsia="方正小标宋_GBK" w:cs="仿宋_GB2312"/>
          <w:b w:val="0"/>
          <w:bCs/>
          <w:color w:val="auto"/>
          <w:sz w:val="44"/>
          <w:szCs w:val="32"/>
          <w:u w:val="none"/>
          <w:lang w:eastAsia="zh-CN"/>
        </w:rPr>
        <w:t>2024</w:t>
      </w:r>
      <w:r>
        <w:rPr>
          <w:rFonts w:hint="eastAsia" w:ascii="方正小标宋_GBK" w:hAnsi="方正小标宋_GBK" w:eastAsia="方正小标宋_GBK" w:cs="仿宋_GB2312"/>
          <w:b w:val="0"/>
          <w:bCs/>
          <w:color w:val="auto"/>
          <w:sz w:val="44"/>
          <w:szCs w:val="32"/>
          <w:u w:val="none"/>
        </w:rPr>
        <w:t>年海南省全民营养周</w:t>
      </w:r>
    </w:p>
    <w:p>
      <w:pPr>
        <w:pStyle w:val="17"/>
        <w:snapToGrid w:val="0"/>
        <w:spacing w:line="240" w:lineRule="auto"/>
        <w:jc w:val="center"/>
        <w:rPr>
          <w:rFonts w:hint="eastAsia" w:ascii="方正小标宋_GBK" w:hAnsi="方正小标宋_GBK" w:eastAsia="方正小标宋_GBK" w:cs="仿宋_GB2312"/>
          <w:b w:val="0"/>
          <w:bCs/>
          <w:color w:val="auto"/>
          <w:sz w:val="44"/>
          <w:szCs w:val="32"/>
          <w:u w:val="none"/>
        </w:rPr>
      </w:pPr>
      <w:r>
        <w:rPr>
          <w:rFonts w:hint="eastAsia" w:ascii="方正小标宋_GBK" w:hAnsi="方正小标宋_GBK" w:eastAsia="方正小标宋_GBK" w:cs="仿宋_GB2312"/>
          <w:b w:val="0"/>
          <w:bCs/>
          <w:color w:val="auto"/>
          <w:sz w:val="44"/>
          <w:szCs w:val="32"/>
          <w:u w:val="none"/>
        </w:rPr>
        <w:t>暨</w:t>
      </w:r>
      <w:r>
        <w:rPr>
          <w:rFonts w:hint="eastAsia" w:ascii="方正小标宋_GBK" w:hAnsi="方正小标宋_GBK" w:eastAsia="方正小标宋_GBK" w:cs="仿宋_GB2312"/>
          <w:b w:val="0"/>
          <w:bCs/>
          <w:color w:val="auto"/>
          <w:sz w:val="44"/>
          <w:szCs w:val="32"/>
          <w:u w:val="none"/>
          <w:lang w:eastAsia="zh-CN"/>
        </w:rPr>
        <w:t>“</w:t>
      </w:r>
      <w:r>
        <w:rPr>
          <w:rFonts w:hint="eastAsia" w:ascii="方正小标宋_GBK" w:hAnsi="方正小标宋_GBK" w:eastAsia="方正小标宋_GBK" w:cs="仿宋_GB2312"/>
          <w:b w:val="0"/>
          <w:bCs/>
          <w:color w:val="auto"/>
          <w:sz w:val="44"/>
          <w:szCs w:val="32"/>
          <w:u w:val="none"/>
        </w:rPr>
        <w:t>5·20</w:t>
      </w:r>
      <w:r>
        <w:rPr>
          <w:rFonts w:hint="eastAsia" w:ascii="方正小标宋_GBK" w:hAnsi="方正小标宋_GBK" w:eastAsia="方正小标宋_GBK" w:cs="仿宋_GB2312"/>
          <w:b w:val="0"/>
          <w:bCs/>
          <w:color w:val="auto"/>
          <w:sz w:val="44"/>
          <w:szCs w:val="32"/>
          <w:u w:val="none"/>
          <w:lang w:eastAsia="zh-CN"/>
        </w:rPr>
        <w:t>”</w:t>
      </w:r>
      <w:r>
        <w:rPr>
          <w:rFonts w:hint="eastAsia" w:ascii="方正小标宋_GBK" w:hAnsi="方正小标宋_GBK" w:eastAsia="方正小标宋_GBK" w:cs="仿宋_GB2312"/>
          <w:b w:val="0"/>
          <w:bCs/>
          <w:color w:val="auto"/>
          <w:sz w:val="44"/>
          <w:szCs w:val="32"/>
          <w:u w:val="none"/>
        </w:rPr>
        <w:t>中国学生营养日</w:t>
      </w:r>
    </w:p>
    <w:p>
      <w:pPr>
        <w:pStyle w:val="17"/>
        <w:snapToGrid w:val="0"/>
        <w:spacing w:line="240" w:lineRule="auto"/>
        <w:jc w:val="center"/>
        <w:rPr>
          <w:rFonts w:hint="eastAsia" w:ascii="方正小标宋_GBK" w:hAnsi="方正小标宋_GBK" w:eastAsia="方正小标宋_GBK" w:cs="仿宋_GB2312"/>
          <w:b w:val="0"/>
          <w:bCs/>
          <w:color w:val="auto"/>
          <w:sz w:val="44"/>
          <w:szCs w:val="32"/>
          <w:u w:val="none"/>
        </w:rPr>
      </w:pPr>
      <w:r>
        <w:rPr>
          <w:rFonts w:hint="eastAsia" w:ascii="方正小标宋_GBK" w:hAnsi="方正小标宋_GBK" w:eastAsia="方正小标宋_GBK" w:cs="仿宋_GB2312"/>
          <w:b w:val="0"/>
          <w:bCs/>
          <w:color w:val="auto"/>
          <w:sz w:val="44"/>
          <w:szCs w:val="32"/>
          <w:u w:val="none"/>
        </w:rPr>
        <w:t>宣传活动方案</w:t>
      </w:r>
    </w:p>
    <w:p>
      <w:pPr>
        <w:adjustRightInd w:val="0"/>
        <w:snapToGrid w:val="0"/>
        <w:spacing w:beforeLines="0" w:afterLines="0" w:line="336" w:lineRule="auto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</w:rPr>
      </w:pPr>
    </w:p>
    <w:p>
      <w:pPr>
        <w:adjustRightInd w:val="0"/>
        <w:snapToGrid w:val="0"/>
        <w:spacing w:beforeLines="0" w:afterLines="0" w:line="336" w:lineRule="auto"/>
        <w:ind w:firstLine="640" w:firstLineChars="200"/>
        <w:jc w:val="both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u w:val="none"/>
        </w:rPr>
        <w:t>一、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u w:val="none"/>
          <w:lang w:val="en-US" w:eastAsia="zh-CN"/>
        </w:rPr>
        <w:t>活动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u w:val="none"/>
        </w:rPr>
        <w:t>内容</w:t>
      </w:r>
    </w:p>
    <w:p>
      <w:pPr>
        <w:adjustRightInd w:val="0"/>
        <w:snapToGrid w:val="0"/>
        <w:spacing w:beforeLines="0" w:afterLines="0" w:line="336" w:lineRule="auto"/>
        <w:ind w:firstLine="640" w:firstLineChars="200"/>
        <w:jc w:val="both"/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32"/>
          <w:u w:val="none"/>
        </w:rPr>
        <w:t>（一）全民营养周</w:t>
      </w:r>
    </w:p>
    <w:p>
      <w:pPr>
        <w:pStyle w:val="5"/>
        <w:widowControl w:val="0"/>
        <w:snapToGrid w:val="0"/>
        <w:spacing w:before="0" w:beforeLines="0" w:beforeAutospacing="0" w:after="0" w:afterLines="0" w:afterAutospacing="0" w:line="336" w:lineRule="auto"/>
        <w:ind w:firstLine="640" w:firstLineChars="0"/>
        <w:jc w:val="both"/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  <w:lang w:eastAsia="zh-CN"/>
        </w:rPr>
        <w:t>主要内容为：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u w:val="none"/>
        </w:rPr>
        <w:t>推进实施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</w:rPr>
        <w:t>《海南省国民营养计划实施方案（</w:t>
      </w:r>
      <w:r>
        <w:rPr>
          <w:rFonts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</w:rPr>
        <w:t>2018-2030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</w:rPr>
        <w:t>年）》《健康海南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  <w:lang w:val="en-US" w:eastAsia="zh-CN"/>
        </w:rPr>
        <w:t>行动实施方案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</w:rPr>
        <w:t>》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u w:val="none"/>
          <w:lang w:eastAsia="zh-CN"/>
        </w:rPr>
        <w:t>《全民科学素质规划纲要（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u w:val="none"/>
          <w:lang w:val="en-US" w:eastAsia="zh-CN"/>
        </w:rPr>
        <w:t>2021-2035年）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sz w:val="32"/>
          <w:szCs w:val="32"/>
          <w:u w:val="none"/>
          <w:lang w:eastAsia="zh-CN"/>
        </w:rPr>
        <w:t>》，</w:t>
      </w:r>
      <w:r>
        <w:rPr>
          <w:rFonts w:hint="eastAsia" w:ascii="Times New Roman" w:hAnsi="Times New Roman" w:eastAsia="仿宋_GB2312" w:cs="Times New Roman"/>
          <w:b w:val="0"/>
          <w:bCs/>
          <w:color w:val="000000"/>
          <w:sz w:val="32"/>
          <w:szCs w:val="32"/>
          <w:u w:val="none"/>
          <w:lang w:eastAsia="zh-CN"/>
        </w:rPr>
        <w:t>宣传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  <w:lang w:val="en-US" w:eastAsia="zh-CN"/>
        </w:rPr>
        <w:t>《中国居民膳食指南（2022）》《成人肥胖食养指南》、《儿童青少年肥胖食养指南》、《成人高尿酸血症与痛风食养指南》、《成人慢性肾病食养指南》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  <w:lang w:val="en-US" w:eastAsia="zh-CN"/>
        </w:rPr>
        <w:t>核心信息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  <w:lang w:eastAsia="zh-CN"/>
        </w:rPr>
        <w:t>。倡导各级卫生机构工作者（含营养指导人员）结合实际，运用指南辅助预防和改善慢性疾病。</w:t>
      </w:r>
    </w:p>
    <w:p>
      <w:pPr>
        <w:pStyle w:val="5"/>
        <w:widowControl w:val="0"/>
        <w:snapToGrid w:val="0"/>
        <w:spacing w:before="0" w:beforeLines="0" w:beforeAutospacing="0" w:after="0" w:afterLines="0" w:afterAutospacing="0" w:line="336" w:lineRule="auto"/>
        <w:ind w:firstLine="640" w:firstLineChars="0"/>
        <w:jc w:val="both"/>
        <w:rPr>
          <w:rFonts w:hint="eastAsia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u w:val="none"/>
          <w:lang w:eastAsia="zh-CN"/>
        </w:rPr>
        <w:t>继续宣传倡导粮食节约、反对食品浪费理念，落实《中华人民共和国反食品浪费法》《海南省粮食节约和反食品浪费2024年工作要点》；</w:t>
      </w:r>
    </w:p>
    <w:p>
      <w:pPr>
        <w:pStyle w:val="5"/>
        <w:widowControl w:val="0"/>
        <w:snapToGrid w:val="0"/>
        <w:spacing w:before="0" w:beforeLines="0" w:beforeAutospacing="0" w:after="0" w:afterAutospacing="0" w:line="336" w:lineRule="auto"/>
        <w:ind w:firstLine="640"/>
        <w:jc w:val="both"/>
        <w:rPr>
          <w:rFonts w:hint="eastAsia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u w:val="none"/>
          <w:lang w:eastAsia="zh-CN"/>
        </w:rPr>
      </w:pPr>
      <w:r>
        <w:rPr>
          <w:rFonts w:hint="default" w:ascii="仿宋_GB2312" w:eastAsia="宋体" w:cs="仿宋_GB2312"/>
          <w:b w:val="0"/>
          <w:bCs/>
          <w:color w:val="auto"/>
          <w:sz w:val="36"/>
          <w:szCs w:val="36"/>
          <w:u w:val="none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2872740</wp:posOffset>
            </wp:positionH>
            <wp:positionV relativeFrom="page">
              <wp:posOffset>8799195</wp:posOffset>
            </wp:positionV>
            <wp:extent cx="1788795" cy="1101090"/>
            <wp:effectExtent l="0" t="0" r="1905" b="3810"/>
            <wp:wrapNone/>
            <wp:docPr id="1" name="图片 2" descr="全民营养周永久标识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全民营养周永久标识图片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u w:val="none"/>
          <w:lang w:eastAsia="zh-CN"/>
        </w:rPr>
        <w:t>2024年全民营养周的传播主题为“奶豆添营养 少油更健康”，宣传口号为“健康中国 营养先行”。全民营养周Logo为永久标识，如下图：</w:t>
      </w:r>
    </w:p>
    <w:p>
      <w:pPr>
        <w:pStyle w:val="5"/>
        <w:widowControl w:val="0"/>
        <w:snapToGrid w:val="0"/>
        <w:spacing w:before="0" w:beforeLines="0" w:beforeAutospacing="0" w:line="336" w:lineRule="auto"/>
        <w:ind w:firstLine="640"/>
        <w:jc w:val="both"/>
        <w:rPr>
          <w:rFonts w:hint="eastAsia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u w:val="none"/>
          <w:lang w:eastAsia="zh-CN"/>
        </w:rPr>
      </w:pPr>
    </w:p>
    <w:p>
      <w:pPr>
        <w:pStyle w:val="5"/>
        <w:widowControl w:val="0"/>
        <w:snapToGrid w:val="0"/>
        <w:spacing w:before="0" w:beforeLines="0" w:beforeAutospacing="0" w:line="336" w:lineRule="auto"/>
        <w:ind w:firstLine="640"/>
        <w:jc w:val="both"/>
        <w:rPr>
          <w:rFonts w:hint="eastAsia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u w:val="none"/>
          <w:lang w:eastAsia="zh-CN"/>
        </w:rPr>
      </w:pPr>
    </w:p>
    <w:p>
      <w:pPr>
        <w:adjustRightInd w:val="0"/>
        <w:snapToGrid w:val="0"/>
        <w:spacing w:line="336" w:lineRule="auto"/>
        <w:ind w:firstLine="640" w:firstLineChars="200"/>
        <w:jc w:val="both"/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32"/>
          <w:u w:val="none"/>
        </w:rPr>
        <w:t>（二）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32"/>
          <w:u w:val="none"/>
          <w:lang w:eastAsia="zh-CN"/>
        </w:rPr>
        <w:t>“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32"/>
          <w:u w:val="none"/>
        </w:rPr>
        <w:t>5.20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32"/>
          <w:u w:val="none"/>
          <w:lang w:eastAsia="zh-CN"/>
        </w:rPr>
        <w:t>”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sz w:val="32"/>
          <w:szCs w:val="32"/>
          <w:u w:val="none"/>
        </w:rPr>
        <w:t>中国学生营养日</w:t>
      </w:r>
    </w:p>
    <w:p>
      <w:pPr>
        <w:adjustRightInd w:val="0"/>
        <w:snapToGrid w:val="0"/>
        <w:spacing w:line="336" w:lineRule="auto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</w:rPr>
        <w:t>主要内容为：贯彻落实《海南省国民营养计划实施方案（</w:t>
      </w:r>
      <w:r>
        <w:rPr>
          <w:rFonts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</w:rPr>
        <w:t>2018-2030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</w:rPr>
        <w:t>年）》《学校食品安全与营养健康管理规定》，以《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  <w:lang w:eastAsia="zh-CN"/>
        </w:rPr>
        <w:t>中国学龄儿童膳食指南（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</w:rPr>
        <w:t>》为指导，大力普及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  <w:lang w:eastAsia="zh-CN"/>
        </w:rPr>
        <w:t>膳食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</w:rPr>
        <w:t>营养和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  <w:lang w:eastAsia="zh-CN"/>
        </w:rPr>
        <w:t>吃动平衡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</w:rPr>
        <w:t>知识，促进儿童青少年健康成长，助力健康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  <w:lang w:val="en-US" w:eastAsia="zh-CN"/>
        </w:rPr>
        <w:t>海南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</w:rPr>
        <w:t>建设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  <w:lang w:eastAsia="zh-CN"/>
        </w:rPr>
        <w:t>。</w:t>
      </w:r>
    </w:p>
    <w:p>
      <w:pPr>
        <w:adjustRightInd w:val="0"/>
        <w:snapToGrid w:val="0"/>
        <w:spacing w:line="336" w:lineRule="auto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</w:rPr>
      </w:pPr>
      <w:r>
        <w:rPr>
          <w:rFonts w:hint="eastAsia" w:eastAsia="仿宋_GB2312" w:cs="Times New Roman"/>
          <w:b w:val="0"/>
          <w:bCs/>
          <w:color w:val="auto"/>
          <w:sz w:val="32"/>
          <w:szCs w:val="32"/>
          <w:u w:val="none"/>
          <w:lang w:eastAsia="zh-CN"/>
        </w:rPr>
        <w:t>2024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</w:rPr>
        <w:t>年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</w:rPr>
        <w:t>5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</w:rPr>
        <w:t>20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</w:rPr>
        <w:t>中国学生营养日传播主题为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  <w:lang w:eastAsia="zh-CN"/>
        </w:rPr>
        <w:t>“奶豆添营养 少油更健康”。“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</w:rPr>
        <w:t>5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</w:rPr>
        <w:t>20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</w:rPr>
        <w:t>中国学生营养日Logo为永久标识，如下图：</w:t>
      </w:r>
    </w:p>
    <w:p>
      <w:pPr>
        <w:adjustRightInd w:val="0"/>
        <w:snapToGrid w:val="0"/>
        <w:spacing w:line="336" w:lineRule="auto"/>
        <w:ind w:firstLine="420" w:firstLineChars="200"/>
        <w:jc w:val="both"/>
        <w:rPr>
          <w:rFonts w:ascii="仿宋_GB2312" w:cs="仿宋_GB2312"/>
          <w:b w:val="0"/>
          <w:bCs/>
          <w:color w:val="auto"/>
          <w:szCs w:val="32"/>
          <w:u w:val="none"/>
        </w:rPr>
      </w:pPr>
      <w:r>
        <w:rPr>
          <w:b w:val="0"/>
          <w:bCs/>
          <w:color w:val="auto"/>
          <w:u w:val="non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1757045</wp:posOffset>
            </wp:positionH>
            <wp:positionV relativeFrom="paragraph">
              <wp:posOffset>168275</wp:posOffset>
            </wp:positionV>
            <wp:extent cx="1635760" cy="1073150"/>
            <wp:effectExtent l="0" t="0" r="2540" b="12700"/>
            <wp:wrapNone/>
            <wp:docPr id="3" name="图片 1" descr="393400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39340095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adjustRightInd w:val="0"/>
        <w:snapToGrid w:val="0"/>
        <w:spacing w:line="500" w:lineRule="exact"/>
        <w:ind w:firstLine="420" w:firstLineChars="200"/>
        <w:rPr>
          <w:rFonts w:ascii="仿宋_GB2312" w:cs="仿宋_GB2312"/>
          <w:b w:val="0"/>
          <w:bCs/>
          <w:color w:val="auto"/>
          <w:szCs w:val="32"/>
          <w:u w:val="none"/>
        </w:rPr>
      </w:pPr>
    </w:p>
    <w:p>
      <w:pPr>
        <w:adjustRightInd w:val="0"/>
        <w:snapToGrid w:val="0"/>
        <w:spacing w:line="500" w:lineRule="exact"/>
        <w:ind w:firstLine="420" w:firstLineChars="200"/>
        <w:rPr>
          <w:rFonts w:ascii="仿宋_GB2312" w:cs="仿宋_GB2312"/>
          <w:b w:val="0"/>
          <w:bCs/>
          <w:color w:val="auto"/>
          <w:szCs w:val="32"/>
          <w:u w:val="none"/>
        </w:rPr>
      </w:pPr>
    </w:p>
    <w:p>
      <w:pPr>
        <w:adjustRightInd w:val="0"/>
        <w:snapToGrid w:val="0"/>
        <w:spacing w:line="500" w:lineRule="exact"/>
        <w:ind w:firstLine="420" w:firstLineChars="200"/>
        <w:rPr>
          <w:rFonts w:ascii="仿宋_GB2312" w:cs="仿宋_GB2312"/>
          <w:b w:val="0"/>
          <w:bCs/>
          <w:color w:val="auto"/>
          <w:szCs w:val="32"/>
          <w:u w:val="none"/>
        </w:rPr>
      </w:pPr>
    </w:p>
    <w:p>
      <w:pPr>
        <w:adjustRightInd w:val="0"/>
        <w:snapToGrid w:val="0"/>
        <w:spacing w:line="500" w:lineRule="exact"/>
        <w:ind w:firstLine="420" w:firstLineChars="200"/>
        <w:rPr>
          <w:rFonts w:ascii="仿宋_GB2312" w:cs="仿宋_GB2312"/>
          <w:b w:val="0"/>
          <w:bCs/>
          <w:color w:val="auto"/>
          <w:szCs w:val="32"/>
          <w:u w:val="none"/>
        </w:rPr>
      </w:pPr>
    </w:p>
    <w:p>
      <w:pPr>
        <w:adjustRightInd w:val="0"/>
        <w:snapToGrid w:val="0"/>
        <w:spacing w:line="500" w:lineRule="exact"/>
        <w:ind w:firstLine="420" w:firstLineChars="200"/>
        <w:rPr>
          <w:rFonts w:ascii="仿宋_GB2312" w:cs="仿宋_GB2312"/>
          <w:b w:val="0"/>
          <w:bCs/>
          <w:color w:val="auto"/>
          <w:szCs w:val="32"/>
          <w:u w:val="none"/>
        </w:rPr>
      </w:pPr>
    </w:p>
    <w:p>
      <w:pPr>
        <w:adjustRightInd w:val="0"/>
        <w:snapToGrid w:val="0"/>
        <w:spacing w:beforeLines="0" w:afterLines="0" w:line="336" w:lineRule="auto"/>
        <w:ind w:firstLine="640" w:firstLineChars="200"/>
        <w:jc w:val="both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u w:val="none"/>
        </w:rPr>
        <w:t>二、活动安排</w:t>
      </w:r>
    </w:p>
    <w:p>
      <w:pPr>
        <w:pStyle w:val="5"/>
        <w:widowControl w:val="0"/>
        <w:snapToGrid w:val="0"/>
        <w:spacing w:before="0" w:beforeLines="0" w:beforeAutospacing="0" w:after="0" w:afterLines="0" w:afterAutospacing="0" w:line="336" w:lineRule="auto"/>
        <w:ind w:firstLine="640" w:firstLineChars="200"/>
        <w:jc w:val="both"/>
        <w:rPr>
          <w:rFonts w:hint="default" w:ascii="Times New Roman" w:hAnsi="Times New Roman" w:eastAsia="楷体_GB2312" w:cs="Times New Roman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kern w:val="2"/>
          <w:sz w:val="32"/>
          <w:szCs w:val="32"/>
          <w:u w:val="none"/>
        </w:rPr>
        <w:t>（一）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  <w:t>组织实施</w:t>
      </w:r>
    </w:p>
    <w:p>
      <w:pPr>
        <w:pStyle w:val="5"/>
        <w:widowControl w:val="0"/>
        <w:snapToGrid w:val="0"/>
        <w:spacing w:before="0" w:beforeLines="0" w:beforeAutospacing="0" w:after="0" w:afterLines="0" w:afterAutospacing="0" w:line="336" w:lineRule="auto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  <w:t>1.举办省级主场活动，启动全民营养周；期间各市县开展活动由海南省营养学会、省疾控中心、海南省预防医学会、海南医学院公共卫生学院、省健康宣传教育中心参与组织指导（内部通讯录见OA附件栏）。</w:t>
      </w:r>
    </w:p>
    <w:p>
      <w:pPr>
        <w:pStyle w:val="5"/>
        <w:widowControl w:val="0"/>
        <w:snapToGrid w:val="0"/>
        <w:spacing w:before="0" w:beforeLines="0" w:beforeAutospacing="0" w:after="0" w:afterLines="0" w:afterAutospacing="0" w:line="336" w:lineRule="auto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  <w:t>2.各地于5月初通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  <w:t>过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  <w:t>中国营养学会官网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  <w:t>”或“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  <w:t>中国营养界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  <w:t>微信公众号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  <w:t>获取2024年全民营养宣传周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  <w:t xml:space="preserve">主题Logo 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  <w:t>、宣传工具包等相关资料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  <w:t>。</w:t>
      </w:r>
    </w:p>
    <w:p>
      <w:pPr>
        <w:pStyle w:val="5"/>
        <w:widowControl w:val="0"/>
        <w:snapToGrid w:val="0"/>
        <w:spacing w:before="0" w:beforeLines="0" w:beforeAutospacing="0" w:after="0" w:afterLines="0" w:afterAutospacing="0" w:line="336" w:lineRule="auto"/>
        <w:ind w:firstLine="640" w:firstLineChars="200"/>
        <w:jc w:val="both"/>
        <w:rPr>
          <w:rFonts w:hint="eastAsia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  <w:t>3.各地于5月初通过“中国学生营养与健康促进会”官网和“中国学生健康”微信公众号获取2024年“5.20”中国学生营养日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  <w:t>主题海报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  <w:t>、宣传工具包等相关资料。</w:t>
      </w:r>
    </w:p>
    <w:p>
      <w:pPr>
        <w:pStyle w:val="5"/>
        <w:widowControl w:val="0"/>
        <w:snapToGrid w:val="0"/>
        <w:spacing w:before="0" w:beforeLines="0" w:beforeAutospacing="0" w:after="0" w:afterLines="0" w:afterAutospacing="0" w:line="336" w:lineRule="auto"/>
        <w:ind w:firstLine="640" w:firstLineChars="200"/>
        <w:jc w:val="both"/>
        <w:rPr>
          <w:rFonts w:hint="default" w:ascii="Times New Roman" w:hAnsi="Times New Roman" w:eastAsia="楷体_GB2312" w:cs="Times New Roman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kern w:val="2"/>
          <w:sz w:val="32"/>
          <w:szCs w:val="32"/>
          <w:u w:val="none"/>
          <w:lang w:eastAsia="zh-CN"/>
        </w:rPr>
        <w:t>（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2"/>
          <w:sz w:val="32"/>
          <w:szCs w:val="32"/>
          <w:u w:val="none"/>
        </w:rPr>
        <w:t>二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2"/>
          <w:sz w:val="32"/>
          <w:szCs w:val="32"/>
          <w:u w:val="none"/>
          <w:lang w:eastAsia="zh-CN"/>
        </w:rPr>
        <w:t>）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2"/>
          <w:sz w:val="32"/>
          <w:szCs w:val="32"/>
          <w:u w:val="none"/>
        </w:rPr>
        <w:t>主场活动</w:t>
      </w:r>
    </w:p>
    <w:p>
      <w:pPr>
        <w:pStyle w:val="5"/>
        <w:widowControl w:val="0"/>
        <w:snapToGrid w:val="0"/>
        <w:spacing w:before="0" w:beforeLines="0" w:beforeAutospacing="0" w:after="0" w:afterLines="0" w:afterAutospacing="0" w:line="336" w:lineRule="auto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u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u w:val="none"/>
        </w:rPr>
        <w:t>全民营养周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  <w:t>宣传活动省级主场活动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u w:val="none"/>
          <w:lang w:eastAsia="zh-CN"/>
        </w:rPr>
        <w:t>”定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u w:val="none"/>
        </w:rPr>
        <w:t>于</w:t>
      </w:r>
      <w:r>
        <w:rPr>
          <w:rFonts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u w:val="none"/>
        </w:rPr>
        <w:t>5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u w:val="none"/>
        </w:rPr>
        <w:t>月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  <w:t>11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u w:val="none"/>
        </w:rPr>
        <w:t>日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  <w:t>在海口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u w:val="none"/>
        </w:rPr>
        <w:t>举行。</w:t>
      </w:r>
    </w:p>
    <w:p>
      <w:pPr>
        <w:pStyle w:val="5"/>
        <w:widowControl w:val="0"/>
        <w:snapToGrid w:val="0"/>
        <w:spacing w:before="0" w:beforeLines="0" w:beforeAutospacing="0" w:after="0" w:afterLines="0" w:afterAutospacing="0" w:line="336" w:lineRule="auto"/>
        <w:ind w:firstLine="640" w:firstLineChars="200"/>
        <w:jc w:val="both"/>
        <w:rPr>
          <w:rFonts w:hint="default" w:ascii="Times New Roman" w:hAnsi="Times New Roman" w:eastAsia="楷体_GB2312" w:cs="Times New Roman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kern w:val="2"/>
          <w:sz w:val="32"/>
          <w:szCs w:val="32"/>
          <w:u w:val="none"/>
        </w:rPr>
        <w:t>（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2"/>
          <w:sz w:val="32"/>
          <w:szCs w:val="32"/>
          <w:u w:val="none"/>
        </w:rPr>
        <w:t>）线下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  <w:t>宣传</w:t>
      </w:r>
    </w:p>
    <w:p>
      <w:pPr>
        <w:autoSpaceDE w:val="0"/>
        <w:autoSpaceDN w:val="0"/>
        <w:adjustRightInd w:val="0"/>
        <w:snapToGrid w:val="0"/>
        <w:spacing w:beforeLines="0" w:afterLines="0" w:line="336" w:lineRule="auto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u w:val="none"/>
        </w:rPr>
        <w:t>围绕主题开展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  <w:t>线下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u w:val="none"/>
        </w:rPr>
        <w:t>活动。通过专家咨询、讲座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u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u w:val="none"/>
        </w:rPr>
        <w:t>电子屏幕展示、海报张贴、宣传折页，以及社区、学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  <w:t>校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u w:val="none"/>
        </w:rPr>
        <w:t>家长微信群发布等多种形式，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  <w:t>落实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u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u w:val="none"/>
        </w:rPr>
        <w:t>五进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u w:val="none"/>
          <w:lang w:eastAsia="zh-CN"/>
        </w:rPr>
        <w:t>”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  <w:t>要求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u w:val="none"/>
        </w:rPr>
        <w:t>进社区、进乡村、进学校、进超市、进餐厅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u w:val="none"/>
        </w:rPr>
        <w:t>。</w:t>
      </w:r>
    </w:p>
    <w:p>
      <w:pPr>
        <w:autoSpaceDE w:val="0"/>
        <w:autoSpaceDN w:val="0"/>
        <w:adjustRightInd w:val="0"/>
        <w:snapToGrid w:val="0"/>
        <w:spacing w:beforeLines="0" w:afterLines="0" w:line="336" w:lineRule="auto"/>
        <w:ind w:firstLine="640" w:firstLineChars="200"/>
        <w:jc w:val="both"/>
        <w:rPr>
          <w:rFonts w:hint="eastAsia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u w:val="none"/>
          <w:lang w:eastAsia="zh-CN"/>
        </w:rPr>
        <w:t>各地</w:t>
      </w:r>
      <w:r>
        <w:rPr>
          <w:rFonts w:hint="eastAsia" w:eastAsia="仿宋_GB2312" w:cs="Times New Roman"/>
          <w:b w:val="0"/>
          <w:bCs/>
          <w:color w:val="auto"/>
          <w:kern w:val="2"/>
          <w:sz w:val="32"/>
          <w:szCs w:val="32"/>
          <w:u w:val="none"/>
          <w:lang w:eastAsia="zh-CN"/>
        </w:rPr>
        <w:t>组织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u w:val="none"/>
          <w:lang w:eastAsia="zh-CN"/>
        </w:rPr>
        <w:t>相关单位积极参与，广泛开展。</w:t>
      </w:r>
    </w:p>
    <w:p>
      <w:pPr>
        <w:pStyle w:val="5"/>
        <w:widowControl w:val="0"/>
        <w:snapToGrid w:val="0"/>
        <w:spacing w:before="0" w:beforeLines="0" w:beforeAutospacing="0" w:after="0" w:afterLines="0" w:afterAutospacing="0" w:line="336" w:lineRule="auto"/>
        <w:ind w:firstLine="640" w:firstLineChars="200"/>
        <w:jc w:val="both"/>
        <w:rPr>
          <w:rFonts w:hint="default" w:ascii="Times New Roman" w:hAnsi="Times New Roman" w:eastAsia="楷体_GB2312" w:cs="Times New Roman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default" w:ascii="Times New Roman" w:hAnsi="Times New Roman" w:eastAsia="楷体_GB2312" w:cs="Times New Roman"/>
          <w:b w:val="0"/>
          <w:bCs/>
          <w:color w:val="auto"/>
          <w:kern w:val="2"/>
          <w:sz w:val="32"/>
          <w:szCs w:val="32"/>
          <w:u w:val="none"/>
        </w:rPr>
        <w:t>（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  <w:t>四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2"/>
          <w:sz w:val="32"/>
          <w:szCs w:val="32"/>
          <w:u w:val="none"/>
        </w:rPr>
        <w:t>）线上</w:t>
      </w:r>
      <w:r>
        <w:rPr>
          <w:rFonts w:hint="default" w:ascii="Times New Roman" w:hAnsi="Times New Roman" w:eastAsia="楷体_GB2312" w:cs="Times New Roman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  <w:t>宣传</w:t>
      </w:r>
    </w:p>
    <w:p>
      <w:pPr>
        <w:pStyle w:val="5"/>
        <w:widowControl w:val="0"/>
        <w:snapToGrid w:val="0"/>
        <w:spacing w:before="0" w:beforeLines="0" w:beforeAutospacing="0" w:after="0" w:afterLines="0" w:afterAutospacing="0" w:line="336" w:lineRule="auto"/>
        <w:ind w:firstLine="640" w:firstLineChars="200"/>
        <w:jc w:val="both"/>
        <w:rPr>
          <w:rFonts w:hint="default" w:ascii="Times New Roman" w:hAnsi="Times New Roman" w:eastAsia="仿宋_GB2312" w:cs="Times New Roman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  <w:lang w:val="en-US" w:eastAsia="zh-CN"/>
        </w:rPr>
        <w:t>各地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  <w:lang w:eastAsia="zh-CN"/>
        </w:rPr>
        <w:t>加强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</w:rPr>
        <w:t>线上传播策划力度，组织动员广大营养健康科技工作者、营养师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  <w:lang w:eastAsia="zh-CN"/>
        </w:rPr>
        <w:t>、营养指导员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</w:rPr>
        <w:t>发挥主力军作用，广泛传播中国居民膳食指南核心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  <w:lang w:val="en-US" w:eastAsia="zh-CN"/>
        </w:rPr>
        <w:t>信息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</w:rPr>
        <w:t>，踊跃参与科普文章、视频、海报等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  <w:lang w:val="en-US" w:eastAsia="zh-CN"/>
        </w:rPr>
        <w:t>宣传内容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</w:rPr>
        <w:t>产出，利用当地主流媒体和各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  <w:lang w:val="en-US" w:eastAsia="zh-CN"/>
        </w:rPr>
        <w:t>有关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</w:rPr>
        <w:t>单位官网、微博、微信公众号等平台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  <w:lang w:val="en-US" w:eastAsia="zh-CN"/>
        </w:rPr>
        <w:t>大力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</w:rPr>
        <w:t>宣传，提升社会影响力和全民参与度。</w:t>
      </w:r>
    </w:p>
    <w:p>
      <w:pPr>
        <w:pStyle w:val="5"/>
        <w:widowControl w:val="0"/>
        <w:snapToGrid w:val="0"/>
        <w:spacing w:before="0" w:beforeLines="0" w:beforeAutospacing="0" w:after="0" w:afterLines="0" w:afterAutospacing="0" w:line="336" w:lineRule="auto"/>
        <w:ind w:firstLine="640" w:firstLineChars="200"/>
        <w:jc w:val="both"/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u w:val="none"/>
        </w:rPr>
        <w:t>三、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活动总结</w:t>
      </w:r>
    </w:p>
    <w:p>
      <w:pPr>
        <w:pStyle w:val="5"/>
        <w:widowControl w:val="0"/>
        <w:snapToGrid w:val="0"/>
        <w:spacing w:before="0" w:beforeLines="0" w:beforeAutospacing="0" w:after="0" w:afterLines="0" w:afterAutospacing="0" w:line="336" w:lineRule="auto"/>
        <w:ind w:firstLine="640" w:firstLineChars="200"/>
        <w:jc w:val="both"/>
        <w:rPr>
          <w:rFonts w:ascii="Times New Roman" w:hAnsi="Times New Roman" w:cs="Times New Roman"/>
          <w:b w:val="0"/>
          <w:bCs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fldChar w:fldCharType="begin"/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instrText xml:space="preserve"> HYPERLINK "mailto:各市县及时总结，于6月8日前将活动总结及图片、影像媒体报道等佐证资料报送省国民营养健康指导委员会办公室（省卫生健康委药政食品处）邮箱hnyzspc@hainan.gov.cn，以便报送国家\“全民营养周示范单位\”遴选" </w:instrTex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fldChar w:fldCharType="separate"/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各市县于6月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日前将活动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开展情况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总结及图片、影像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媒体报道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转载截图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等佐证资料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报送省国民营养健康指导委员会办公室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  <w:lang w:val="en-US" w:eastAsia="zh-CN"/>
        </w:rPr>
        <w:t>省卫生健康委药政食品处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</w:rPr>
        <w:t>邮箱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u w:val="none"/>
          <w:lang w:val="en-US" w:eastAsia="zh-CN"/>
        </w:rPr>
        <w:t>xiazai139mm11@126.com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，以便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我办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报送中国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pacing w:val="0"/>
          <w:sz w:val="32"/>
          <w:szCs w:val="32"/>
          <w:u w:val="none"/>
        </w:rPr>
        <w:t>国民营养健康指导委员会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fldChar w:fldCharType="end"/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highlight w:val="none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36" w:lineRule="auto"/>
        <w:ind w:left="1213" w:leftChars="150" w:right="0" w:rightChars="0" w:hanging="898" w:hangingChars="321"/>
        <w:jc w:val="both"/>
        <w:textAlignment w:val="auto"/>
        <w:outlineLvl w:val="9"/>
        <w:rPr>
          <w:rFonts w:hint="eastAsia" w:eastAsia="仿宋_GB2312"/>
          <w:color w:val="000000"/>
          <w:sz w:val="28"/>
          <w:szCs w:val="28"/>
          <w:lang w:eastAsia="zh-CN"/>
        </w:rPr>
      </w:pPr>
    </w:p>
    <w:sectPr>
      <w:footerReference r:id="rId4" w:type="first"/>
      <w:footerReference r:id="rId3" w:type="default"/>
      <w:pgSz w:w="11906" w:h="16838"/>
      <w:pgMar w:top="1984" w:right="1474" w:bottom="1587" w:left="1587" w:header="851" w:footer="1247" w:gutter="0"/>
      <w:pgNumType w:fmt="decimal"/>
      <w:cols w:space="720" w:num="1"/>
      <w:titlePg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宋体" w:hAnsi="宋体" w:eastAsia="宋体" w:cs="宋体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240" w:lineRule="atLeast"/>
                            <w:rPr>
                              <w:rStyle w:val="10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hpgkvTAAAABQEA&#10;AA8AAAAAAAAAAQAgAAAAIgAAAGRycy9kb3ducmV2LnhtbFBLAQIUABQAAAAIAIdO4kDRBEq05gEA&#10;AMgDAAAOAAAAAAAAAAEAIAAAACIBAABkcnMvZTJvRG9jLnhtbFBLBQYAAAAABgAGAFkBAAB6BQAA&#10;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spacing w:line="240" w:lineRule="atLeast"/>
                      <w:rPr>
                        <w:rStyle w:val="10"/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Style w:val="10"/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color w:val="FFFFFF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-251460</wp:posOffset>
              </wp:positionH>
              <wp:positionV relativeFrom="paragraph">
                <wp:posOffset>70485</wp:posOffset>
              </wp:positionV>
              <wp:extent cx="6119495" cy="635"/>
              <wp:effectExtent l="0" t="31750" r="14605" b="43815"/>
              <wp:wrapNone/>
              <wp:docPr id="4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635"/>
                      </a:xfrm>
                      <a:prstGeom prst="line">
                        <a:avLst/>
                      </a:prstGeom>
                      <a:ln w="63500" cap="flat" cmpd="thinThick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Line 3" o:spid="_x0000_s1026" o:spt="20" style="position:absolute;left:0pt;margin-left:-19.8pt;margin-top:5.55pt;height:0.05pt;width:481.85pt;z-index:251659264;mso-width-relative:page;mso-height-relative:page;" filled="f" stroked="t" coordsize="21600,21600" o:gfxdata="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AnbHnWAAAACQEA&#10;AA8AAAAAAAAAAQAgAAAAIgAAAGRycy9kb3ducmV2LnhtbFBLAQIUABQAAAAIAIdO4kAuEZJk4wEA&#10;AOIDAAAOAAAAAAAAAAEAIAAAACUBAABkcnMvZTJvRG9jLnhtbFBLBQYAAAAABgAGAFkBAAB6BQAA&#10;AAA=&#10;">
              <v:fill on="f" focussize="0,0"/>
              <v:stroke weight="5pt" color="#FF0000" linestyle="thinThick" joinstyle="round"/>
              <v:imagedata o:title=""/>
              <o:lock v:ext="edit" aspectratio="f"/>
            </v:lin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HorizontalSpacing w:val="0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7FF9A8"/>
    <w:rsid w:val="0FB9419E"/>
    <w:rsid w:val="15FE3DA9"/>
    <w:rsid w:val="1BBF4E69"/>
    <w:rsid w:val="1EFA208B"/>
    <w:rsid w:val="204A3C1D"/>
    <w:rsid w:val="2225242F"/>
    <w:rsid w:val="27F56DD7"/>
    <w:rsid w:val="2FBE4C8B"/>
    <w:rsid w:val="34055B05"/>
    <w:rsid w:val="353C9238"/>
    <w:rsid w:val="35AC09EA"/>
    <w:rsid w:val="35BD2C78"/>
    <w:rsid w:val="36BBB773"/>
    <w:rsid w:val="375F2CBB"/>
    <w:rsid w:val="377E8792"/>
    <w:rsid w:val="39BBCD47"/>
    <w:rsid w:val="3B471C9A"/>
    <w:rsid w:val="3FC258B6"/>
    <w:rsid w:val="3FFF8657"/>
    <w:rsid w:val="4677F3F3"/>
    <w:rsid w:val="49CC11DF"/>
    <w:rsid w:val="4D0A6ABF"/>
    <w:rsid w:val="4FFD62E0"/>
    <w:rsid w:val="56E6758D"/>
    <w:rsid w:val="577CAAE0"/>
    <w:rsid w:val="57FECDC4"/>
    <w:rsid w:val="5B9D3243"/>
    <w:rsid w:val="5F55D547"/>
    <w:rsid w:val="5F7A66F7"/>
    <w:rsid w:val="5FFD780E"/>
    <w:rsid w:val="6BBE43D6"/>
    <w:rsid w:val="6F69C804"/>
    <w:rsid w:val="6F7FED98"/>
    <w:rsid w:val="6FDB415F"/>
    <w:rsid w:val="72F65829"/>
    <w:rsid w:val="73EF77BF"/>
    <w:rsid w:val="74BFBB49"/>
    <w:rsid w:val="765F9E0C"/>
    <w:rsid w:val="78F70563"/>
    <w:rsid w:val="793BDF7C"/>
    <w:rsid w:val="79DEAAA0"/>
    <w:rsid w:val="79FF401C"/>
    <w:rsid w:val="7B1D679E"/>
    <w:rsid w:val="7B7D6701"/>
    <w:rsid w:val="7B7F266E"/>
    <w:rsid w:val="7B7F90E9"/>
    <w:rsid w:val="7BAD4E97"/>
    <w:rsid w:val="7BFE38F8"/>
    <w:rsid w:val="7CDE4322"/>
    <w:rsid w:val="7DBEFF87"/>
    <w:rsid w:val="7DDF8E0A"/>
    <w:rsid w:val="7DF69F3C"/>
    <w:rsid w:val="7E1DD690"/>
    <w:rsid w:val="7E771443"/>
    <w:rsid w:val="7EDA8E62"/>
    <w:rsid w:val="7EFF0B6C"/>
    <w:rsid w:val="7EFFFDCC"/>
    <w:rsid w:val="7F315C91"/>
    <w:rsid w:val="7F3E330A"/>
    <w:rsid w:val="7F607D0B"/>
    <w:rsid w:val="7F7F15D4"/>
    <w:rsid w:val="7FB7A7DD"/>
    <w:rsid w:val="7FE320CC"/>
    <w:rsid w:val="7FF518A8"/>
    <w:rsid w:val="7FF70EBD"/>
    <w:rsid w:val="7FF76C78"/>
    <w:rsid w:val="7FFB7DB9"/>
    <w:rsid w:val="7FFD04BE"/>
    <w:rsid w:val="7FFEF996"/>
    <w:rsid w:val="7FFFBAE4"/>
    <w:rsid w:val="87F6F6F7"/>
    <w:rsid w:val="8EEF38BA"/>
    <w:rsid w:val="93ECAD5A"/>
    <w:rsid w:val="9F3FA1B4"/>
    <w:rsid w:val="A7FF0780"/>
    <w:rsid w:val="ADFF4F84"/>
    <w:rsid w:val="AF363E66"/>
    <w:rsid w:val="AF6CDD16"/>
    <w:rsid w:val="BA7B23C6"/>
    <w:rsid w:val="BBA7DEAB"/>
    <w:rsid w:val="BBB0F7DA"/>
    <w:rsid w:val="BBFECE82"/>
    <w:rsid w:val="BDF791D2"/>
    <w:rsid w:val="BF5D00A1"/>
    <w:rsid w:val="BFFACAC3"/>
    <w:rsid w:val="C3FF2AAC"/>
    <w:rsid w:val="C7F3656D"/>
    <w:rsid w:val="CF5E1717"/>
    <w:rsid w:val="CFFFD72E"/>
    <w:rsid w:val="D5FD87F0"/>
    <w:rsid w:val="D8BF9F91"/>
    <w:rsid w:val="DB5FF4EF"/>
    <w:rsid w:val="DBF6273F"/>
    <w:rsid w:val="DE4150DE"/>
    <w:rsid w:val="DFBFAA71"/>
    <w:rsid w:val="DFFB874D"/>
    <w:rsid w:val="E2BFDFBD"/>
    <w:rsid w:val="EB8D859C"/>
    <w:rsid w:val="EBF29DEC"/>
    <w:rsid w:val="ED5DC637"/>
    <w:rsid w:val="EDEFB731"/>
    <w:rsid w:val="EE9C9539"/>
    <w:rsid w:val="EEC31ACB"/>
    <w:rsid w:val="EFAF9CF0"/>
    <w:rsid w:val="EFBD66EB"/>
    <w:rsid w:val="EFEB1A71"/>
    <w:rsid w:val="EFF77EE1"/>
    <w:rsid w:val="F56F03E9"/>
    <w:rsid w:val="F60FE8D1"/>
    <w:rsid w:val="F6E7A01A"/>
    <w:rsid w:val="F95E46CD"/>
    <w:rsid w:val="F973D43A"/>
    <w:rsid w:val="F9741A81"/>
    <w:rsid w:val="F97FC20D"/>
    <w:rsid w:val="F9FE2F62"/>
    <w:rsid w:val="F9FFE16F"/>
    <w:rsid w:val="FB768AF9"/>
    <w:rsid w:val="FDFBE9CB"/>
    <w:rsid w:val="FEAED18C"/>
    <w:rsid w:val="FEBA4D86"/>
    <w:rsid w:val="FEBF613E"/>
    <w:rsid w:val="FEEF9EEA"/>
    <w:rsid w:val="FEFAB46C"/>
    <w:rsid w:val="FFB90FAF"/>
    <w:rsid w:val="FFD9D1B6"/>
    <w:rsid w:val="FFDBD719"/>
    <w:rsid w:val="FFEFC64E"/>
    <w:rsid w:val="FFF632C0"/>
    <w:rsid w:val="FFF997FB"/>
    <w:rsid w:val="FFFB852B"/>
    <w:rsid w:val="FFFF10BA"/>
    <w:rsid w:val="FFFFFD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link w:val="9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paragraph" w:styleId="5">
    <w:name w:val="Normal (Web)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6">
    <w:name w:val="Title"/>
    <w:basedOn w:val="1"/>
    <w:next w:val="1"/>
    <w:link w:val="15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9">
    <w:name w:val="Char"/>
    <w:basedOn w:val="1"/>
    <w:link w:val="8"/>
    <w:qFormat/>
    <w:uiPriority w:val="0"/>
    <w:pPr>
      <w:tabs>
        <w:tab w:val="left" w:pos="360"/>
      </w:tabs>
    </w:pPr>
  </w:style>
  <w:style w:type="character" w:styleId="10">
    <w:name w:val="page number"/>
    <w:basedOn w:val="8"/>
    <w:qFormat/>
    <w:uiPriority w:val="0"/>
  </w:style>
  <w:style w:type="character" w:styleId="11">
    <w:name w:val="Hyperlink"/>
    <w:qFormat/>
    <w:uiPriority w:val="0"/>
    <w:rPr>
      <w:rFonts w:ascii="Calibri" w:hAnsi="Calibri" w:eastAsia="宋体" w:cs="Times New Roman"/>
      <w:color w:val="0000FF"/>
      <w:u w:val="single"/>
    </w:rPr>
  </w:style>
  <w:style w:type="paragraph" w:customStyle="1" w:styleId="12">
    <w:name w:val="仿宋国标"/>
    <w:basedOn w:val="1"/>
    <w:qFormat/>
    <w:uiPriority w:val="0"/>
    <w:pPr>
      <w:topLinePunct/>
    </w:pPr>
    <w:rPr>
      <w:rFonts w:ascii="Calibri" w:hAnsi="Calibri" w:eastAsia="宋体" w:cs="Times New Roman"/>
      <w:sz w:val="32"/>
    </w:rPr>
  </w:style>
  <w:style w:type="paragraph" w:customStyle="1" w:styleId="13">
    <w:name w:val="宋体小三号"/>
    <w:basedOn w:val="1"/>
    <w:qFormat/>
    <w:uiPriority w:val="0"/>
    <w:pPr>
      <w:widowControl/>
      <w:jc w:val="left"/>
    </w:pPr>
    <w:rPr>
      <w:rFonts w:ascii="Arial" w:hAnsi="Arial" w:eastAsia="CESI宋体-GB2312" w:cs="Arial"/>
      <w:color w:val="333333"/>
      <w:kern w:val="0"/>
      <w:sz w:val="30"/>
      <w:shd w:val="clear" w:color="auto" w:fill="FFFFFF"/>
      <w:lang w:bidi="ar"/>
    </w:rPr>
  </w:style>
  <w:style w:type="character" w:customStyle="1" w:styleId="14">
    <w:name w:val="页眉 Char Char"/>
    <w:link w:val="4"/>
    <w:qFormat/>
    <w:uiPriority w:val="0"/>
    <w:rPr>
      <w:kern w:val="2"/>
      <w:sz w:val="18"/>
      <w:szCs w:val="18"/>
    </w:rPr>
  </w:style>
  <w:style w:type="character" w:customStyle="1" w:styleId="15">
    <w:name w:val="标题 Char Char"/>
    <w:link w:val="6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16">
    <w:name w:val="p0"/>
    <w:basedOn w:val="1"/>
    <w:qFormat/>
    <w:uiPriority w:val="0"/>
    <w:pPr>
      <w:widowControl/>
    </w:pPr>
    <w:rPr>
      <w:rFonts w:hint="eastAsia" w:ascii="仿宋_GB2312" w:hAnsi="宋体" w:eastAsia="仿宋_GB2312"/>
      <w:sz w:val="32"/>
    </w:rPr>
  </w:style>
  <w:style w:type="paragraph" w:customStyle="1" w:styleId="17">
    <w:name w:val="样式1"/>
    <w:qFormat/>
    <w:uiPriority w:val="0"/>
    <w:pPr>
      <w:widowControl w:val="0"/>
      <w:jc w:val="both"/>
    </w:pPr>
    <w:rPr>
      <w:rFonts w:ascii="仿宋_GB2312" w:hAnsi="Times New Roman" w:eastAsia="宋体" w:cs="Times New Roman"/>
      <w:kern w:val="2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2</Pages>
  <Words>12</Words>
  <Characters>74</Characters>
  <Lines>1</Lines>
  <Paragraphs>1</Paragraphs>
  <TotalTime>22</TotalTime>
  <ScaleCrop>false</ScaleCrop>
  <LinksUpToDate>false</LinksUpToDate>
  <CharactersWithSpaces>85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2007-01-08T02:11:00Z</dcterms:created>
  <dc:creator>官宏伟</dc:creator>
  <cp:lastModifiedBy>韩小龙</cp:lastModifiedBy>
  <cp:lastPrinted>2023-11-04T16:46:00Z</cp:lastPrinted>
  <dcterms:modified xsi:type="dcterms:W3CDTF">2024-04-23T08:17:02Z</dcterms:modified>
  <dc:title>_x0001_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3AE20DA60A1EE515396B276650F53852</vt:lpwstr>
  </property>
  <property fmtid="{D5CDD505-2E9C-101B-9397-08002B2CF9AE}" pid="4" name="标题">
    <vt:lpwstr>海南省国民营养健康指导委员会办公室关于开展2024年海南省全民营养周暨“5·20”中国学生营养日主题宣传活动的通知</vt:lpwstr>
  </property>
  <property fmtid="{D5CDD505-2E9C-101B-9397-08002B2CF9AE}" pid="5" name="文种">
    <vt:lpwstr>决议</vt:lpwstr>
  </property>
  <property fmtid="{D5CDD505-2E9C-101B-9397-08002B2CF9AE}" pid="6" name="公文标识">
    <vt:lpwstr>1.2.156.10.--2024-01-01625</vt:lpwstr>
  </property>
</Properties>
</file>