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小标宋_GBK" w:hAnsi="方正小标宋_GBK" w:eastAsia="方正小标宋_GBK" w:cs="方正小标宋_GBK"/>
          <w:color w:val="auto"/>
          <w:sz w:val="44"/>
          <w:szCs w:val="44"/>
          <w:highlight w:val="none"/>
        </w:rPr>
      </w:pPr>
    </w:p>
    <w:p>
      <w:pPr>
        <w:spacing w:line="600" w:lineRule="exact"/>
        <w:jc w:val="center"/>
        <w:rPr>
          <w:rFonts w:hint="eastAsia" w:ascii="方正小标宋_GBK" w:hAnsi="方正小标宋_GBK" w:eastAsia="方正小标宋_GBK" w:cs="方正小标宋_GBK"/>
          <w:bCs/>
          <w:color w:val="auto"/>
          <w:sz w:val="44"/>
          <w:szCs w:val="44"/>
          <w:highlight w:val="none"/>
          <w:lang w:eastAsia="zh-CN"/>
        </w:rPr>
      </w:pPr>
      <w:r>
        <w:rPr>
          <w:rFonts w:hint="eastAsia" w:ascii="方正小标宋_GBK" w:hAnsi="方正小标宋_GBK" w:eastAsia="方正小标宋_GBK" w:cs="方正小标宋_GBK"/>
          <w:bCs/>
          <w:color w:val="auto"/>
          <w:sz w:val="44"/>
          <w:szCs w:val="44"/>
          <w:highlight w:val="none"/>
        </w:rPr>
        <w:t>公立</w:t>
      </w:r>
      <w:r>
        <w:rPr>
          <w:rFonts w:hint="eastAsia" w:ascii="方正小标宋_GBK" w:hAnsi="方正小标宋_GBK" w:eastAsia="方正小标宋_GBK" w:cs="方正小标宋_GBK"/>
          <w:b w:val="0"/>
          <w:bCs/>
          <w:color w:val="auto"/>
          <w:sz w:val="44"/>
          <w:szCs w:val="44"/>
          <w:highlight w:val="none"/>
          <w:lang w:val="en-US" w:eastAsia="zh-CN"/>
        </w:rPr>
        <w:t>医院</w:t>
      </w:r>
      <w:r>
        <w:rPr>
          <w:rFonts w:hint="eastAsia" w:ascii="方正小标宋_GBK" w:hAnsi="方正小标宋_GBK" w:eastAsia="方正小标宋_GBK" w:cs="方正小标宋_GBK"/>
          <w:b w:val="0"/>
          <w:bCs/>
          <w:color w:val="auto"/>
          <w:sz w:val="44"/>
          <w:szCs w:val="44"/>
          <w:highlight w:val="none"/>
        </w:rPr>
        <w:t>在博鳌乐城国际医疗旅游先行区特许经营管理</w:t>
      </w:r>
      <w:del w:id="0" w:author="uos" w:date="2025-06-24T10:20:28Z">
        <w:bookmarkStart w:id="3" w:name="_GoBack"/>
        <w:bookmarkEnd w:id="3"/>
        <w:r>
          <w:rPr>
            <w:rFonts w:hint="eastAsia" w:ascii="方正小标宋_GBK" w:hAnsi="方正小标宋_GBK" w:eastAsia="方正小标宋_GBK" w:cs="方正小标宋_GBK"/>
            <w:b w:val="0"/>
            <w:bCs/>
            <w:color w:val="auto"/>
            <w:sz w:val="44"/>
            <w:szCs w:val="44"/>
            <w:highlight w:val="none"/>
          </w:rPr>
          <w:delText>细则</w:delText>
        </w:r>
      </w:del>
      <w:ins w:id="1" w:author="uos" w:date="2025-06-24T10:20:28Z">
        <w:r>
          <w:rPr>
            <w:rFonts w:hint="eastAsia" w:ascii="方正小标宋_GBK" w:hAnsi="方正小标宋_GBK" w:eastAsia="方正小标宋_GBK" w:cs="方正小标宋_GBK"/>
            <w:b w:val="0"/>
            <w:bCs/>
            <w:color w:val="auto"/>
            <w:sz w:val="44"/>
            <w:szCs w:val="44"/>
            <w:highlight w:val="none"/>
            <w:lang w:eastAsia="zh-CN"/>
          </w:rPr>
          <w:t>办法</w:t>
        </w:r>
      </w:ins>
    </w:p>
    <w:p>
      <w:pPr>
        <w:spacing w:line="600" w:lineRule="exact"/>
        <w:jc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征求意见稿</w:t>
      </w:r>
      <w:r>
        <w:rPr>
          <w:rFonts w:hint="eastAsia" w:ascii="仿宋_GB2312" w:hAnsi="仿宋_GB2312" w:eastAsia="仿宋_GB2312" w:cs="仿宋_GB2312"/>
          <w:color w:val="auto"/>
          <w:sz w:val="32"/>
          <w:szCs w:val="32"/>
          <w:highlight w:val="none"/>
          <w:lang w:eastAsia="zh-CN"/>
        </w:rPr>
        <w:t>）</w:t>
      </w:r>
    </w:p>
    <w:p>
      <w:pPr>
        <w:snapToGrid w:val="0"/>
        <w:spacing w:line="600" w:lineRule="exact"/>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第一章  总  则</w:t>
      </w:r>
    </w:p>
    <w:p>
      <w:pPr>
        <w:snapToGrid w:val="0"/>
        <w:spacing w:line="600" w:lineRule="exact"/>
        <w:ind w:firstLine="643" w:firstLineChars="200"/>
        <w:jc w:val="both"/>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第一条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为促进海南自由贸易港博鳌乐城国际医疗旅游先行区（以下简称“先行区”）发展，规范</w:t>
      </w:r>
      <w:r>
        <w:rPr>
          <w:rFonts w:hint="eastAsia" w:ascii="仿宋" w:hAnsi="仿宋" w:eastAsia="仿宋" w:cs="仿宋"/>
          <w:color w:val="auto"/>
          <w:sz w:val="32"/>
          <w:szCs w:val="32"/>
          <w:highlight w:val="none"/>
          <w:lang w:eastAsia="zh-CN"/>
        </w:rPr>
        <w:t>公立</w:t>
      </w:r>
      <w:r>
        <w:rPr>
          <w:rFonts w:hint="eastAsia" w:ascii="仿宋" w:hAnsi="仿宋" w:eastAsia="仿宋" w:cs="仿宋"/>
          <w:color w:val="auto"/>
          <w:sz w:val="32"/>
          <w:szCs w:val="32"/>
          <w:highlight w:val="none"/>
        </w:rPr>
        <w:t>医疗机构与先行区医疗机构特许经营合作行为，保障公民医疗卫生服务相关权益，根据《中华人民共和国基本医疗卫生与健康促进法》</w:t>
      </w:r>
      <w:r>
        <w:rPr>
          <w:rFonts w:hint="eastAsia" w:ascii="仿宋" w:hAnsi="仿宋" w:eastAsia="仿宋" w:cs="仿宋"/>
          <w:color w:val="auto"/>
          <w:sz w:val="32"/>
          <w:szCs w:val="32"/>
          <w:highlight w:val="none"/>
          <w:lang w:eastAsia="zh-CN"/>
        </w:rPr>
        <w:t>《中华人民共和国海南自由贸易港法》</w:t>
      </w:r>
      <w:r>
        <w:rPr>
          <w:rFonts w:hint="eastAsia" w:ascii="仿宋" w:hAnsi="仿宋" w:eastAsia="仿宋" w:cs="仿宋"/>
          <w:b w:val="0"/>
          <w:bCs w:val="0"/>
          <w:color w:val="auto"/>
          <w:sz w:val="32"/>
          <w:szCs w:val="32"/>
          <w:highlight w:val="none"/>
          <w:lang w:val="en-US" w:eastAsia="zh-CN"/>
        </w:rPr>
        <w:t>《海南自由贸易港博鳌乐城国际医疗旅游先行区条例》</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国家发展改革委、国家卫生健康委、国家中医药局、国家药监局</w:t>
      </w:r>
      <w:r>
        <w:rPr>
          <w:rFonts w:hint="eastAsia" w:ascii="仿宋" w:hAnsi="仿宋" w:eastAsia="仿宋" w:cs="仿宋"/>
          <w:color w:val="auto"/>
          <w:sz w:val="32"/>
          <w:szCs w:val="32"/>
          <w:highlight w:val="none"/>
        </w:rPr>
        <w:t>关于支持建设博鳌乐城国际医疗旅游先行区的实施方案》</w:t>
      </w:r>
      <w:r>
        <w:rPr>
          <w:rFonts w:hint="eastAsia" w:ascii="仿宋" w:hAnsi="仿宋" w:eastAsia="仿宋" w:cs="仿宋"/>
          <w:color w:val="auto"/>
          <w:sz w:val="32"/>
          <w:szCs w:val="32"/>
          <w:highlight w:val="none"/>
          <w:lang w:eastAsia="zh-CN"/>
        </w:rPr>
        <w:t>（发改地区〔</w:t>
      </w:r>
      <w:r>
        <w:rPr>
          <w:rFonts w:hint="eastAsia" w:ascii="仿宋" w:hAnsi="仿宋" w:eastAsia="仿宋" w:cs="仿宋"/>
          <w:color w:val="auto"/>
          <w:sz w:val="32"/>
          <w:szCs w:val="32"/>
          <w:highlight w:val="none"/>
          <w:lang w:val="en-US" w:eastAsia="zh-CN"/>
        </w:rPr>
        <w:t>2019</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1482号，以下简称《实施方案》</w:t>
      </w:r>
      <w:r>
        <w:rPr>
          <w:rFonts w:hint="eastAsia" w:ascii="仿宋" w:hAnsi="仿宋" w:eastAsia="仿宋" w:cs="仿宋"/>
          <w:color w:val="auto"/>
          <w:sz w:val="32"/>
          <w:szCs w:val="32"/>
          <w:highlight w:val="none"/>
          <w:lang w:eastAsia="zh-CN"/>
        </w:rPr>
        <w:t>）有关</w:t>
      </w:r>
      <w:r>
        <w:rPr>
          <w:rFonts w:hint="eastAsia" w:ascii="仿宋" w:hAnsi="仿宋" w:eastAsia="仿宋" w:cs="仿宋"/>
          <w:color w:val="auto"/>
          <w:sz w:val="32"/>
          <w:szCs w:val="32"/>
          <w:highlight w:val="none"/>
        </w:rPr>
        <w:t>要求，制定</w:t>
      </w:r>
      <w:r>
        <w:rPr>
          <w:rFonts w:hint="eastAsia" w:ascii="仿宋" w:hAnsi="仿宋" w:eastAsia="仿宋" w:cs="仿宋"/>
          <w:color w:val="auto"/>
          <w:sz w:val="32"/>
          <w:szCs w:val="32"/>
          <w:highlight w:val="none"/>
          <w:lang w:eastAsia="zh-CN"/>
        </w:rPr>
        <w:t>本办法</w:t>
      </w:r>
      <w:r>
        <w:rPr>
          <w:rFonts w:hint="eastAsia" w:ascii="仿宋" w:hAnsi="仿宋" w:eastAsia="仿宋" w:cs="仿宋"/>
          <w:color w:val="auto"/>
          <w:sz w:val="32"/>
          <w:szCs w:val="32"/>
          <w:highlight w:val="none"/>
        </w:rPr>
        <w:t>。</w:t>
      </w:r>
    </w:p>
    <w:p>
      <w:pPr>
        <w:snapToGrid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第二条</w:t>
      </w:r>
      <w:r>
        <w:rPr>
          <w:rFonts w:hint="eastAsia" w:ascii="仿宋" w:hAnsi="仿宋" w:eastAsia="仿宋" w:cs="仿宋"/>
          <w:color w:val="auto"/>
          <w:sz w:val="32"/>
          <w:szCs w:val="32"/>
          <w:highlight w:val="none"/>
        </w:rPr>
        <w:t xml:space="preserve">  </w:t>
      </w:r>
      <w:del w:id="2" w:author="uos" w:date="2025-06-24T10:19:41Z">
        <w:r>
          <w:rPr>
            <w:rFonts w:hint="eastAsia" w:ascii="仿宋" w:hAnsi="仿宋" w:eastAsia="仿宋" w:cs="仿宋"/>
            <w:color w:val="auto"/>
            <w:sz w:val="32"/>
            <w:szCs w:val="32"/>
            <w:highlight w:val="none"/>
          </w:rPr>
          <w:delText>本细则</w:delText>
        </w:r>
      </w:del>
      <w:ins w:id="3" w:author="uos" w:date="2025-06-24T10:19:41Z">
        <w:r>
          <w:rPr>
            <w:rFonts w:hint="eastAsia" w:ascii="仿宋" w:hAnsi="仿宋" w:eastAsia="仿宋" w:cs="仿宋"/>
            <w:color w:val="auto"/>
            <w:sz w:val="32"/>
            <w:szCs w:val="32"/>
            <w:highlight w:val="none"/>
            <w:lang w:eastAsia="zh-CN"/>
          </w:rPr>
          <w:t>本办法</w:t>
        </w:r>
      </w:ins>
      <w:r>
        <w:rPr>
          <w:rFonts w:hint="eastAsia" w:ascii="仿宋" w:hAnsi="仿宋" w:eastAsia="仿宋" w:cs="仿宋"/>
          <w:color w:val="auto"/>
          <w:sz w:val="32"/>
          <w:szCs w:val="32"/>
          <w:highlight w:val="none"/>
        </w:rPr>
        <w:t>适用于</w:t>
      </w:r>
      <w:r>
        <w:rPr>
          <w:rFonts w:hint="eastAsia" w:ascii="仿宋" w:hAnsi="仿宋" w:eastAsia="仿宋" w:cs="仿宋"/>
          <w:color w:val="auto"/>
          <w:sz w:val="32"/>
          <w:szCs w:val="32"/>
          <w:highlight w:val="none"/>
          <w:lang w:eastAsia="zh-CN"/>
        </w:rPr>
        <w:t>政府举办的医疗卫生机构（以下简称公立医院）</w:t>
      </w:r>
      <w:r>
        <w:rPr>
          <w:rFonts w:hint="eastAsia" w:ascii="仿宋" w:hAnsi="仿宋" w:eastAsia="仿宋" w:cs="仿宋"/>
          <w:color w:val="auto"/>
          <w:sz w:val="32"/>
          <w:szCs w:val="32"/>
          <w:highlight w:val="none"/>
        </w:rPr>
        <w:t>与先行区医疗机构开展多种类型的医疗业务、学科建设、人才培养等合作，包括医疗机构间层面、医疗机构与科室层面、医疗机构与专家团队、医生集团或个人层面等合作模式。</w:t>
      </w:r>
    </w:p>
    <w:p>
      <w:pPr>
        <w:snapToGrid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第三条</w:t>
      </w:r>
      <w:r>
        <w:rPr>
          <w:rFonts w:hint="eastAsia" w:ascii="仿宋" w:hAnsi="仿宋" w:eastAsia="仿宋" w:cs="仿宋"/>
          <w:color w:val="auto"/>
          <w:sz w:val="32"/>
          <w:szCs w:val="32"/>
          <w:highlight w:val="none"/>
        </w:rPr>
        <w:t xml:space="preserve">  </w:t>
      </w:r>
      <w:del w:id="4" w:author="uos" w:date="2025-06-24T10:19:41Z">
        <w:r>
          <w:rPr>
            <w:rFonts w:hint="eastAsia" w:ascii="仿宋" w:hAnsi="仿宋" w:eastAsia="仿宋" w:cs="仿宋"/>
            <w:color w:val="auto"/>
            <w:sz w:val="32"/>
            <w:szCs w:val="32"/>
            <w:highlight w:val="none"/>
          </w:rPr>
          <w:delText>本细则</w:delText>
        </w:r>
      </w:del>
      <w:ins w:id="5" w:author="uos" w:date="2025-06-24T10:19:41Z">
        <w:r>
          <w:rPr>
            <w:rFonts w:hint="eastAsia" w:ascii="仿宋" w:hAnsi="仿宋" w:eastAsia="仿宋" w:cs="仿宋"/>
            <w:color w:val="auto"/>
            <w:sz w:val="32"/>
            <w:szCs w:val="32"/>
            <w:highlight w:val="none"/>
            <w:lang w:eastAsia="zh-CN"/>
          </w:rPr>
          <w:t>本办法</w:t>
        </w:r>
      </w:ins>
      <w:r>
        <w:rPr>
          <w:rFonts w:hint="eastAsia" w:ascii="仿宋" w:hAnsi="仿宋" w:eastAsia="仿宋" w:cs="仿宋"/>
          <w:color w:val="auto"/>
          <w:sz w:val="32"/>
          <w:szCs w:val="32"/>
          <w:highlight w:val="none"/>
        </w:rPr>
        <w:t>中的特许经营是指经授权的</w:t>
      </w:r>
      <w:r>
        <w:rPr>
          <w:rFonts w:hint="eastAsia" w:ascii="仿宋" w:hAnsi="仿宋" w:eastAsia="仿宋" w:cs="仿宋"/>
          <w:color w:val="auto"/>
          <w:sz w:val="32"/>
          <w:szCs w:val="32"/>
          <w:highlight w:val="none"/>
          <w:lang w:eastAsia="zh-CN"/>
        </w:rPr>
        <w:t>公立医院</w:t>
      </w:r>
      <w:r>
        <w:rPr>
          <w:rFonts w:hint="eastAsia" w:ascii="仿宋" w:hAnsi="仿宋" w:eastAsia="仿宋" w:cs="仿宋"/>
          <w:color w:val="auto"/>
          <w:sz w:val="32"/>
          <w:szCs w:val="32"/>
          <w:highlight w:val="none"/>
        </w:rPr>
        <w:t>（以下简称“特许方”）将品牌、商标、专利等无形资产，以及技术、服务、管理等以特许经营协议的形式，提供给先行区医疗机构（以下简称“被特许方”）使用，被特许方按照特许经营协议约定，在特定的期限内以统一的经营、管理方式和服务流程向社会提供医疗服务，并向特许方支付特许经营费用的活动。</w:t>
      </w:r>
    </w:p>
    <w:p>
      <w:pPr>
        <w:snapToGrid w:val="0"/>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公立医院</w:t>
      </w:r>
      <w:r>
        <w:rPr>
          <w:rFonts w:hint="eastAsia" w:ascii="仿宋" w:hAnsi="仿宋" w:eastAsia="仿宋" w:cs="仿宋"/>
          <w:color w:val="auto"/>
          <w:sz w:val="32"/>
          <w:szCs w:val="32"/>
          <w:highlight w:val="none"/>
        </w:rPr>
        <w:t>或其</w:t>
      </w:r>
      <w:r>
        <w:rPr>
          <w:rFonts w:hint="eastAsia" w:ascii="仿宋" w:hAnsi="仿宋" w:eastAsia="仿宋" w:cs="仿宋"/>
          <w:color w:val="auto"/>
          <w:sz w:val="32"/>
          <w:szCs w:val="32"/>
          <w:highlight w:val="none"/>
          <w:lang w:eastAsia="zh-CN"/>
        </w:rPr>
        <w:t>院内</w:t>
      </w:r>
      <w:r>
        <w:rPr>
          <w:rFonts w:hint="eastAsia" w:ascii="仿宋" w:hAnsi="仿宋" w:eastAsia="仿宋" w:cs="仿宋"/>
          <w:color w:val="auto"/>
          <w:sz w:val="32"/>
          <w:szCs w:val="32"/>
          <w:highlight w:val="none"/>
        </w:rPr>
        <w:t>科室、专家团队、个人与先行区内医疗机构合作的，需要双方医疗机构间签订合作协议。</w:t>
      </w:r>
    </w:p>
    <w:p>
      <w:pPr>
        <w:shd w:val="solid" w:color="FFFFFF" w:fill="auto"/>
        <w:autoSpaceDN w:val="0"/>
        <w:spacing w:line="600" w:lineRule="exact"/>
        <w:ind w:firstLine="643" w:firstLineChars="200"/>
        <w:rPr>
          <w:rFonts w:hint="eastAsia" w:ascii="仿宋" w:hAnsi="仿宋" w:eastAsia="仿宋" w:cs="仿宋"/>
          <w:color w:val="auto"/>
          <w:sz w:val="32"/>
          <w:szCs w:val="32"/>
          <w:highlight w:val="none"/>
        </w:rPr>
      </w:pPr>
      <w:bookmarkStart w:id="0" w:name="OLE_LINK3"/>
      <w:r>
        <w:rPr>
          <w:rFonts w:hint="eastAsia" w:ascii="仿宋" w:hAnsi="仿宋" w:eastAsia="仿宋" w:cs="仿宋"/>
          <w:b/>
          <w:bCs/>
          <w:color w:val="auto"/>
          <w:sz w:val="32"/>
          <w:szCs w:val="32"/>
          <w:highlight w:val="none"/>
        </w:rPr>
        <w:t>第四条</w:t>
      </w:r>
      <w:r>
        <w:rPr>
          <w:rFonts w:hint="eastAsia" w:ascii="仿宋" w:hAnsi="仿宋" w:eastAsia="仿宋" w:cs="仿宋"/>
          <w:color w:val="auto"/>
          <w:sz w:val="32"/>
          <w:szCs w:val="32"/>
          <w:highlight w:val="none"/>
        </w:rPr>
        <w:t xml:space="preserve">  </w:t>
      </w:r>
      <w:bookmarkEnd w:id="0"/>
      <w:r>
        <w:rPr>
          <w:rFonts w:hint="eastAsia" w:ascii="仿宋" w:hAnsi="仿宋" w:eastAsia="仿宋" w:cs="仿宋"/>
          <w:color w:val="auto"/>
          <w:sz w:val="32"/>
          <w:szCs w:val="32"/>
          <w:highlight w:val="none"/>
        </w:rPr>
        <w:t>特许经营应当坚持以人民为中心，为人民健康服务，坚持公益性、注重提高服务质量和效率的原则。优先鼓励先行区医疗机构在心血管内科、神经内科、消化内科、妇产科、呼吸内科、肿瘤科、内分泌科、儿科、皮肤病科、眼科、耳鼻喉科、骨科、运动医学科、康复医学科、中医科、重症医学科、麻醉科、医疗美容科等诊疗科目和罕见病、康养、抗衰、健康管理等领域与</w:t>
      </w:r>
      <w:r>
        <w:rPr>
          <w:rFonts w:hint="eastAsia" w:ascii="仿宋" w:hAnsi="仿宋" w:eastAsia="仿宋" w:cs="仿宋"/>
          <w:color w:val="auto"/>
          <w:sz w:val="32"/>
          <w:szCs w:val="32"/>
          <w:highlight w:val="none"/>
          <w:lang w:eastAsia="zh-CN"/>
        </w:rPr>
        <w:t>公立医院</w:t>
      </w:r>
      <w:r>
        <w:rPr>
          <w:rFonts w:hint="eastAsia" w:ascii="仿宋" w:hAnsi="仿宋" w:eastAsia="仿宋" w:cs="仿宋"/>
          <w:color w:val="auto"/>
          <w:sz w:val="32"/>
          <w:szCs w:val="32"/>
          <w:highlight w:val="none"/>
        </w:rPr>
        <w:t>开展特许经营合作。</w:t>
      </w:r>
    </w:p>
    <w:p>
      <w:pPr>
        <w:spacing w:line="600" w:lineRule="exact"/>
        <w:ind w:firstLine="640"/>
        <w:rPr>
          <w:rFonts w:hint="eastAsia" w:ascii="仿宋" w:hAnsi="仿宋" w:eastAsia="仿宋" w:cs="仿宋_GB2312"/>
          <w:color w:val="auto"/>
          <w:sz w:val="32"/>
          <w:szCs w:val="32"/>
          <w:highlight w:val="none"/>
        </w:rPr>
      </w:pPr>
      <w:r>
        <w:rPr>
          <w:rFonts w:hint="eastAsia" w:ascii="仿宋" w:hAnsi="仿宋" w:eastAsia="仿宋" w:cs="仿宋"/>
          <w:b/>
          <w:bCs/>
          <w:color w:val="auto"/>
          <w:sz w:val="32"/>
          <w:szCs w:val="32"/>
          <w:highlight w:val="none"/>
        </w:rPr>
        <w:t>第五条</w:t>
      </w:r>
      <w:r>
        <w:rPr>
          <w:rFonts w:hint="eastAsia" w:ascii="仿宋" w:hAnsi="仿宋" w:eastAsia="仿宋" w:cs="仿宋"/>
          <w:color w:val="auto"/>
          <w:sz w:val="32"/>
          <w:szCs w:val="32"/>
          <w:highlight w:val="none"/>
        </w:rPr>
        <w:t xml:space="preserve">  特许方</w:t>
      </w:r>
      <w:r>
        <w:rPr>
          <w:rFonts w:hint="eastAsia" w:ascii="仿宋" w:hAnsi="仿宋" w:eastAsia="仿宋" w:cs="仿宋_GB2312"/>
          <w:color w:val="auto"/>
          <w:sz w:val="32"/>
          <w:szCs w:val="32"/>
          <w:highlight w:val="none"/>
        </w:rPr>
        <w:t>通过与被特许方开展合作的重点包括但不限于利用特许药械、特医食品、真实世界临床数据研究、生物医学新技术转化应用等政策，为特有需求患者的诊疗、科研等方面提供便利服务。</w:t>
      </w:r>
    </w:p>
    <w:p>
      <w:pPr>
        <w:spacing w:line="600" w:lineRule="exact"/>
        <w:ind w:firstLine="640"/>
        <w:rPr>
          <w:rFonts w:hint="eastAsia" w:ascii="仿宋" w:hAnsi="仿宋" w:eastAsia="仿宋" w:cs="仿宋_GB2312"/>
          <w:color w:val="auto"/>
          <w:sz w:val="32"/>
          <w:szCs w:val="32"/>
          <w:highlight w:val="none"/>
        </w:rPr>
      </w:pPr>
      <w:r>
        <w:rPr>
          <w:rFonts w:hint="eastAsia" w:ascii="仿宋" w:hAnsi="仿宋" w:eastAsia="仿宋" w:cs="仿宋"/>
          <w:b/>
          <w:bCs/>
          <w:color w:val="auto"/>
          <w:sz w:val="32"/>
          <w:szCs w:val="32"/>
          <w:highlight w:val="none"/>
        </w:rPr>
        <w:t>第六条</w:t>
      </w:r>
      <w:r>
        <w:rPr>
          <w:rFonts w:hint="eastAsia" w:ascii="仿宋" w:hAnsi="仿宋" w:eastAsia="仿宋" w:cs="仿宋"/>
          <w:color w:val="auto"/>
          <w:sz w:val="32"/>
          <w:szCs w:val="32"/>
          <w:highlight w:val="none"/>
        </w:rPr>
        <w:t xml:space="preserve">  </w:t>
      </w:r>
      <w:r>
        <w:rPr>
          <w:rFonts w:hint="eastAsia" w:ascii="仿宋" w:hAnsi="仿宋" w:eastAsia="仿宋" w:cs="仿宋_GB2312"/>
          <w:color w:val="auto"/>
          <w:sz w:val="32"/>
          <w:szCs w:val="32"/>
          <w:highlight w:val="none"/>
        </w:rPr>
        <w:t>鼓励有条件的医疗机构间建立远程诊疗中心，通过远程会诊、远程手术指导等方式，提升医疗服务质量和效率。鼓励共建国际医疗中心，为国内外患者提供特需医疗服务。鼓励共建医教研产学一体化平台，推动医疗能力提升、医学人才培养、医学科技创新与成果转化、医学学术交流。</w:t>
      </w:r>
    </w:p>
    <w:p>
      <w:pPr>
        <w:spacing w:line="600" w:lineRule="exact"/>
        <w:ind w:firstLine="640"/>
        <w:rPr>
          <w:rFonts w:hint="eastAsia" w:ascii="仿宋" w:hAnsi="仿宋" w:eastAsia="仿宋" w:cs="仿宋_GB2312"/>
          <w:color w:val="auto"/>
          <w:sz w:val="32"/>
          <w:szCs w:val="32"/>
          <w:highlight w:val="none"/>
        </w:rPr>
      </w:pPr>
      <w:r>
        <w:rPr>
          <w:rFonts w:hint="eastAsia" w:ascii="仿宋" w:hAnsi="仿宋" w:eastAsia="仿宋" w:cs="仿宋"/>
          <w:b/>
          <w:bCs/>
          <w:color w:val="auto"/>
          <w:sz w:val="32"/>
          <w:szCs w:val="32"/>
          <w:highlight w:val="none"/>
        </w:rPr>
        <w:t>第七条</w:t>
      </w:r>
      <w:r>
        <w:rPr>
          <w:rFonts w:hint="eastAsia" w:ascii="仿宋" w:hAnsi="仿宋" w:eastAsia="仿宋" w:cs="仿宋_GB2312"/>
          <w:color w:val="auto"/>
          <w:sz w:val="32"/>
          <w:szCs w:val="32"/>
          <w:highlight w:val="none"/>
        </w:rPr>
        <w:t xml:space="preserve">  支持特许方医师在特许经营合作的医疗机构内多点执业。主执业机构为特许方的医师，在经主执业机构同意后，向博鳌乐城国际医疗旅游先行区医药监管局（以下简称“先行区医药监管局”）申请备案，其在乐城先行区多点执业期间开展的特许药械项目纳入医师职称评审中“新技术、新项目”的认定范围。</w:t>
      </w:r>
    </w:p>
    <w:p>
      <w:pPr>
        <w:spacing w:line="600" w:lineRule="exact"/>
        <w:ind w:firstLine="640"/>
        <w:rPr>
          <w:rFonts w:hint="eastAsia" w:ascii="仿宋_GB2312" w:hAnsi="仿宋_GB2312" w:eastAsia="仿宋_GB2312" w:cs="仿宋_GB2312"/>
          <w:b/>
          <w:bCs/>
          <w:color w:val="auto"/>
          <w:sz w:val="32"/>
          <w:szCs w:val="32"/>
          <w:highlight w:val="none"/>
        </w:rPr>
      </w:pPr>
      <w:r>
        <w:rPr>
          <w:rFonts w:hint="eastAsia" w:ascii="仿宋" w:hAnsi="仿宋" w:eastAsia="仿宋" w:cs="仿宋_GB2312"/>
          <w:color w:val="auto"/>
          <w:sz w:val="32"/>
          <w:szCs w:val="32"/>
          <w:highlight w:val="none"/>
        </w:rPr>
        <w:t>特许经营合作双方可约定长期派驻人员名单，</w:t>
      </w:r>
      <w:r>
        <w:rPr>
          <w:rFonts w:hint="eastAsia" w:ascii="仿宋" w:hAnsi="仿宋" w:eastAsia="仿宋" w:cs="仿宋_GB2312"/>
          <w:b w:val="0"/>
          <w:bCs w:val="0"/>
          <w:color w:val="auto"/>
          <w:sz w:val="32"/>
          <w:szCs w:val="32"/>
          <w:highlight w:val="none"/>
        </w:rPr>
        <w:t>医师在先行区内医疗机构1年内多点执业时间超过240天的，其多点执业机构可视为其主执业机构。</w:t>
      </w:r>
    </w:p>
    <w:p>
      <w:pPr>
        <w:spacing w:line="600" w:lineRule="exact"/>
        <w:ind w:firstLine="640"/>
        <w:rPr>
          <w:rFonts w:hint="eastAsia" w:ascii="仿宋" w:hAnsi="仿宋" w:eastAsia="仿宋" w:cs="仿宋_GB2312"/>
          <w:color w:val="auto"/>
          <w:sz w:val="32"/>
          <w:szCs w:val="32"/>
          <w:highlight w:val="none"/>
        </w:rPr>
      </w:pPr>
      <w:r>
        <w:rPr>
          <w:rFonts w:hint="eastAsia" w:ascii="仿宋" w:hAnsi="仿宋" w:eastAsia="仿宋" w:cs="仿宋"/>
          <w:b/>
          <w:bCs/>
          <w:color w:val="auto"/>
          <w:sz w:val="32"/>
          <w:szCs w:val="32"/>
          <w:highlight w:val="none"/>
        </w:rPr>
        <w:t>第八条</w:t>
      </w:r>
      <w:r>
        <w:rPr>
          <w:rFonts w:hint="eastAsia" w:ascii="仿宋" w:hAnsi="仿宋" w:eastAsia="仿宋" w:cs="仿宋_GB2312"/>
          <w:color w:val="auto"/>
          <w:sz w:val="32"/>
          <w:szCs w:val="32"/>
          <w:highlight w:val="none"/>
        </w:rPr>
        <w:t xml:space="preserve">  博鳌乐城国际医疗旅游先行区管理局（以下简称“先行区管理局”）会同先行区医药监管局结合先行区发展规划，指导先行区医疗机构明确1-2个特色专科重点发展（以下简称特色专科），推动先行区内社会办医疗机构向三级专科医院转型发展。</w:t>
      </w:r>
    </w:p>
    <w:p>
      <w:pPr>
        <w:spacing w:line="600" w:lineRule="exact"/>
        <w:ind w:firstLine="64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对于特色专科，先行区医药监管局会同先行区管理局在特许药械、特医食品、生物医学新技术等审核审批等方面予以支持。</w:t>
      </w:r>
      <w:r>
        <w:rPr>
          <w:rFonts w:hint="eastAsia" w:ascii="仿宋" w:hAnsi="仿宋" w:eastAsia="仿宋" w:cs="仿宋_GB2312"/>
          <w:color w:val="auto"/>
          <w:sz w:val="32"/>
          <w:szCs w:val="32"/>
          <w:highlight w:val="none"/>
          <w:lang w:eastAsia="zh-CN"/>
        </w:rPr>
        <w:t>特许方</w:t>
      </w:r>
      <w:r>
        <w:rPr>
          <w:rFonts w:hint="eastAsia" w:ascii="仿宋" w:hAnsi="仿宋" w:eastAsia="仿宋" w:cs="仿宋_GB2312"/>
          <w:color w:val="auto"/>
          <w:sz w:val="32"/>
          <w:szCs w:val="32"/>
          <w:highlight w:val="none"/>
        </w:rPr>
        <w:t>原则上</w:t>
      </w:r>
      <w:r>
        <w:rPr>
          <w:rFonts w:hint="eastAsia" w:ascii="仿宋" w:hAnsi="仿宋" w:eastAsia="仿宋" w:cs="仿宋_GB2312"/>
          <w:color w:val="auto"/>
          <w:sz w:val="32"/>
          <w:szCs w:val="32"/>
          <w:highlight w:val="none"/>
          <w:lang w:eastAsia="zh-CN"/>
        </w:rPr>
        <w:t>应当围绕特色专科方向</w:t>
      </w:r>
      <w:r>
        <w:rPr>
          <w:rFonts w:hint="eastAsia" w:ascii="仿宋" w:hAnsi="仿宋" w:eastAsia="仿宋" w:cs="仿宋_GB2312"/>
          <w:color w:val="auto"/>
          <w:sz w:val="32"/>
          <w:szCs w:val="32"/>
          <w:highlight w:val="none"/>
        </w:rPr>
        <w:t>与被特许方开展合作。</w:t>
      </w:r>
    </w:p>
    <w:p>
      <w:pPr>
        <w:snapToGrid w:val="0"/>
        <w:spacing w:line="600" w:lineRule="exact"/>
        <w:jc w:val="center"/>
        <w:rPr>
          <w:rFonts w:hint="eastAsia" w:ascii="仿宋" w:hAnsi="仿宋" w:eastAsia="仿宋" w:cs="黑体"/>
          <w:color w:val="auto"/>
          <w:sz w:val="32"/>
          <w:szCs w:val="32"/>
          <w:highlight w:val="none"/>
        </w:rPr>
      </w:pPr>
    </w:p>
    <w:p>
      <w:pPr>
        <w:snapToGrid w:val="0"/>
        <w:spacing w:line="600" w:lineRule="exact"/>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第二章  合作主体</w:t>
      </w:r>
    </w:p>
    <w:p>
      <w:pPr>
        <w:snapToGrid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第九条</w:t>
      </w:r>
      <w:r>
        <w:rPr>
          <w:rFonts w:hint="eastAsia" w:ascii="仿宋" w:hAnsi="仿宋" w:eastAsia="仿宋" w:cs="仿宋"/>
          <w:color w:val="auto"/>
          <w:sz w:val="32"/>
          <w:szCs w:val="32"/>
          <w:highlight w:val="none"/>
        </w:rPr>
        <w:t xml:space="preserve">  特许方应在区域内或者行业内具有较为知名的医院和学科品牌，</w:t>
      </w:r>
      <w:r>
        <w:rPr>
          <w:rFonts w:hint="eastAsia" w:ascii="仿宋" w:hAnsi="仿宋" w:eastAsia="仿宋" w:cs="仿宋"/>
          <w:color w:val="auto"/>
          <w:sz w:val="32"/>
          <w:szCs w:val="32"/>
          <w:highlight w:val="none"/>
          <w:lang w:eastAsia="zh-CN"/>
        </w:rPr>
        <w:t>原则上要符合</w:t>
      </w:r>
      <w:r>
        <w:rPr>
          <w:rFonts w:hint="eastAsia" w:ascii="仿宋" w:hAnsi="仿宋" w:eastAsia="仿宋" w:cs="仿宋"/>
          <w:color w:val="auto"/>
          <w:sz w:val="32"/>
          <w:szCs w:val="32"/>
          <w:highlight w:val="none"/>
        </w:rPr>
        <w:t>三级</w:t>
      </w:r>
      <w:r>
        <w:rPr>
          <w:rFonts w:hint="eastAsia" w:ascii="仿宋" w:hAnsi="仿宋" w:eastAsia="仿宋" w:cs="仿宋"/>
          <w:color w:val="auto"/>
          <w:sz w:val="32"/>
          <w:szCs w:val="32"/>
          <w:highlight w:val="none"/>
          <w:lang w:eastAsia="zh-CN"/>
        </w:rPr>
        <w:t>医院标准</w:t>
      </w:r>
      <w:r>
        <w:rPr>
          <w:rFonts w:hint="eastAsia" w:ascii="仿宋" w:hAnsi="仿宋" w:eastAsia="仿宋" w:cs="仿宋"/>
          <w:color w:val="auto"/>
          <w:sz w:val="32"/>
          <w:szCs w:val="32"/>
          <w:highlight w:val="none"/>
        </w:rPr>
        <w:t>，专科具备较强的学科技术优势，具有规范、健全、系统的管理方式、服务规范和标准。</w:t>
      </w:r>
      <w:r>
        <w:rPr>
          <w:rFonts w:hint="eastAsia" w:ascii="仿宋" w:hAnsi="仿宋" w:eastAsia="仿宋" w:cs="仿宋"/>
          <w:color w:val="auto"/>
          <w:sz w:val="32"/>
          <w:szCs w:val="32"/>
          <w:highlight w:val="none"/>
          <w:lang w:eastAsia="zh-CN"/>
        </w:rPr>
        <w:t>鼓励</w:t>
      </w:r>
      <w:r>
        <w:rPr>
          <w:rFonts w:hint="eastAsia" w:ascii="仿宋" w:hAnsi="仿宋" w:eastAsia="仿宋" w:cs="仿宋"/>
          <w:color w:val="auto"/>
          <w:sz w:val="32"/>
          <w:szCs w:val="32"/>
          <w:highlight w:val="none"/>
        </w:rPr>
        <w:t>省级临床医学中心</w:t>
      </w:r>
      <w:r>
        <w:rPr>
          <w:rFonts w:hint="eastAsia" w:ascii="仿宋" w:hAnsi="仿宋" w:eastAsia="仿宋" w:cs="仿宋"/>
          <w:color w:val="auto"/>
          <w:sz w:val="32"/>
          <w:szCs w:val="32"/>
          <w:highlight w:val="none"/>
          <w:lang w:eastAsia="zh-CN"/>
        </w:rPr>
        <w:t>发挥其专科影响和带动作用，积极参与特许经营活动</w:t>
      </w:r>
      <w:r>
        <w:rPr>
          <w:rFonts w:hint="eastAsia" w:ascii="仿宋" w:hAnsi="仿宋" w:eastAsia="仿宋" w:cs="仿宋"/>
          <w:color w:val="auto"/>
          <w:sz w:val="32"/>
          <w:szCs w:val="32"/>
          <w:highlight w:val="none"/>
        </w:rPr>
        <w:t>。</w:t>
      </w:r>
    </w:p>
    <w:p>
      <w:pPr>
        <w:snapToGrid w:val="0"/>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特许方应在保障本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医疗质量和安全的前提下，统筹考虑开展特许经营的数量和规模。特许方拟与</w:t>
      </w:r>
      <w:r>
        <w:rPr>
          <w:rFonts w:hint="eastAsia" w:ascii="仿宋" w:hAnsi="仿宋" w:eastAsia="仿宋" w:cs="仿宋"/>
          <w:color w:val="auto"/>
          <w:sz w:val="32"/>
          <w:szCs w:val="32"/>
          <w:highlight w:val="none"/>
          <w:lang w:eastAsia="zh-CN"/>
        </w:rPr>
        <w:t>先行区医疗机构</w:t>
      </w:r>
      <w:r>
        <w:rPr>
          <w:rFonts w:hint="eastAsia" w:ascii="仿宋" w:hAnsi="仿宋" w:eastAsia="仿宋" w:cs="仿宋"/>
          <w:color w:val="auto"/>
          <w:sz w:val="32"/>
          <w:szCs w:val="32"/>
          <w:highlight w:val="none"/>
        </w:rPr>
        <w:t>开展特许经营属于“三重一大”事项，决策程序要民主、透明、合法、合规、合理，须按照“三重一大”制度的相关规定程序和要求执行，落实相关请示报告制度。</w:t>
      </w:r>
    </w:p>
    <w:p>
      <w:pPr>
        <w:snapToGrid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第十条</w:t>
      </w:r>
      <w:r>
        <w:rPr>
          <w:rFonts w:hint="eastAsia" w:ascii="仿宋" w:hAnsi="仿宋" w:eastAsia="仿宋" w:cs="仿宋"/>
          <w:color w:val="auto"/>
          <w:sz w:val="32"/>
          <w:szCs w:val="32"/>
          <w:highlight w:val="none"/>
        </w:rPr>
        <w:t xml:space="preserve">  被特许方为先行区医疗机构，具备独立法人资格和相应的资金实力，</w:t>
      </w:r>
      <w:r>
        <w:rPr>
          <w:rFonts w:hint="eastAsia" w:ascii="仿宋" w:hAnsi="仿宋" w:eastAsia="仿宋" w:cs="仿宋"/>
          <w:color w:val="auto"/>
          <w:sz w:val="32"/>
          <w:szCs w:val="32"/>
          <w:highlight w:val="none"/>
          <w:lang w:eastAsia="zh-CN"/>
        </w:rPr>
        <w:t>具有明确的</w:t>
      </w:r>
      <w:r>
        <w:rPr>
          <w:rFonts w:hint="eastAsia" w:ascii="仿宋" w:hAnsi="仿宋" w:eastAsia="仿宋" w:cs="仿宋"/>
          <w:color w:val="auto"/>
          <w:sz w:val="32"/>
          <w:szCs w:val="32"/>
          <w:highlight w:val="none"/>
        </w:rPr>
        <w:t>特色专科，在行业内信誉、诚信良好。具备临床诊疗所需的综合或专科医疗机构的基本功能要素（如门诊、病房、放射、检验等医技服务），能够满足相应的医疗服务需求的管理、人力资源及设备、设施等基本条件。</w:t>
      </w:r>
    </w:p>
    <w:p>
      <w:pPr>
        <w:snapToGrid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第十一条</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特许经营双方应切实维护国有资产安全和公共利益，保障医疗质量与安全，尊重患者权利和保护患者隐私。</w:t>
      </w:r>
    </w:p>
    <w:p>
      <w:pPr>
        <w:snapToGrid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val="en-US" w:eastAsia="zh-CN"/>
        </w:rPr>
        <w:t>二</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w:t>
      </w:r>
      <w:r>
        <w:rPr>
          <w:rFonts w:ascii="仿宋" w:hAnsi="仿宋" w:eastAsia="仿宋" w:cs="仿宋"/>
          <w:color w:val="auto"/>
          <w:sz w:val="32"/>
          <w:szCs w:val="32"/>
          <w:highlight w:val="none"/>
        </w:rPr>
        <w:t>特许方品牌所有权归特许方所有，合作期间科研成果所有权由双方协商确定。</w:t>
      </w:r>
      <w:r>
        <w:rPr>
          <w:rFonts w:hint="eastAsia" w:ascii="仿宋" w:hAnsi="仿宋" w:eastAsia="仿宋" w:cs="仿宋_GB2312"/>
          <w:color w:val="auto"/>
          <w:sz w:val="32"/>
          <w:szCs w:val="32"/>
          <w:highlight w:val="none"/>
        </w:rPr>
        <w:t>以医疗机构间层面合作模式的，被特许方经授权可以使用特许方品牌；</w:t>
      </w:r>
      <w:r>
        <w:rPr>
          <w:rFonts w:hint="eastAsia" w:ascii="仿宋" w:hAnsi="仿宋" w:eastAsia="仿宋" w:cs="仿宋"/>
          <w:color w:val="auto"/>
          <w:sz w:val="32"/>
          <w:szCs w:val="32"/>
          <w:highlight w:val="none"/>
        </w:rPr>
        <w:t>被特许方未经特许方允许不得在其他地点或其分支机构使用。</w:t>
      </w:r>
    </w:p>
    <w:p>
      <w:pPr>
        <w:snapToGrid w:val="0"/>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已开展医疗机构间层面合作并授权使用品牌的特许经营双方，不得再授权其他医疗机构使用品牌或接受其他医疗机构品牌授权。</w:t>
      </w:r>
    </w:p>
    <w:p>
      <w:pPr>
        <w:snapToGrid w:val="0"/>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被特许方的冠名方式在不违反现有法律、法规的前提下由特许经营双方协商确定。为维护和提升品牌价值，特许经营双方应在服务、技术和管理标准上保持一致，双方协商、协调管理体系及运行机制。</w:t>
      </w:r>
    </w:p>
    <w:p>
      <w:pPr>
        <w:snapToGrid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先行区医疗机构与先行区外医疗机构科室层面、专家团队或个人层面合作的特许经营双方，不得使用特许方品牌。</w:t>
      </w:r>
    </w:p>
    <w:p>
      <w:pPr>
        <w:snapToGrid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特许经营双方应建立并实行完备的信息披露制度。双方提供的信息应当真实、准确、完整，不得隐瞒有关信息，或者提供虚假信息。所提供的信息发生重大变更的，应当及时通知对方。</w:t>
      </w:r>
    </w:p>
    <w:p>
      <w:pPr>
        <w:snapToGrid w:val="0"/>
        <w:spacing w:line="600" w:lineRule="exact"/>
        <w:ind w:firstLine="643" w:firstLineChars="200"/>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条</w:t>
      </w:r>
      <w:r>
        <w:rPr>
          <w:rFonts w:ascii="仿宋" w:hAnsi="仿宋" w:eastAsia="仿宋" w:cs="仿宋"/>
          <w:b w:val="0"/>
          <w:bCs w:val="0"/>
          <w:color w:val="auto"/>
          <w:sz w:val="32"/>
          <w:szCs w:val="32"/>
          <w:highlight w:val="none"/>
        </w:rPr>
        <w:t xml:space="preserve">  </w:t>
      </w:r>
      <w:r>
        <w:rPr>
          <w:rFonts w:hint="eastAsia" w:ascii="仿宋" w:hAnsi="仿宋" w:eastAsia="仿宋" w:cs="仿宋"/>
          <w:b w:val="0"/>
          <w:bCs w:val="0"/>
          <w:color w:val="auto"/>
          <w:sz w:val="32"/>
          <w:szCs w:val="32"/>
          <w:highlight w:val="none"/>
        </w:rPr>
        <w:t>特许方应履行以下义务：</w:t>
      </w:r>
    </w:p>
    <w:p>
      <w:pPr>
        <w:widowControl/>
        <w:spacing w:line="600" w:lineRule="exact"/>
        <w:ind w:firstLine="640" w:firstLineChars="200"/>
        <w:rPr>
          <w:rFonts w:hint="eastAsia" w:ascii="仿宋" w:hAnsi="仿宋" w:eastAsia="仿宋" w:cs="仿宋"/>
          <w:color w:val="auto"/>
          <w:sz w:val="32"/>
          <w:szCs w:val="32"/>
          <w:highlight w:val="none"/>
        </w:rPr>
      </w:pPr>
      <w:bookmarkStart w:id="1" w:name="OLE_LINK1"/>
      <w:r>
        <w:rPr>
          <w:rFonts w:hint="eastAsia" w:ascii="仿宋" w:hAnsi="仿宋" w:eastAsia="仿宋" w:cs="仿宋"/>
          <w:color w:val="auto"/>
          <w:sz w:val="32"/>
          <w:szCs w:val="32"/>
          <w:highlight w:val="none"/>
        </w:rPr>
        <w:t>（一）</w:t>
      </w:r>
      <w:bookmarkEnd w:id="1"/>
      <w:r>
        <w:rPr>
          <w:rFonts w:hint="eastAsia" w:ascii="仿宋" w:hAnsi="仿宋" w:eastAsia="仿宋" w:cs="仿宋"/>
          <w:color w:val="auto"/>
          <w:sz w:val="32"/>
          <w:szCs w:val="32"/>
          <w:highlight w:val="none"/>
        </w:rPr>
        <w:t>提供合作相应的医疗技术标准、管理规范及人员培训支持；</w:t>
      </w:r>
    </w:p>
    <w:p>
      <w:pPr>
        <w:widowControl/>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（二）配合被特许方按照要求申办先行区特许药械准入和/或特医食品和/或生物医学新技术临床转化资质，共同推动项目实施；</w:t>
      </w:r>
    </w:p>
    <w:p>
      <w:pPr>
        <w:widowControl/>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（三）保证和监督合作医院和专科的医疗质量、安全、效益，保障数据安全、患者保护及品牌合规使用。</w:t>
      </w:r>
    </w:p>
    <w:p>
      <w:pPr>
        <w:widowControl/>
        <w:spacing w:line="600" w:lineRule="exact"/>
        <w:ind w:firstLine="643" w:firstLineChars="200"/>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rPr>
        <w:t>条</w:t>
      </w:r>
      <w:r>
        <w:rPr>
          <w:rFonts w:ascii="仿宋" w:hAnsi="仿宋" w:eastAsia="仿宋" w:cs="仿宋"/>
          <w:b w:val="0"/>
          <w:bCs w:val="0"/>
          <w:color w:val="auto"/>
          <w:sz w:val="32"/>
          <w:szCs w:val="32"/>
          <w:highlight w:val="none"/>
        </w:rPr>
        <w:t xml:space="preserve">  </w:t>
      </w:r>
      <w:r>
        <w:rPr>
          <w:rFonts w:hint="eastAsia" w:ascii="仿宋" w:hAnsi="仿宋" w:eastAsia="仿宋" w:cs="仿宋"/>
          <w:b w:val="0"/>
          <w:bCs w:val="0"/>
          <w:color w:val="auto"/>
          <w:sz w:val="32"/>
          <w:szCs w:val="32"/>
          <w:highlight w:val="none"/>
        </w:rPr>
        <w:t>被特许方应履行以下义务：</w:t>
      </w:r>
    </w:p>
    <w:p>
      <w:pPr>
        <w:widowControl/>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（一）提供符合合作方案要求的场地、设施、设备及人员，负责合作项目独立运营；</w:t>
      </w:r>
    </w:p>
    <w:p>
      <w:pPr>
        <w:widowControl/>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（二）遵守乐城先行区合作定价及医保政策，不得损害特许经营方品牌声誉；</w:t>
      </w:r>
    </w:p>
    <w:p>
      <w:pPr>
        <w:widowControl/>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（三）按全省“三医联动一张网”数据采集标准将院内数据接入先行区管理局信息平台，并持续优化数据质量；</w:t>
      </w:r>
    </w:p>
    <w:p>
      <w:pPr>
        <w:widowControl/>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（四）作为</w:t>
      </w:r>
      <w:bookmarkStart w:id="2" w:name="OLE_LINK2"/>
      <w:r>
        <w:rPr>
          <w:rFonts w:hint="eastAsia" w:ascii="仿宋" w:hAnsi="仿宋" w:eastAsia="仿宋" w:cs="仿宋"/>
          <w:color w:val="auto"/>
          <w:sz w:val="32"/>
          <w:szCs w:val="32"/>
          <w:highlight w:val="none"/>
        </w:rPr>
        <w:t>法人主体</w:t>
      </w:r>
      <w:bookmarkEnd w:id="2"/>
      <w:r>
        <w:rPr>
          <w:rFonts w:hint="eastAsia" w:ascii="仿宋" w:hAnsi="仿宋" w:eastAsia="仿宋" w:cs="仿宋"/>
          <w:color w:val="auto"/>
          <w:sz w:val="32"/>
          <w:szCs w:val="32"/>
          <w:highlight w:val="none"/>
        </w:rPr>
        <w:t>，对外承担合作诊疗活动的法律责任。</w:t>
      </w:r>
    </w:p>
    <w:p>
      <w:pPr>
        <w:widowControl/>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（五）为特许方医疗团队提供工作场所及生活便利。</w:t>
      </w:r>
    </w:p>
    <w:p>
      <w:pPr>
        <w:snapToGrid w:val="0"/>
        <w:spacing w:line="600" w:lineRule="exact"/>
        <w:jc w:val="center"/>
        <w:rPr>
          <w:rFonts w:hint="eastAsia" w:ascii="仿宋" w:hAnsi="仿宋" w:eastAsia="仿宋" w:cs="黑体"/>
          <w:color w:val="auto"/>
          <w:sz w:val="32"/>
          <w:szCs w:val="32"/>
          <w:highlight w:val="none"/>
        </w:rPr>
      </w:pPr>
    </w:p>
    <w:p>
      <w:pPr>
        <w:snapToGrid w:val="0"/>
        <w:spacing w:line="600" w:lineRule="exact"/>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第三章  启动与终止</w:t>
      </w:r>
    </w:p>
    <w:p>
      <w:pPr>
        <w:snapToGrid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特许经营双方应参考</w:t>
      </w:r>
      <w:del w:id="6" w:author="uos" w:date="2025-06-24T10:19:41Z">
        <w:r>
          <w:rPr>
            <w:rFonts w:hint="eastAsia" w:ascii="仿宋" w:hAnsi="仿宋" w:eastAsia="仿宋" w:cs="仿宋"/>
            <w:color w:val="auto"/>
            <w:sz w:val="32"/>
            <w:szCs w:val="32"/>
            <w:highlight w:val="none"/>
          </w:rPr>
          <w:delText>本细则</w:delText>
        </w:r>
      </w:del>
      <w:ins w:id="7" w:author="uos" w:date="2025-06-24T10:19:41Z">
        <w:r>
          <w:rPr>
            <w:rFonts w:hint="eastAsia" w:ascii="仿宋" w:hAnsi="仿宋" w:eastAsia="仿宋" w:cs="仿宋"/>
            <w:color w:val="auto"/>
            <w:sz w:val="32"/>
            <w:szCs w:val="32"/>
            <w:highlight w:val="none"/>
            <w:lang w:eastAsia="zh-CN"/>
          </w:rPr>
          <w:t>本办法</w:t>
        </w:r>
      </w:ins>
      <w:r>
        <w:rPr>
          <w:rFonts w:hint="eastAsia" w:ascii="仿宋" w:hAnsi="仿宋" w:eastAsia="仿宋" w:cs="仿宋"/>
          <w:color w:val="auto"/>
          <w:sz w:val="32"/>
          <w:szCs w:val="32"/>
          <w:highlight w:val="none"/>
        </w:rPr>
        <w:t>组织编制协议文本（范本见附件），并将其作为谈判文件的组成部分，协议应明确特许经营合作的范围、双方责任、权利和义务，明确合作阶段无形资产的归属，明确合作的起讫时间、特定地点和重要工作推进节点。如有必要，可以约定各方的履约担保事项。</w:t>
      </w:r>
    </w:p>
    <w:p>
      <w:pPr>
        <w:keepNext w:val="0"/>
        <w:keepLines w:val="0"/>
        <w:pageBreakBefore w:val="0"/>
        <w:kinsoku/>
        <w:wordWrap/>
        <w:overflowPunct/>
        <w:topLinePunct w:val="0"/>
        <w:bidi w:val="0"/>
        <w:snapToGrid w:val="0"/>
        <w:spacing w:line="600" w:lineRule="exact"/>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特许经营</w:t>
      </w:r>
      <w:r>
        <w:rPr>
          <w:rFonts w:hint="eastAsia" w:ascii="仿宋" w:hAnsi="仿宋" w:eastAsia="仿宋" w:cs="仿宋"/>
          <w:color w:val="auto"/>
          <w:sz w:val="32"/>
          <w:szCs w:val="32"/>
          <w:highlight w:val="none"/>
          <w:lang w:eastAsia="zh-CN"/>
        </w:rPr>
        <w:t>合作方的选择</w:t>
      </w:r>
      <w:r>
        <w:rPr>
          <w:rFonts w:hint="eastAsia" w:ascii="仿宋" w:hAnsi="仿宋" w:eastAsia="仿宋" w:cs="仿宋"/>
          <w:color w:val="auto"/>
          <w:sz w:val="32"/>
          <w:szCs w:val="32"/>
          <w:highlight w:val="none"/>
        </w:rPr>
        <w:t>应当根据特许经营项目的需求特点，</w:t>
      </w:r>
      <w:r>
        <w:rPr>
          <w:rFonts w:hint="eastAsia" w:ascii="仿宋" w:hAnsi="仿宋" w:eastAsia="仿宋" w:cs="仿宋"/>
          <w:color w:val="auto"/>
          <w:sz w:val="32"/>
          <w:szCs w:val="32"/>
          <w:highlight w:val="none"/>
          <w:lang w:eastAsia="zh-CN"/>
        </w:rPr>
        <w:t>可通过</w:t>
      </w:r>
      <w:r>
        <w:rPr>
          <w:rFonts w:hint="eastAsia" w:ascii="仿宋" w:hAnsi="仿宋" w:eastAsia="仿宋" w:cs="仿宋"/>
          <w:color w:val="auto"/>
          <w:sz w:val="32"/>
          <w:szCs w:val="32"/>
          <w:highlight w:val="none"/>
        </w:rPr>
        <w:t>招标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谈判、磋商等适当方式</w:t>
      </w:r>
      <w:r>
        <w:rPr>
          <w:rFonts w:hint="eastAsia" w:ascii="仿宋" w:hAnsi="仿宋" w:eastAsia="仿宋" w:cs="仿宋"/>
          <w:color w:val="auto"/>
          <w:sz w:val="32"/>
          <w:szCs w:val="32"/>
          <w:highlight w:val="none"/>
          <w:lang w:eastAsia="zh-CN"/>
        </w:rPr>
        <w:t>进行</w:t>
      </w:r>
      <w:r>
        <w:rPr>
          <w:rFonts w:hint="eastAsia" w:ascii="仿宋" w:hAnsi="仿宋" w:eastAsia="仿宋" w:cs="仿宋"/>
          <w:color w:val="auto"/>
          <w:sz w:val="32"/>
          <w:szCs w:val="32"/>
          <w:highlight w:val="none"/>
        </w:rPr>
        <w:t>。</w:t>
      </w:r>
    </w:p>
    <w:p>
      <w:pPr>
        <w:snapToGrid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特许经营期限由双方商定，原则上不低于3年且不超过5年。如需延续，双方应在自愿平等协商。协议应通过先行区医药监管局核准后续签协议，并报先行区管理局备案。</w:t>
      </w:r>
    </w:p>
    <w:p>
      <w:pPr>
        <w:snapToGrid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val="en-US" w:eastAsia="zh-CN"/>
        </w:rPr>
        <w:t>二十</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特许经营采取备案制。双方协商基本达成一致后，</w:t>
      </w:r>
      <w:r>
        <w:rPr>
          <w:rFonts w:hint="eastAsia" w:ascii="仿宋" w:hAnsi="仿宋" w:eastAsia="仿宋" w:cs="仿宋"/>
          <w:color w:val="auto"/>
          <w:sz w:val="32"/>
          <w:szCs w:val="32"/>
          <w:highlight w:val="none"/>
          <w:lang w:eastAsia="zh-CN"/>
        </w:rPr>
        <w:t>向博鳌乐城国际医疗旅游先行区管理局（以下简称：先行区管理局）提供以下申报资料</w:t>
      </w:r>
      <w:r>
        <w:rPr>
          <w:rFonts w:hint="eastAsia" w:ascii="仿宋" w:hAnsi="仿宋" w:eastAsia="仿宋" w:cs="仿宋"/>
          <w:color w:val="auto"/>
          <w:sz w:val="32"/>
          <w:szCs w:val="32"/>
          <w:highlight w:val="none"/>
        </w:rPr>
        <w:t>：</w:t>
      </w:r>
    </w:p>
    <w:p>
      <w:pPr>
        <w:snapToGrid w:val="0"/>
        <w:spacing w:line="600" w:lineRule="exact"/>
        <w:ind w:firstLine="640"/>
        <w:rPr>
          <w:rFonts w:ascii="仿宋" w:hAnsi="仿宋" w:eastAsia="仿宋"/>
          <w:color w:val="auto"/>
          <w:sz w:val="32"/>
          <w:szCs w:val="32"/>
          <w:highlight w:val="none"/>
        </w:rPr>
      </w:pPr>
      <w:r>
        <w:rPr>
          <w:rFonts w:hint="eastAsia" w:ascii="仿宋" w:hAnsi="仿宋" w:eastAsia="仿宋" w:cs="仿宋"/>
          <w:color w:val="auto"/>
          <w:sz w:val="32"/>
          <w:szCs w:val="32"/>
          <w:highlight w:val="none"/>
        </w:rPr>
        <w:t>（一）开展特许经营申请和《</w:t>
      </w:r>
      <w:r>
        <w:rPr>
          <w:rFonts w:hint="eastAsia" w:ascii="仿宋" w:hAnsi="仿宋" w:eastAsia="仿宋" w:cs="仿宋"/>
          <w:color w:val="auto"/>
          <w:spacing w:val="-6"/>
          <w:kern w:val="0"/>
          <w:sz w:val="32"/>
          <w:szCs w:val="32"/>
          <w:highlight w:val="none"/>
        </w:rPr>
        <w:t>乐城先行区医疗机构特许经营合作协议》文本</w:t>
      </w:r>
      <w:r>
        <w:rPr>
          <w:rFonts w:hint="eastAsia" w:ascii="仿宋" w:hAnsi="仿宋" w:eastAsia="仿宋" w:cs="仿宋"/>
          <w:color w:val="auto"/>
          <w:sz w:val="32"/>
          <w:szCs w:val="32"/>
          <w:highlight w:val="none"/>
        </w:rPr>
        <w:t>；</w:t>
      </w:r>
    </w:p>
    <w:p>
      <w:pPr>
        <w:snapToGrid w:val="0"/>
        <w:spacing w:line="600" w:lineRule="exact"/>
        <w:ind w:firstLine="640" w:firstLineChars="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（二）专家论证报告、风险评估报告、合法性审查报告及可行性研究报告；</w:t>
      </w:r>
    </w:p>
    <w:p>
      <w:pPr>
        <w:snapToGrid w:val="0"/>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（三）双方的基本情况，包括：服务范围、医保资质、专科特色、设施设备、人力资源、技术能力、医疗服务量、制度规范等相关信息；</w:t>
      </w:r>
    </w:p>
    <w:p>
      <w:pPr>
        <w:snapToGrid w:val="0"/>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_GB2312"/>
          <w:color w:val="auto"/>
          <w:sz w:val="32"/>
          <w:szCs w:val="32"/>
          <w:highlight w:val="none"/>
        </w:rPr>
        <w:t>（四）被特许方医疗机构资质证书，近三年的财务状况报告及审计报告。被特许方如为新建医院可免提供财务及审计内容；</w:t>
      </w:r>
    </w:p>
    <w:p>
      <w:pPr>
        <w:snapToGrid w:val="0"/>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（五）双方协议商定的主要内容，包括：特许经营期限、特许经营范围及费用收益、特许方提供特许经营服务的具体内容、被特许方的投资、双方合作后经营管理权限安排</w:t>
      </w:r>
      <w:r>
        <w:rPr>
          <w:rFonts w:hint="eastAsia" w:ascii="仿宋" w:hAnsi="仿宋" w:eastAsia="仿宋" w:cs="仿宋_GB2312"/>
          <w:color w:val="auto"/>
          <w:sz w:val="32"/>
          <w:szCs w:val="32"/>
          <w:highlight w:val="none"/>
        </w:rPr>
        <w:t>、派驻人员数量、类别和工作时长</w:t>
      </w:r>
      <w:r>
        <w:rPr>
          <w:rFonts w:hint="eastAsia" w:ascii="仿宋" w:hAnsi="仿宋" w:eastAsia="仿宋" w:cs="仿宋"/>
          <w:color w:val="auto"/>
          <w:sz w:val="32"/>
          <w:szCs w:val="32"/>
          <w:highlight w:val="none"/>
        </w:rPr>
        <w:t>等内容。</w:t>
      </w:r>
    </w:p>
    <w:p>
      <w:pPr>
        <w:snapToGrid w:val="0"/>
        <w:spacing w:line="600" w:lineRule="exact"/>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（六）规范、系统的管理方式和服务规范与标准。</w:t>
      </w:r>
    </w:p>
    <w:p>
      <w:pPr>
        <w:snapToGrid w:val="0"/>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先行区医药监管局在收到上述备案资料后进行程序性备案审查，20个工作日内出具审查意见，报先行区管理局备案。</w:t>
      </w:r>
    </w:p>
    <w:p>
      <w:pPr>
        <w:pStyle w:val="2"/>
        <w:ind w:firstLine="643" w:firstLineChars="200"/>
        <w:rPr>
          <w:rFonts w:hint="eastAsia"/>
          <w:color w:val="auto"/>
          <w:highlight w:val="none"/>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val="en-US" w:eastAsia="zh-CN"/>
        </w:rPr>
        <w:t>二十一</w:t>
      </w:r>
      <w:r>
        <w:rPr>
          <w:rFonts w:hint="eastAsia" w:ascii="仿宋" w:hAnsi="仿宋" w:eastAsia="仿宋" w:cs="仿宋"/>
          <w:b/>
          <w:bCs/>
          <w:color w:val="auto"/>
          <w:sz w:val="32"/>
          <w:szCs w:val="32"/>
          <w:highlight w:val="none"/>
        </w:rPr>
        <w:t>条</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先行区管理局在收到上述申报资料后进行程序性备案审查，</w:t>
      </w:r>
      <w:r>
        <w:rPr>
          <w:rFonts w:hint="eastAsia" w:ascii="仿宋" w:hAnsi="仿宋" w:eastAsia="仿宋" w:cs="仿宋"/>
          <w:color w:val="auto"/>
          <w:sz w:val="32"/>
          <w:szCs w:val="32"/>
          <w:highlight w:val="none"/>
          <w:lang w:val="en-US" w:eastAsia="zh-CN"/>
        </w:rPr>
        <w:t>20个工作日内出具是否同意备案的意见。</w:t>
      </w:r>
    </w:p>
    <w:p>
      <w:pPr>
        <w:snapToGrid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eastAsia="zh-CN"/>
        </w:rPr>
        <w:t>二</w:t>
      </w:r>
      <w:r>
        <w:rPr>
          <w:rFonts w:hint="eastAsia" w:ascii="仿宋" w:hAnsi="仿宋" w:eastAsia="仿宋" w:cs="仿宋"/>
          <w:b/>
          <w:bCs/>
          <w:color w:val="auto"/>
          <w:sz w:val="32"/>
          <w:szCs w:val="32"/>
          <w:highlight w:val="none"/>
          <w:lang w:val="en-US" w:eastAsia="zh-CN"/>
        </w:rPr>
        <w:t>十二</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同意在先行区开展特许经营的，先行区管理局书面通报省级发展改革部门、省级财政部门、省级人力资源和社会保障部门、省级卫生健康行政部门、省级市场监督管理部门、省级医保部门、省级药品监管部门。</w:t>
      </w:r>
    </w:p>
    <w:p>
      <w:pPr>
        <w:snapToGrid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第二十</w:t>
      </w: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特许经营双方应在特许经营协议内约定特许经营终止内容，包括但不限于：</w:t>
      </w:r>
    </w:p>
    <w:p>
      <w:pPr>
        <w:snapToGrid w:val="0"/>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（一）双方未按照协议约定事项履行责任；</w:t>
      </w:r>
    </w:p>
    <w:p>
      <w:pPr>
        <w:snapToGrid w:val="0"/>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（二）受法律法规或国家政策调整等变化，导致一方无法继续履行协议；</w:t>
      </w:r>
    </w:p>
    <w:p>
      <w:pPr>
        <w:snapToGrid w:val="0"/>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（三）由于前期认定的不可抗力导致一方无法继续履行约定；</w:t>
      </w:r>
    </w:p>
    <w:p>
      <w:pPr>
        <w:snapToGrid w:val="0"/>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（四）特许经营到期自行中止；</w:t>
      </w:r>
    </w:p>
    <w:p>
      <w:pPr>
        <w:snapToGrid w:val="0"/>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（五）一方隐瞒有关信息或者提供虚假信息的，造成另一方重大损失或者严重决策失误；</w:t>
      </w:r>
    </w:p>
    <w:p>
      <w:pPr>
        <w:snapToGrid w:val="0"/>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（六）被特许方有造成恶劣社会影响的严重违规行为，或有重大违法行为；</w:t>
      </w:r>
    </w:p>
    <w:p>
      <w:pPr>
        <w:snapToGrid w:val="0"/>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（七）被特许方被取消医疗机构合法资质。</w:t>
      </w:r>
    </w:p>
    <w:p>
      <w:pPr>
        <w:snapToGrid w:val="0"/>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（八）双方约定的其他事项。</w:t>
      </w:r>
    </w:p>
    <w:p>
      <w:pPr>
        <w:snapToGrid w:val="0"/>
        <w:spacing w:line="600" w:lineRule="exact"/>
        <w:jc w:val="center"/>
        <w:rPr>
          <w:rFonts w:hint="eastAsia" w:ascii="仿宋" w:hAnsi="仿宋" w:eastAsia="仿宋" w:cs="黑体"/>
          <w:color w:val="auto"/>
          <w:sz w:val="32"/>
          <w:szCs w:val="32"/>
          <w:highlight w:val="none"/>
        </w:rPr>
      </w:pPr>
    </w:p>
    <w:p>
      <w:pPr>
        <w:snapToGrid w:val="0"/>
        <w:spacing w:line="600" w:lineRule="exact"/>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第四章 运营与服务</w:t>
      </w:r>
    </w:p>
    <w:p>
      <w:pPr>
        <w:snapToGrid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第二十</w:t>
      </w:r>
      <w:r>
        <w:rPr>
          <w:rFonts w:hint="eastAsia" w:ascii="仿宋" w:hAnsi="仿宋" w:eastAsia="仿宋" w:cs="仿宋"/>
          <w:b/>
          <w:bCs/>
          <w:color w:val="auto"/>
          <w:sz w:val="32"/>
          <w:szCs w:val="32"/>
          <w:highlight w:val="none"/>
          <w:lang w:eastAsia="zh-CN"/>
        </w:rPr>
        <w:t>四</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特许经营协议应从维护公共利益、改善服务品质、提高运营效率、保障医疗安全、节约运营成本等方面，约定医疗服务、管理、流程标准。详细内容可在协议附件中表述。</w:t>
      </w:r>
    </w:p>
    <w:p>
      <w:pPr>
        <w:snapToGrid w:val="0"/>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鼓励合作双方探索成立理事会、监事会等治理结构，规范管理和经营。</w:t>
      </w:r>
    </w:p>
    <w:p>
      <w:pPr>
        <w:snapToGrid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第二十</w:t>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特许经营协议应约定运营期间服务标准及要求、责任划分、利益调整方案、纠纷处理方式、医疗损害与医疗意外保险购买及理赔等内容。</w:t>
      </w:r>
    </w:p>
    <w:p>
      <w:pPr>
        <w:snapToGrid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第二十</w:t>
      </w: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特许经营协议应明确在特许经营期间，被特许方所承担的独立民事行为能力及责任不变。</w:t>
      </w:r>
    </w:p>
    <w:p>
      <w:pPr>
        <w:snapToGrid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第二十</w:t>
      </w:r>
      <w:r>
        <w:rPr>
          <w:rFonts w:hint="eastAsia" w:ascii="仿宋" w:hAnsi="仿宋" w:eastAsia="仿宋" w:cs="仿宋"/>
          <w:b/>
          <w:bCs/>
          <w:color w:val="auto"/>
          <w:sz w:val="32"/>
          <w:szCs w:val="32"/>
          <w:highlight w:val="none"/>
          <w:lang w:eastAsia="zh-CN"/>
        </w:rPr>
        <w:t>七</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被特许方的医疗服务项目价格实行市场调节价，由特许方与被特许方结合医疗服务价格成本、技术难度、风险程度等因素自主定价，报省级医保部门备案管理。制定的医疗服务价格仅限于在被特许方医疗机构执行，不得超范围或在特许方医疗机构直接使用。医疗机构要严格执行规范收费行为，统一收费主体，严格执行明码标价和医药费用明细清单制度，向社会主动公示，履行知情告知和由患者自愿选择，自觉接受社会监督。</w:t>
      </w:r>
    </w:p>
    <w:p>
      <w:pPr>
        <w:keepNext w:val="0"/>
        <w:keepLines w:val="0"/>
        <w:pageBreakBefore w:val="0"/>
        <w:kinsoku/>
        <w:wordWrap/>
        <w:overflowPunct/>
        <w:topLinePunct w:val="0"/>
        <w:bidi w:val="0"/>
        <w:snapToGrid w:val="0"/>
        <w:spacing w:line="600" w:lineRule="exact"/>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eastAsia="zh-CN"/>
        </w:rPr>
        <w:t>二十</w:t>
      </w: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对于运营期间需要进行更新的合作项目，应</w:t>
      </w:r>
      <w:r>
        <w:rPr>
          <w:rFonts w:hint="eastAsia" w:ascii="仿宋" w:hAnsi="仿宋" w:eastAsia="仿宋" w:cs="仿宋"/>
          <w:color w:val="auto"/>
          <w:sz w:val="32"/>
          <w:szCs w:val="32"/>
          <w:highlight w:val="none"/>
          <w:lang w:eastAsia="zh-CN"/>
        </w:rPr>
        <w:t>重新履行备案核准手续</w:t>
      </w:r>
      <w:r>
        <w:rPr>
          <w:rFonts w:hint="eastAsia" w:ascii="仿宋" w:hAnsi="仿宋" w:eastAsia="仿宋" w:cs="仿宋"/>
          <w:color w:val="auto"/>
          <w:sz w:val="32"/>
          <w:szCs w:val="32"/>
          <w:highlight w:val="none"/>
        </w:rPr>
        <w:t>。</w:t>
      </w:r>
    </w:p>
    <w:p>
      <w:pPr>
        <w:pStyle w:val="2"/>
        <w:rPr>
          <w:rFonts w:hint="eastAsia"/>
          <w:color w:val="auto"/>
          <w:highlight w:val="none"/>
        </w:rPr>
      </w:pPr>
    </w:p>
    <w:p>
      <w:pPr>
        <w:snapToGrid w:val="0"/>
        <w:spacing w:line="600" w:lineRule="exact"/>
        <w:jc w:val="center"/>
        <w:rPr>
          <w:rFonts w:hint="eastAsia" w:ascii="仿宋" w:hAnsi="仿宋" w:eastAsia="仿宋" w:cs="黑体"/>
          <w:color w:val="auto"/>
          <w:sz w:val="32"/>
          <w:szCs w:val="32"/>
          <w:highlight w:val="none"/>
        </w:rPr>
      </w:pPr>
    </w:p>
    <w:p>
      <w:pPr>
        <w:snapToGrid w:val="0"/>
        <w:spacing w:line="600" w:lineRule="exact"/>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第五章 收益与分配</w:t>
      </w:r>
    </w:p>
    <w:p>
      <w:pPr>
        <w:spacing w:line="600" w:lineRule="exact"/>
        <w:ind w:firstLine="643" w:firstLineChars="20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第二十</w:t>
      </w: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bCs/>
          <w:color w:val="auto"/>
          <w:sz w:val="32"/>
          <w:szCs w:val="32"/>
          <w:highlight w:val="none"/>
        </w:rPr>
        <w:t xml:space="preserve">条  </w:t>
      </w:r>
      <w:r>
        <w:rPr>
          <w:rFonts w:hint="eastAsia" w:ascii="仿宋" w:hAnsi="仿宋" w:eastAsia="仿宋" w:cs="Times New Roman"/>
          <w:color w:val="auto"/>
          <w:sz w:val="32"/>
          <w:szCs w:val="32"/>
          <w:highlight w:val="none"/>
        </w:rPr>
        <w:t>特许经营收益由特许方与被特许方共同商议。收益原则上分为两部分，第一部分是被特许方使用</w:t>
      </w:r>
      <w:r>
        <w:rPr>
          <w:rFonts w:hint="eastAsia" w:ascii="仿宋" w:hAnsi="仿宋" w:eastAsia="仿宋"/>
          <w:color w:val="auto"/>
          <w:sz w:val="32"/>
          <w:szCs w:val="32"/>
          <w:highlight w:val="none"/>
        </w:rPr>
        <w:t>特许方</w:t>
      </w:r>
      <w:r>
        <w:rPr>
          <w:rFonts w:hint="eastAsia" w:ascii="仿宋" w:hAnsi="仿宋" w:eastAsia="仿宋" w:cs="Times New Roman"/>
          <w:color w:val="auto"/>
          <w:sz w:val="32"/>
          <w:szCs w:val="32"/>
          <w:highlight w:val="none"/>
        </w:rPr>
        <w:t>品牌向特许方缴纳的相对固定费用（品牌费），品牌费是否缴纳和缴纳金额由双方共同约定；第二部分是由于被特许方经营收益增加或专业领域的影响及社会形象的提升，根据协议约定由被特许方向特许方缴纳的费用（管理费）。</w:t>
      </w:r>
    </w:p>
    <w:p>
      <w:pPr>
        <w:spacing w:line="240" w:lineRule="auto"/>
        <w:ind w:firstLine="640" w:firstLineChars="200"/>
        <w:rPr>
          <w:rFonts w:hint="eastAsia" w:ascii="仿宋" w:hAnsi="仿宋" w:eastAsia="仿宋"/>
          <w:color w:val="auto"/>
          <w:sz w:val="32"/>
          <w:szCs w:val="32"/>
          <w:highlight w:val="none"/>
        </w:rPr>
      </w:pPr>
      <w:r>
        <w:rPr>
          <w:rFonts w:hint="eastAsia" w:ascii="仿宋" w:hAnsi="仿宋" w:eastAsia="仿宋" w:cs="Times New Roman"/>
          <w:color w:val="auto"/>
          <w:sz w:val="32"/>
          <w:szCs w:val="32"/>
          <w:highlight w:val="none"/>
        </w:rPr>
        <w:t>管理费</w:t>
      </w:r>
      <w:r>
        <w:rPr>
          <w:rFonts w:hint="eastAsia" w:ascii="仿宋" w:hAnsi="仿宋" w:eastAsia="仿宋"/>
          <w:color w:val="auto"/>
          <w:sz w:val="32"/>
          <w:szCs w:val="32"/>
          <w:highlight w:val="none"/>
        </w:rPr>
        <w:t>应当遵循权责对等、风险共担、收益共享和多劳多得原则。合作双方收益分配原则上应依据收入项目来源</w:t>
      </w:r>
      <w:r>
        <w:rPr>
          <w:rFonts w:hint="eastAsia" w:ascii="仿宋" w:hAnsi="仿宋" w:eastAsia="仿宋"/>
          <w:color w:val="auto"/>
          <w:sz w:val="32"/>
          <w:szCs w:val="32"/>
          <w:highlight w:val="none"/>
          <w:vertAlign w:val="superscript"/>
        </w:rPr>
        <w:t>1</w:t>
      </w:r>
      <w:r>
        <w:rPr>
          <w:rFonts w:hint="eastAsia" w:ascii="仿宋" w:hAnsi="仿宋" w:eastAsia="仿宋"/>
          <w:color w:val="auto"/>
          <w:sz w:val="32"/>
          <w:szCs w:val="32"/>
          <w:highlight w:val="none"/>
        </w:rPr>
        <w:t>的贡献度设定分配比例，其中主要收益向贡献方倾斜，同时保留合理比例体现配合方的协作价值。</w:t>
      </w:r>
    </w:p>
    <w:p>
      <w:pPr>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管理费分配模式可选择以下多种方式：</w:t>
      </w:r>
    </w:p>
    <w:p>
      <w:pPr>
        <w:snapToGrid/>
        <w:spacing w:line="240" w:lineRule="auto"/>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（一）营业收入比例分配模式。双方按合作项目的营业收入总额的约定比例进行分配。</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（二）营业利润比例分配模式。双方按去除共同认可的成本后剩余利润总额的约定比例进行分配。</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（三）双方成本投入比例分配模式。双方按成本投入分类计算营业收入的约定比例进行分配。</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（四）学科建设帮扶分配模式。双方约定对完成被特许方指定学科建设目标后，按照约定进行分配。</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（五）专家会诊费或技术服务费分配模式。双方约定不同职称专家开展会诊、技术服务或特许项目进行分配。</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（六）双方约定的其他分配模式。</w:t>
      </w:r>
    </w:p>
    <w:p>
      <w:pPr>
        <w:spacing w:line="600" w:lineRule="exact"/>
        <w:ind w:firstLine="643" w:firstLineChars="200"/>
        <w:rPr>
          <w:rFonts w:hint="eastAsia" w:ascii="仿宋" w:hAnsi="仿宋" w:eastAsia="仿宋"/>
          <w:color w:val="auto"/>
          <w:sz w:val="32"/>
          <w:szCs w:val="32"/>
          <w:highlight w:val="none"/>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val="en-US" w:eastAsia="zh-CN"/>
        </w:rPr>
        <w:t>三十</w:t>
      </w:r>
      <w:r>
        <w:rPr>
          <w:rFonts w:hint="eastAsia" w:ascii="仿宋" w:hAnsi="仿宋" w:eastAsia="仿宋" w:cs="仿宋"/>
          <w:b/>
          <w:bCs/>
          <w:color w:val="auto"/>
          <w:sz w:val="32"/>
          <w:szCs w:val="32"/>
          <w:highlight w:val="none"/>
        </w:rPr>
        <w:t>条</w:t>
      </w:r>
      <w:r>
        <w:rPr>
          <w:rFonts w:ascii="仿宋" w:hAnsi="仿宋" w:eastAsia="仿宋"/>
          <w:color w:val="auto"/>
          <w:sz w:val="32"/>
          <w:szCs w:val="32"/>
          <w:highlight w:val="none"/>
        </w:rPr>
        <w:t xml:space="preserve"> 被特许</w:t>
      </w:r>
      <w:r>
        <w:rPr>
          <w:rFonts w:hint="eastAsia" w:ascii="仿宋" w:hAnsi="仿宋" w:eastAsia="仿宋" w:cs="微软雅黑"/>
          <w:color w:val="auto"/>
          <w:sz w:val="32"/>
          <w:szCs w:val="32"/>
          <w:highlight w:val="none"/>
        </w:rPr>
        <w:t>方</w:t>
      </w:r>
      <w:r>
        <w:rPr>
          <w:rFonts w:hint="eastAsia" w:ascii="仿宋" w:hAnsi="仿宋" w:eastAsia="仿宋" w:cs="仿宋"/>
          <w:color w:val="auto"/>
          <w:sz w:val="32"/>
          <w:szCs w:val="32"/>
          <w:highlight w:val="none"/>
        </w:rPr>
        <w:t>需按</w:t>
      </w:r>
      <w:r>
        <w:rPr>
          <w:rFonts w:hint="eastAsia" w:ascii="仿宋" w:hAnsi="仿宋" w:eastAsia="仿宋" w:cs="微软雅黑"/>
          <w:color w:val="auto"/>
          <w:sz w:val="32"/>
          <w:szCs w:val="32"/>
          <w:highlight w:val="none"/>
        </w:rPr>
        <w:t>时</w:t>
      </w:r>
      <w:r>
        <w:rPr>
          <w:rFonts w:hint="eastAsia" w:ascii="仿宋" w:hAnsi="仿宋" w:eastAsia="仿宋" w:cs="仿宋"/>
          <w:color w:val="auto"/>
          <w:sz w:val="32"/>
          <w:szCs w:val="32"/>
          <w:highlight w:val="none"/>
        </w:rPr>
        <w:t>向特许</w:t>
      </w:r>
      <w:r>
        <w:rPr>
          <w:rFonts w:hint="eastAsia" w:ascii="仿宋" w:hAnsi="仿宋" w:eastAsia="仿宋" w:cs="微软雅黑"/>
          <w:color w:val="auto"/>
          <w:sz w:val="32"/>
          <w:szCs w:val="32"/>
          <w:highlight w:val="none"/>
        </w:rPr>
        <w:t>方</w:t>
      </w:r>
      <w:r>
        <w:rPr>
          <w:rFonts w:hint="eastAsia" w:ascii="仿宋" w:hAnsi="仿宋" w:eastAsia="仿宋" w:cs="仿宋"/>
          <w:color w:val="auto"/>
          <w:sz w:val="32"/>
          <w:szCs w:val="32"/>
          <w:highlight w:val="none"/>
        </w:rPr>
        <w:t>提供财务报表，双</w:t>
      </w:r>
      <w:r>
        <w:rPr>
          <w:rFonts w:hint="eastAsia" w:ascii="仿宋" w:hAnsi="仿宋" w:eastAsia="仿宋" w:cs="微软雅黑"/>
          <w:color w:val="auto"/>
          <w:sz w:val="32"/>
          <w:szCs w:val="32"/>
          <w:highlight w:val="none"/>
        </w:rPr>
        <w:t>方</w:t>
      </w:r>
      <w:r>
        <w:rPr>
          <w:rFonts w:hint="eastAsia" w:ascii="仿宋" w:hAnsi="仿宋" w:eastAsia="仿宋" w:cs="仿宋"/>
          <w:color w:val="auto"/>
          <w:sz w:val="32"/>
          <w:szCs w:val="32"/>
          <w:highlight w:val="none"/>
        </w:rPr>
        <w:t>共同完成报表核对后结算。除特别约定需要支付给专家个人的技术服务费外，特许经营收益应通过公对公账</w:t>
      </w:r>
      <w:r>
        <w:rPr>
          <w:rFonts w:hint="eastAsia" w:ascii="仿宋" w:hAnsi="仿宋" w:eastAsia="仿宋" w:cs="微软雅黑"/>
          <w:color w:val="auto"/>
          <w:sz w:val="32"/>
          <w:szCs w:val="32"/>
          <w:highlight w:val="none"/>
        </w:rPr>
        <w:t>户支</w:t>
      </w:r>
      <w:r>
        <w:rPr>
          <w:rFonts w:hint="eastAsia" w:ascii="仿宋" w:hAnsi="仿宋" w:eastAsia="仿宋" w:cs="仿宋"/>
          <w:color w:val="auto"/>
          <w:sz w:val="32"/>
          <w:szCs w:val="32"/>
          <w:highlight w:val="none"/>
        </w:rPr>
        <w:t>付，严禁账外循环。</w:t>
      </w:r>
    </w:p>
    <w:p>
      <w:pPr>
        <w:widowControl/>
        <w:spacing w:line="600" w:lineRule="exact"/>
        <w:ind w:firstLine="643" w:firstLineChars="200"/>
        <w:rPr>
          <w:rFonts w:hint="eastAsia" w:ascii="仿宋" w:hAnsi="仿宋" w:eastAsia="仿宋"/>
          <w:color w:val="auto"/>
          <w:sz w:val="32"/>
          <w:szCs w:val="32"/>
          <w:highlight w:val="none"/>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val="en-US" w:eastAsia="zh-CN"/>
        </w:rPr>
        <w:t>三十一</w:t>
      </w:r>
      <w:r>
        <w:rPr>
          <w:rFonts w:hint="eastAsia" w:ascii="仿宋" w:hAnsi="仿宋" w:eastAsia="仿宋" w:cs="仿宋"/>
          <w:b/>
          <w:bCs/>
          <w:color w:val="auto"/>
          <w:sz w:val="32"/>
          <w:szCs w:val="32"/>
          <w:highlight w:val="none"/>
        </w:rPr>
        <w:t>条</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被特许方原则上应为特许方派驻人员提供高于其原单位标准的工作条件和劳动报酬保障，被特许方</w:t>
      </w:r>
      <w:r>
        <w:rPr>
          <w:rFonts w:hint="eastAsia" w:ascii="仿宋" w:hAnsi="仿宋" w:eastAsia="仿宋" w:cs="仿宋_GB2312"/>
          <w:color w:val="auto"/>
          <w:sz w:val="32"/>
          <w:szCs w:val="32"/>
          <w:highlight w:val="none"/>
        </w:rPr>
        <w:t>负责特许方医疗团队的食宿等基本保障。</w:t>
      </w:r>
      <w:r>
        <w:rPr>
          <w:rFonts w:hint="eastAsia" w:ascii="仿宋" w:hAnsi="仿宋" w:eastAsia="仿宋"/>
          <w:color w:val="auto"/>
          <w:sz w:val="32"/>
          <w:szCs w:val="32"/>
          <w:highlight w:val="none"/>
        </w:rPr>
        <w:t>特许</w:t>
      </w:r>
      <w:r>
        <w:rPr>
          <w:rFonts w:hint="eastAsia" w:ascii="仿宋" w:hAnsi="仿宋" w:eastAsia="仿宋" w:cs="微软雅黑"/>
          <w:color w:val="auto"/>
          <w:sz w:val="32"/>
          <w:szCs w:val="32"/>
          <w:highlight w:val="none"/>
        </w:rPr>
        <w:t>方人</w:t>
      </w:r>
      <w:r>
        <w:rPr>
          <w:rFonts w:hint="eastAsia" w:ascii="仿宋" w:hAnsi="仿宋" w:eastAsia="仿宋" w:cs="仿宋"/>
          <w:color w:val="auto"/>
          <w:sz w:val="32"/>
          <w:szCs w:val="32"/>
          <w:highlight w:val="none"/>
        </w:rPr>
        <w:t>员因履职产</w:t>
      </w:r>
      <w:r>
        <w:rPr>
          <w:rFonts w:hint="eastAsia" w:ascii="仿宋" w:hAnsi="仿宋" w:eastAsia="仿宋" w:cs="微软雅黑"/>
          <w:color w:val="auto"/>
          <w:sz w:val="32"/>
          <w:szCs w:val="32"/>
          <w:highlight w:val="none"/>
        </w:rPr>
        <w:t>生</w:t>
      </w:r>
      <w:r>
        <w:rPr>
          <w:rFonts w:hint="eastAsia" w:ascii="仿宋" w:hAnsi="仿宋" w:eastAsia="仿宋" w:cs="仿宋"/>
          <w:color w:val="auto"/>
          <w:sz w:val="32"/>
          <w:szCs w:val="32"/>
          <w:highlight w:val="none"/>
        </w:rPr>
        <w:t>的差旅补贴、其他劳务费等，由双</w:t>
      </w:r>
      <w:r>
        <w:rPr>
          <w:rFonts w:hint="eastAsia" w:ascii="仿宋" w:hAnsi="仿宋" w:eastAsia="仿宋" w:cs="微软雅黑"/>
          <w:color w:val="auto"/>
          <w:sz w:val="32"/>
          <w:szCs w:val="32"/>
          <w:highlight w:val="none"/>
        </w:rPr>
        <w:t>方</w:t>
      </w:r>
      <w:r>
        <w:rPr>
          <w:rFonts w:hint="eastAsia" w:ascii="仿宋" w:hAnsi="仿宋" w:eastAsia="仿宋" w:cs="仿宋"/>
          <w:color w:val="auto"/>
          <w:sz w:val="32"/>
          <w:szCs w:val="32"/>
          <w:highlight w:val="none"/>
        </w:rPr>
        <w:t>根据实际协商解决。</w:t>
      </w:r>
    </w:p>
    <w:p>
      <w:pPr>
        <w:pStyle w:val="2"/>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val="en-US" w:eastAsia="zh-CN"/>
        </w:rPr>
        <w:t>三十二</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特许经营期间，被特许方为先行区公立医院的，参照“两个允许”</w:t>
      </w:r>
      <w:r>
        <w:rPr>
          <w:rFonts w:hint="eastAsia" w:ascii="仿宋" w:hAnsi="仿宋" w:eastAsia="仿宋" w:cs="仿宋"/>
          <w:color w:val="auto"/>
          <w:sz w:val="32"/>
          <w:szCs w:val="32"/>
          <w:highlight w:val="none"/>
          <w:vertAlign w:val="superscript"/>
        </w:rPr>
        <w:t>2</w:t>
      </w:r>
      <w:r>
        <w:rPr>
          <w:rFonts w:hint="eastAsia" w:ascii="仿宋" w:hAnsi="仿宋" w:eastAsia="仿宋" w:cs="仿宋"/>
          <w:color w:val="auto"/>
          <w:sz w:val="32"/>
          <w:szCs w:val="32"/>
          <w:highlight w:val="none"/>
        </w:rPr>
        <w:t>要求和第二十五条管理费分配模式确定合作方人员绩效和劳动报酬。</w:t>
      </w:r>
    </w:p>
    <w:p>
      <w:pPr>
        <w:snapToGrid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val="en-US" w:eastAsia="zh-CN"/>
        </w:rPr>
        <w:t>三十三</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特许方所获特许经营收益可以全部用于该合作项目的人员报酬、学科建设等医院自身建设发展。</w:t>
      </w:r>
    </w:p>
    <w:p>
      <w:pPr>
        <w:pStyle w:val="2"/>
        <w:spacing w:line="600" w:lineRule="exact"/>
        <w:ind w:firstLine="640" w:firstLineChars="200"/>
        <w:rPr>
          <w:rFonts w:hint="eastAsia" w:ascii="仿宋" w:hAnsi="仿宋" w:eastAsia="仿宋" w:cs="仿宋"/>
          <w:color w:val="auto"/>
          <w:sz w:val="32"/>
          <w:szCs w:val="32"/>
          <w:highlight w:val="none"/>
        </w:rPr>
      </w:pPr>
    </w:p>
    <w:p>
      <w:pPr>
        <w:snapToGrid w:val="0"/>
        <w:spacing w:line="600" w:lineRule="exact"/>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第六章  考核和奖励</w:t>
      </w:r>
    </w:p>
    <w:p>
      <w:pPr>
        <w:spacing w:line="600" w:lineRule="exact"/>
        <w:ind w:firstLine="643" w:firstLineChars="200"/>
        <w:rPr>
          <w:rFonts w:hint="eastAsia" w:ascii="仿宋" w:hAnsi="仿宋" w:eastAsia="仿宋"/>
          <w:color w:val="auto"/>
          <w:sz w:val="32"/>
          <w:szCs w:val="32"/>
          <w:highlight w:val="none"/>
        </w:rPr>
      </w:pPr>
      <w:r>
        <w:rPr>
          <w:rFonts w:hint="eastAsia" w:ascii="仿宋" w:hAnsi="仿宋" w:eastAsia="仿宋" w:cs="仿宋"/>
          <w:b/>
          <w:bCs/>
          <w:color w:val="auto"/>
          <w:sz w:val="32"/>
          <w:szCs w:val="32"/>
          <w:highlight w:val="none"/>
        </w:rPr>
        <w:t>第三十</w:t>
      </w: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w:t>
      </w:r>
      <w:r>
        <w:rPr>
          <w:rFonts w:hint="eastAsia" w:ascii="仿宋" w:hAnsi="仿宋" w:eastAsia="仿宋"/>
          <w:color w:val="auto"/>
          <w:sz w:val="32"/>
          <w:szCs w:val="32"/>
          <w:highlight w:val="none"/>
        </w:rPr>
        <w:t>先行区管理局</w:t>
      </w:r>
      <w:r>
        <w:rPr>
          <w:rFonts w:hint="eastAsia" w:ascii="仿宋" w:hAnsi="仿宋" w:eastAsia="仿宋" w:cs="仿宋_GB2312"/>
          <w:color w:val="auto"/>
          <w:sz w:val="32"/>
          <w:szCs w:val="32"/>
          <w:highlight w:val="none"/>
        </w:rPr>
        <w:t>将会同</w:t>
      </w:r>
      <w:r>
        <w:rPr>
          <w:rFonts w:hint="eastAsia" w:ascii="仿宋" w:hAnsi="仿宋" w:eastAsia="仿宋"/>
          <w:color w:val="auto"/>
          <w:sz w:val="32"/>
          <w:szCs w:val="32"/>
          <w:highlight w:val="none"/>
        </w:rPr>
        <w:t>省卫生健康委员会</w:t>
      </w:r>
      <w:r>
        <w:rPr>
          <w:rFonts w:hint="eastAsia" w:ascii="仿宋" w:hAnsi="仿宋" w:eastAsia="仿宋" w:cs="仿宋_GB2312"/>
          <w:color w:val="auto"/>
          <w:sz w:val="32"/>
          <w:szCs w:val="32"/>
          <w:highlight w:val="none"/>
        </w:rPr>
        <w:t>将合作中特许药械、特医食品和生物医学技术等业务开展情况纳入相关考核，</w:t>
      </w:r>
      <w:r>
        <w:rPr>
          <w:rFonts w:hint="eastAsia" w:ascii="仿宋" w:hAnsi="仿宋" w:eastAsia="仿宋"/>
          <w:color w:val="auto"/>
          <w:sz w:val="32"/>
          <w:szCs w:val="32"/>
          <w:highlight w:val="none"/>
        </w:rPr>
        <w:t>建立年度考核评估机制。考核结果作为人才评定、特许权益期延续的重要依据。对考核优秀的项目团队，可从先行区专项资金中给予适当奖励。奖励资金可用于医生个人的绩效激励。</w:t>
      </w:r>
    </w:p>
    <w:p>
      <w:pPr>
        <w:spacing w:line="600" w:lineRule="exact"/>
        <w:ind w:firstLine="640" w:firstLineChars="200"/>
        <w:rPr>
          <w:rFonts w:hint="eastAsia" w:ascii="仿宋" w:hAnsi="仿宋" w:eastAsia="仿宋"/>
          <w:color w:val="auto"/>
          <w:sz w:val="32"/>
          <w:szCs w:val="32"/>
          <w:highlight w:val="none"/>
        </w:rPr>
      </w:pPr>
    </w:p>
    <w:p>
      <w:pPr>
        <w:snapToGrid w:val="0"/>
        <w:spacing w:line="600" w:lineRule="exact"/>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第七章  </w:t>
      </w:r>
      <w:r>
        <w:rPr>
          <w:rFonts w:ascii="黑体" w:hAnsi="黑体" w:eastAsia="黑体" w:cs="黑体"/>
          <w:color w:val="auto"/>
          <w:sz w:val="32"/>
          <w:szCs w:val="32"/>
          <w:highlight w:val="none"/>
        </w:rPr>
        <w:t>附  则</w:t>
      </w:r>
    </w:p>
    <w:p>
      <w:pPr>
        <w:keepNext w:val="0"/>
        <w:keepLines w:val="0"/>
        <w:pageBreakBefore w:val="0"/>
        <w:kinsoku/>
        <w:wordWrap/>
        <w:overflowPunct/>
        <w:topLinePunct w:val="0"/>
        <w:bidi w:val="0"/>
        <w:snapToGrid w:val="0"/>
        <w:spacing w:line="600" w:lineRule="exact"/>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val="en-US" w:eastAsia="zh-CN"/>
        </w:rPr>
        <w:t>三十五</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被特许方的机构设置和审批依照现行法定程序执行。</w:t>
      </w:r>
    </w:p>
    <w:p>
      <w:pPr>
        <w:keepNext w:val="0"/>
        <w:keepLines w:val="0"/>
        <w:pageBreakBefore w:val="0"/>
        <w:kinsoku/>
        <w:wordWrap/>
        <w:overflowPunct/>
        <w:topLinePunct w:val="0"/>
        <w:bidi w:val="0"/>
        <w:snapToGrid w:val="0"/>
        <w:spacing w:line="600" w:lineRule="exact"/>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eastAsia="zh-CN"/>
        </w:rPr>
        <w:t>三十</w:t>
      </w: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特许经营活动中涉及商标许可、专利许可的，依照有关商标、专利的法律、行政法规的规定办理。</w:t>
      </w:r>
    </w:p>
    <w:p>
      <w:pPr>
        <w:keepNext w:val="0"/>
        <w:keepLines w:val="0"/>
        <w:pageBreakBefore w:val="0"/>
        <w:kinsoku/>
        <w:wordWrap/>
        <w:overflowPunct/>
        <w:topLinePunct w:val="0"/>
        <w:bidi w:val="0"/>
        <w:snapToGrid w:val="0"/>
        <w:spacing w:line="600" w:lineRule="exact"/>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eastAsia="zh-CN"/>
        </w:rPr>
        <w:t>三十七</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本办法</w:t>
      </w:r>
      <w:r>
        <w:rPr>
          <w:rFonts w:hint="eastAsia" w:ascii="仿宋" w:hAnsi="仿宋" w:eastAsia="仿宋" w:cs="仿宋"/>
          <w:color w:val="auto"/>
          <w:sz w:val="32"/>
          <w:szCs w:val="32"/>
          <w:highlight w:val="none"/>
        </w:rPr>
        <w:t>由</w:t>
      </w:r>
      <w:r>
        <w:rPr>
          <w:rFonts w:hint="eastAsia" w:ascii="仿宋" w:hAnsi="仿宋" w:eastAsia="仿宋" w:cs="仿宋"/>
          <w:color w:val="auto"/>
          <w:sz w:val="32"/>
          <w:szCs w:val="32"/>
          <w:highlight w:val="none"/>
          <w:lang w:eastAsia="zh-CN"/>
        </w:rPr>
        <w:t>省级发展改革部门、省级财政部门、省级人力资源和社会保障部门、省级卫生健康行政部门、省级医保部门、省级药品监管部门、先行区管理局</w:t>
      </w:r>
      <w:r>
        <w:rPr>
          <w:rFonts w:hint="eastAsia" w:ascii="仿宋" w:hAnsi="仿宋" w:eastAsia="仿宋" w:cs="仿宋"/>
          <w:color w:val="auto"/>
          <w:sz w:val="32"/>
          <w:szCs w:val="32"/>
          <w:highlight w:val="none"/>
          <w:lang w:val="en-US" w:eastAsia="zh-CN"/>
        </w:rPr>
        <w:t>依据职责分工</w:t>
      </w:r>
      <w:r>
        <w:rPr>
          <w:rFonts w:hint="eastAsia" w:ascii="仿宋" w:hAnsi="仿宋" w:eastAsia="仿宋" w:cs="仿宋"/>
          <w:color w:val="auto"/>
          <w:sz w:val="32"/>
          <w:szCs w:val="32"/>
          <w:highlight w:val="none"/>
        </w:rPr>
        <w:t>负责解释。</w:t>
      </w:r>
    </w:p>
    <w:p>
      <w:pPr>
        <w:snapToGrid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第三十</w:t>
      </w:r>
      <w:r>
        <w:rPr>
          <w:rFonts w:hint="eastAsia" w:ascii="仿宋" w:hAnsi="仿宋" w:eastAsia="仿宋" w:cs="仿宋"/>
          <w:b/>
          <w:bCs/>
          <w:color w:val="auto"/>
          <w:sz w:val="32"/>
          <w:szCs w:val="32"/>
          <w:highlight w:val="none"/>
          <w:lang w:eastAsia="zh-CN"/>
        </w:rPr>
        <w:t>八</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w:t>
      </w:r>
      <w:del w:id="8" w:author="uos" w:date="2025-06-24T10:19:41Z">
        <w:r>
          <w:rPr>
            <w:rFonts w:hint="eastAsia" w:ascii="仿宋" w:hAnsi="仿宋" w:eastAsia="仿宋"/>
            <w:color w:val="auto"/>
            <w:sz w:val="32"/>
            <w:szCs w:val="32"/>
            <w:highlight w:val="none"/>
          </w:rPr>
          <w:delText>本细则</w:delText>
        </w:r>
      </w:del>
      <w:ins w:id="9" w:author="uos" w:date="2025-06-24T10:19:41Z">
        <w:r>
          <w:rPr>
            <w:rFonts w:hint="eastAsia" w:ascii="仿宋" w:hAnsi="仿宋" w:eastAsia="仿宋"/>
            <w:color w:val="auto"/>
            <w:sz w:val="32"/>
            <w:szCs w:val="32"/>
            <w:highlight w:val="none"/>
            <w:lang w:eastAsia="zh-CN"/>
          </w:rPr>
          <w:t>本办法</w:t>
        </w:r>
      </w:ins>
      <w:r>
        <w:rPr>
          <w:rFonts w:hint="eastAsia" w:ascii="仿宋" w:hAnsi="仿宋" w:eastAsia="仿宋"/>
          <w:color w:val="auto"/>
          <w:sz w:val="32"/>
          <w:szCs w:val="32"/>
          <w:highlight w:val="none"/>
        </w:rPr>
        <w:t>自印发之日起施行</w:t>
      </w:r>
      <w:r>
        <w:rPr>
          <w:rFonts w:hint="eastAsia" w:ascii="仿宋" w:hAnsi="仿宋" w:eastAsia="仿宋" w:cs="仿宋"/>
          <w:color w:val="auto"/>
          <w:sz w:val="32"/>
          <w:szCs w:val="32"/>
          <w:highlight w:val="none"/>
        </w:rPr>
        <w:t>。</w:t>
      </w:r>
    </w:p>
    <w:p>
      <w:pPr>
        <w:snapToGrid w:val="0"/>
        <w:spacing w:line="600" w:lineRule="exact"/>
        <w:ind w:firstLine="640" w:firstLineChars="200"/>
        <w:rPr>
          <w:rFonts w:hint="eastAsia" w:ascii="仿宋" w:hAnsi="仿宋" w:eastAsia="仿宋" w:cs="仿宋"/>
          <w:color w:val="auto"/>
          <w:sz w:val="32"/>
          <w:szCs w:val="32"/>
          <w:highlight w:val="none"/>
        </w:rPr>
      </w:pPr>
    </w:p>
    <w:p>
      <w:pPr>
        <w:snapToGrid w:val="0"/>
        <w:spacing w:line="600" w:lineRule="exact"/>
        <w:ind w:firstLine="640" w:firstLineChars="200"/>
        <w:rPr>
          <w:rFonts w:hint="eastAsia" w:ascii="仿宋" w:hAnsi="仿宋" w:eastAsia="仿宋" w:cs="仿宋"/>
          <w:color w:val="auto"/>
          <w:sz w:val="32"/>
          <w:szCs w:val="32"/>
          <w:highlight w:val="none"/>
        </w:rPr>
      </w:pPr>
    </w:p>
    <w:p>
      <w:pPr>
        <w:snapToGrid w:val="0"/>
        <w:spacing w:line="600" w:lineRule="exact"/>
        <w:ind w:firstLine="640" w:firstLineChars="200"/>
        <w:rPr>
          <w:rFonts w:hint="eastAsia" w:ascii="黑体" w:hAnsi="黑体" w:eastAsia="黑体" w:cs="仿宋"/>
          <w:color w:val="auto"/>
          <w:sz w:val="32"/>
          <w:szCs w:val="32"/>
          <w:highlight w:val="none"/>
        </w:rPr>
      </w:pPr>
      <w:r>
        <w:rPr>
          <w:rFonts w:hint="eastAsia" w:ascii="黑体" w:hAnsi="黑体" w:eastAsia="黑体" w:cs="仿宋"/>
          <w:color w:val="auto"/>
          <w:sz w:val="32"/>
          <w:szCs w:val="32"/>
          <w:highlight w:val="none"/>
        </w:rPr>
        <w:t>注：</w:t>
      </w:r>
    </w:p>
    <w:p>
      <w:pPr>
        <w:snapToGrid w:val="0"/>
        <w:spacing w:line="600" w:lineRule="exact"/>
        <w:ind w:firstLine="640" w:firstLineChars="200"/>
        <w:rPr>
          <w:rFonts w:hint="eastAsia" w:ascii="楷体" w:hAnsi="楷体" w:eastAsia="楷体" w:cs="仿宋"/>
          <w:color w:val="auto"/>
          <w:sz w:val="32"/>
          <w:szCs w:val="32"/>
          <w:highlight w:val="none"/>
        </w:rPr>
      </w:pPr>
      <w:r>
        <w:rPr>
          <w:rFonts w:hint="eastAsia" w:ascii="楷体" w:hAnsi="楷体" w:eastAsia="楷体" w:cs="仿宋"/>
          <w:color w:val="auto"/>
          <w:sz w:val="32"/>
          <w:szCs w:val="32"/>
          <w:highlight w:val="none"/>
        </w:rPr>
        <w:t>1.</w:t>
      </w:r>
      <w:r>
        <w:rPr>
          <w:rFonts w:hint="eastAsia" w:ascii="仿宋" w:hAnsi="仿宋" w:eastAsia="仿宋"/>
          <w:color w:val="auto"/>
          <w:sz w:val="32"/>
          <w:szCs w:val="32"/>
          <w:highlight w:val="none"/>
        </w:rPr>
        <w:t xml:space="preserve"> </w:t>
      </w:r>
      <w:r>
        <w:rPr>
          <w:rFonts w:hint="eastAsia" w:ascii="楷体" w:hAnsi="楷体" w:eastAsia="楷体" w:cs="仿宋"/>
          <w:color w:val="auto"/>
          <w:sz w:val="32"/>
          <w:szCs w:val="32"/>
          <w:highlight w:val="none"/>
        </w:rPr>
        <w:t>“收入项目来源”</w:t>
      </w:r>
      <w:r>
        <w:rPr>
          <w:rFonts w:hint="eastAsia" w:ascii="仿宋" w:hAnsi="仿宋" w:eastAsia="仿宋"/>
          <w:color w:val="auto"/>
          <w:sz w:val="32"/>
          <w:szCs w:val="32"/>
          <w:highlight w:val="none"/>
        </w:rPr>
        <w:t>原则上分为由</w:t>
      </w:r>
      <w:r>
        <w:rPr>
          <w:rFonts w:hint="eastAsia" w:ascii="仿宋" w:hAnsi="仿宋" w:eastAsia="仿宋"/>
          <w:b/>
          <w:bCs/>
          <w:color w:val="auto"/>
          <w:sz w:val="32"/>
          <w:szCs w:val="32"/>
          <w:highlight w:val="none"/>
        </w:rPr>
        <w:t>特许方</w:t>
      </w:r>
      <w:r>
        <w:rPr>
          <w:rFonts w:hint="eastAsia" w:ascii="仿宋" w:hAnsi="仿宋" w:eastAsia="仿宋"/>
          <w:color w:val="auto"/>
          <w:sz w:val="32"/>
          <w:szCs w:val="32"/>
          <w:highlight w:val="none"/>
        </w:rPr>
        <w:t>提供的挂号费、诊疗费、手术费、换药费、专科设备检查及治疗费；由</w:t>
      </w:r>
      <w:r>
        <w:rPr>
          <w:rFonts w:hint="eastAsia" w:ascii="仿宋" w:hAnsi="仿宋" w:eastAsia="仿宋"/>
          <w:b/>
          <w:bCs/>
          <w:color w:val="auto"/>
          <w:sz w:val="32"/>
          <w:szCs w:val="32"/>
          <w:highlight w:val="none"/>
        </w:rPr>
        <w:t>被特许方</w:t>
      </w:r>
      <w:r>
        <w:rPr>
          <w:rFonts w:hint="eastAsia" w:ascii="仿宋" w:hAnsi="仿宋" w:eastAsia="仿宋"/>
          <w:color w:val="auto"/>
          <w:sz w:val="32"/>
          <w:szCs w:val="32"/>
          <w:highlight w:val="none"/>
        </w:rPr>
        <w:t>提供的一般辅助检查费（放射、检验、功能检查等）、护理费、床位费、麻醉费、药品耗材利润。</w:t>
      </w:r>
    </w:p>
    <w:p>
      <w:pPr>
        <w:snapToGrid w:val="0"/>
        <w:spacing w:line="600" w:lineRule="exact"/>
        <w:ind w:firstLine="640" w:firstLineChars="200"/>
        <w:rPr>
          <w:rFonts w:hint="eastAsia" w:ascii="楷体" w:hAnsi="楷体" w:eastAsia="楷体" w:cs="仿宋"/>
          <w:color w:val="auto"/>
          <w:sz w:val="32"/>
          <w:szCs w:val="32"/>
          <w:highlight w:val="none"/>
        </w:rPr>
      </w:pPr>
      <w:r>
        <w:rPr>
          <w:rFonts w:hint="eastAsia" w:ascii="楷体" w:hAnsi="楷体" w:eastAsia="楷体" w:cs="仿宋"/>
          <w:color w:val="auto"/>
          <w:sz w:val="32"/>
          <w:szCs w:val="32"/>
          <w:highlight w:val="none"/>
        </w:rPr>
        <w:t>2.“两个允许”</w:t>
      </w:r>
      <w:r>
        <w:rPr>
          <w:rFonts w:hint="eastAsia" w:ascii="仿宋" w:hAnsi="仿宋" w:eastAsia="仿宋" w:cs="仿宋"/>
          <w:color w:val="auto"/>
          <w:sz w:val="32"/>
          <w:szCs w:val="32"/>
          <w:highlight w:val="none"/>
        </w:rPr>
        <w:t>是指“允许医疗卫生机构突破现行事业单位工资调控水平，允许医疗服务收入扣除成本并按规定提取各项基金后主要用于人员奖励”。</w:t>
      </w:r>
      <w:r>
        <w:rPr>
          <w:rFonts w:hint="eastAsia" w:ascii="楷体" w:hAnsi="楷体" w:eastAsia="楷体" w:cs="仿宋"/>
          <w:color w:val="auto"/>
          <w:sz w:val="32"/>
          <w:szCs w:val="32"/>
          <w:highlight w:val="none"/>
        </w:rPr>
        <w:t>（国家卫生健康委员会</w:t>
      </w:r>
      <w:r>
        <w:rPr>
          <w:rFonts w:hint="eastAsia" w:ascii="楷体" w:hAnsi="楷体" w:eastAsia="楷体" w:cs="Calibri"/>
          <w:color w:val="auto"/>
          <w:sz w:val="32"/>
          <w:szCs w:val="32"/>
          <w:highlight w:val="none"/>
        </w:rPr>
        <w:t>、</w:t>
      </w:r>
      <w:r>
        <w:rPr>
          <w:rFonts w:hint="eastAsia" w:ascii="楷体" w:hAnsi="楷体" w:eastAsia="楷体" w:cs="仿宋"/>
          <w:color w:val="auto"/>
          <w:sz w:val="32"/>
          <w:szCs w:val="32"/>
          <w:highlight w:val="none"/>
        </w:rPr>
        <w:t>国家中医药管理局《关于学习贯彻习近平总书记重要指示精神进一步加强医务人员队伍建设的通知》国卫医发〔2018〕34号）</w:t>
      </w:r>
    </w:p>
    <w:p>
      <w:pPr>
        <w:pStyle w:val="2"/>
        <w:rPr>
          <w:rFonts w:hint="eastAsia" w:ascii="楷体" w:hAnsi="楷体" w:eastAsia="楷体" w:cs="仿宋"/>
          <w:color w:val="auto"/>
          <w:sz w:val="32"/>
          <w:szCs w:val="32"/>
          <w:highlight w:val="none"/>
        </w:rPr>
      </w:pPr>
    </w:p>
    <w:p>
      <w:pPr>
        <w:pStyle w:val="2"/>
        <w:rPr>
          <w:rFonts w:hint="eastAsia" w:ascii="楷体" w:hAnsi="楷体" w:eastAsia="楷体" w:cs="仿宋"/>
          <w:color w:val="auto"/>
          <w:sz w:val="32"/>
          <w:szCs w:val="32"/>
          <w:highlight w:val="none"/>
        </w:rPr>
      </w:pPr>
    </w:p>
    <w:p>
      <w:pPr>
        <w:pStyle w:val="2"/>
        <w:rPr>
          <w:rFonts w:hint="eastAsia" w:ascii="楷体" w:hAnsi="楷体" w:eastAsia="楷体" w:cs="仿宋"/>
          <w:color w:val="auto"/>
          <w:sz w:val="32"/>
          <w:szCs w:val="32"/>
          <w:highlight w:val="none"/>
        </w:rPr>
      </w:pPr>
    </w:p>
    <w:p>
      <w:pPr>
        <w:pStyle w:val="2"/>
        <w:rPr>
          <w:rFonts w:hint="eastAsia" w:ascii="楷体" w:hAnsi="楷体" w:eastAsia="楷体" w:cs="仿宋"/>
          <w:color w:val="auto"/>
          <w:sz w:val="32"/>
          <w:szCs w:val="32"/>
          <w:highlight w:val="none"/>
        </w:rPr>
      </w:pPr>
    </w:p>
    <w:p>
      <w:pPr>
        <w:pStyle w:val="2"/>
        <w:rPr>
          <w:rFonts w:hint="eastAsia" w:ascii="楷体" w:hAnsi="楷体" w:eastAsia="楷体" w:cs="仿宋"/>
          <w:color w:val="auto"/>
          <w:sz w:val="32"/>
          <w:szCs w:val="32"/>
          <w:highlight w:val="none"/>
        </w:rPr>
      </w:pPr>
    </w:p>
    <w:p>
      <w:pPr>
        <w:pStyle w:val="2"/>
        <w:rPr>
          <w:rFonts w:hint="eastAsia" w:ascii="楷体" w:hAnsi="楷体" w:eastAsia="楷体" w:cs="仿宋"/>
          <w:color w:val="auto"/>
          <w:sz w:val="32"/>
          <w:szCs w:val="32"/>
          <w:highlight w:val="none"/>
        </w:rPr>
      </w:pPr>
    </w:p>
    <w:p>
      <w:pPr>
        <w:pStyle w:val="2"/>
        <w:rPr>
          <w:rFonts w:hint="eastAsia" w:ascii="楷体" w:hAnsi="楷体" w:eastAsia="楷体" w:cs="仿宋"/>
          <w:color w:val="auto"/>
          <w:sz w:val="32"/>
          <w:szCs w:val="32"/>
          <w:highlight w:val="none"/>
        </w:rPr>
      </w:pPr>
    </w:p>
    <w:p>
      <w:pPr>
        <w:pStyle w:val="3"/>
        <w:spacing w:before="240" w:after="12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《特许经营管理</w:t>
      </w:r>
      <w:del w:id="10" w:author="uos" w:date="2025-06-24T10:19:58Z">
        <w:r>
          <w:rPr>
            <w:rFonts w:hint="eastAsia" w:ascii="方正小标宋_GBK" w:hAnsi="方正小标宋_GBK" w:eastAsia="方正小标宋_GBK" w:cs="方正小标宋_GBK"/>
            <w:color w:val="auto"/>
            <w:sz w:val="44"/>
            <w:szCs w:val="44"/>
          </w:rPr>
          <w:delText>细则</w:delText>
        </w:r>
      </w:del>
      <w:ins w:id="11" w:author="uos" w:date="2025-06-24T10:19:58Z">
        <w:r>
          <w:rPr>
            <w:rFonts w:hint="eastAsia" w:ascii="方正小标宋_GBK" w:hAnsi="方正小标宋_GBK" w:eastAsia="方正小标宋_GBK" w:cs="方正小标宋_GBK"/>
            <w:color w:val="auto"/>
            <w:sz w:val="44"/>
            <w:szCs w:val="44"/>
            <w:lang w:eastAsia="zh-CN"/>
          </w:rPr>
          <w:t>办法</w:t>
        </w:r>
      </w:ins>
      <w:r>
        <w:rPr>
          <w:rFonts w:hint="eastAsia" w:ascii="方正小标宋_GBK" w:hAnsi="方正小标宋_GBK" w:eastAsia="方正小标宋_GBK" w:cs="方正小标宋_GBK"/>
          <w:color w:val="auto"/>
          <w:sz w:val="44"/>
          <w:szCs w:val="44"/>
        </w:rPr>
        <w:t>》与《管理暂行办法》</w:t>
      </w:r>
    </w:p>
    <w:tbl>
      <w:tblPr>
        <w:tblStyle w:val="11"/>
        <w:tblW w:w="53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54"/>
        <w:gridCol w:w="2025"/>
        <w:gridCol w:w="3887"/>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blHeader/>
          <w:jc w:val="center"/>
        </w:trPr>
        <w:tc>
          <w:tcPr>
            <w:tcW w:w="256" w:type="pct"/>
            <w:noWrap w:val="0"/>
            <w:vAlign w:val="center"/>
          </w:tcPr>
          <w:p>
            <w:pPr>
              <w:jc w:val="center"/>
            </w:pPr>
            <w:r>
              <w:rPr>
                <w:b/>
                <w:bCs/>
              </w:rPr>
              <w:t>类别</w:t>
            </w:r>
          </w:p>
        </w:tc>
        <w:tc>
          <w:tcPr>
            <w:tcW w:w="1142" w:type="pct"/>
            <w:noWrap w:val="0"/>
            <w:vAlign w:val="center"/>
          </w:tcPr>
          <w:p>
            <w:pPr>
              <w:jc w:val="center"/>
            </w:pPr>
            <w:r>
              <w:rPr>
                <w:b/>
                <w:bCs/>
              </w:rPr>
              <w:t>管理暂行办法条款内容</w:t>
            </w:r>
          </w:p>
        </w:tc>
        <w:tc>
          <w:tcPr>
            <w:tcW w:w="2192" w:type="pct"/>
            <w:noWrap w:val="0"/>
            <w:vAlign w:val="center"/>
          </w:tcPr>
          <w:p>
            <w:pPr>
              <w:jc w:val="center"/>
            </w:pPr>
            <w:r>
              <w:rPr>
                <w:b/>
                <w:bCs/>
              </w:rPr>
              <w:t>管理</w:t>
            </w:r>
            <w:del w:id="12" w:author="uos" w:date="2025-06-24T10:20:03Z">
              <w:r>
                <w:rPr>
                  <w:b/>
                  <w:bCs/>
                </w:rPr>
                <w:delText>细则</w:delText>
              </w:r>
            </w:del>
            <w:ins w:id="13" w:author="uos" w:date="2025-06-24T10:20:03Z">
              <w:r>
                <w:rPr>
                  <w:rFonts w:hint="eastAsia"/>
                  <w:b/>
                  <w:bCs/>
                  <w:lang w:eastAsia="zh-CN"/>
                </w:rPr>
                <w:t>办法</w:t>
              </w:r>
            </w:ins>
            <w:r>
              <w:rPr>
                <w:b/>
                <w:bCs/>
              </w:rPr>
              <w:t>改动内容</w:t>
            </w:r>
          </w:p>
        </w:tc>
        <w:tc>
          <w:tcPr>
            <w:tcW w:w="1407" w:type="pct"/>
            <w:noWrap w:val="0"/>
            <w:vAlign w:val="center"/>
          </w:tcPr>
          <w:p>
            <w:pPr>
              <w:jc w:val="center"/>
            </w:pPr>
            <w:r>
              <w:rPr>
                <w:b/>
                <w:bCs/>
              </w:rPr>
              <w:t>改动理由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56" w:type="pct"/>
            <w:vMerge w:val="restart"/>
            <w:noWrap w:val="0"/>
            <w:vAlign w:val="center"/>
          </w:tcPr>
          <w:p>
            <w:pPr>
              <w:jc w:val="center"/>
            </w:pPr>
            <w:r>
              <w:rPr>
                <w:b/>
                <w:bCs/>
              </w:rPr>
              <w:t>适用范围</w:t>
            </w:r>
          </w:p>
        </w:tc>
        <w:tc>
          <w:tcPr>
            <w:tcW w:w="1142" w:type="pct"/>
            <w:noWrap w:val="0"/>
            <w:vAlign w:val="center"/>
          </w:tcPr>
          <w:p>
            <w:pPr>
              <w:jc w:val="center"/>
              <w:rPr>
                <w:rFonts w:hint="eastAsia" w:eastAsia="宋体"/>
                <w:lang w:eastAsia="zh-CN"/>
              </w:rPr>
            </w:pPr>
            <w:r>
              <w:rPr>
                <w:rFonts w:hint="eastAsia" w:eastAsia="宋体"/>
                <w:lang w:val="en-US" w:eastAsia="zh-CN"/>
              </w:rPr>
              <w:t>无</w:t>
            </w:r>
          </w:p>
        </w:tc>
        <w:tc>
          <w:tcPr>
            <w:tcW w:w="2192" w:type="pct"/>
            <w:noWrap w:val="0"/>
            <w:vAlign w:val="center"/>
          </w:tcPr>
          <w:p>
            <w:pPr>
              <w:jc w:val="center"/>
            </w:pPr>
            <w:del w:id="14" w:author="uos" w:date="2025-06-24T10:19:41Z">
              <w:r>
                <w:rPr>
                  <w:rFonts w:hint="eastAsia"/>
                </w:rPr>
                <w:delText>本细则</w:delText>
              </w:r>
            </w:del>
            <w:ins w:id="15" w:author="uos" w:date="2025-06-24T10:19:41Z">
              <w:r>
                <w:rPr>
                  <w:rFonts w:hint="eastAsia"/>
                  <w:lang w:eastAsia="zh-CN"/>
                </w:rPr>
                <w:t>本办法</w:t>
              </w:r>
            </w:ins>
            <w:r>
              <w:rPr>
                <w:rFonts w:hint="eastAsia"/>
              </w:rPr>
              <w:t>适用于</w:t>
            </w:r>
            <w:r>
              <w:rPr>
                <w:rFonts w:hint="eastAsia"/>
                <w:lang w:eastAsia="zh-CN"/>
              </w:rPr>
              <w:t>政府举办的医疗卫生机构（以下简称公立医院）</w:t>
            </w:r>
            <w:r>
              <w:rPr>
                <w:rFonts w:hint="eastAsia"/>
              </w:rPr>
              <w:t>与先行区医疗机构开展多种类型的医疗业务、学科建设、人才培养等合作，包括医疗机构间层面、医疗机构与科室层面、医疗机构与专家团队、医生集团或个人层面等合作模式。</w:t>
            </w:r>
            <w:r>
              <w:t>（第二条）</w:t>
            </w:r>
          </w:p>
        </w:tc>
        <w:tc>
          <w:tcPr>
            <w:tcW w:w="1407" w:type="pct"/>
            <w:noWrap w:val="0"/>
            <w:vAlign w:val="center"/>
          </w:tcPr>
          <w:p>
            <w:pPr>
              <w:jc w:val="center"/>
              <w:rPr>
                <w:rFonts w:hint="default" w:eastAsia="宋体"/>
                <w:lang w:val="en-US" w:eastAsia="zh-CN"/>
              </w:rPr>
            </w:pPr>
            <w:r>
              <w:rPr>
                <w:rFonts w:hint="eastAsia" w:eastAsia="宋体"/>
                <w:lang w:val="en-US" w:eastAsia="zh-CN"/>
              </w:rPr>
              <w:t>结合前期工作实际，增加合作模式种类的表述，进一步规范特许经营合作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56" w:type="pct"/>
            <w:vMerge w:val="continue"/>
            <w:noWrap w:val="0"/>
            <w:vAlign w:val="center"/>
          </w:tcPr>
          <w:p>
            <w:pPr>
              <w:jc w:val="center"/>
              <w:rPr>
                <w:b/>
                <w:bCs/>
              </w:rPr>
            </w:pPr>
          </w:p>
        </w:tc>
        <w:tc>
          <w:tcPr>
            <w:tcW w:w="1142" w:type="pct"/>
            <w:noWrap w:val="0"/>
            <w:vAlign w:val="center"/>
          </w:tcPr>
          <w:p>
            <w:pPr>
              <w:jc w:val="center"/>
              <w:rPr>
                <w:rFonts w:hint="default" w:eastAsia="宋体"/>
                <w:lang w:val="en-US" w:eastAsia="zh-CN"/>
              </w:rPr>
            </w:pPr>
            <w:r>
              <w:rPr>
                <w:rFonts w:hint="eastAsia" w:eastAsia="宋体"/>
                <w:lang w:val="en-US" w:eastAsia="zh-CN"/>
              </w:rPr>
              <w:t>无</w:t>
            </w:r>
          </w:p>
        </w:tc>
        <w:tc>
          <w:tcPr>
            <w:tcW w:w="2192" w:type="pct"/>
            <w:noWrap w:val="0"/>
            <w:vAlign w:val="center"/>
          </w:tcPr>
          <w:p>
            <w:pPr>
              <w:jc w:val="center"/>
              <w:rPr>
                <w:rFonts w:hint="eastAsia"/>
              </w:rPr>
            </w:pPr>
            <w:r>
              <w:rPr>
                <w:rFonts w:hint="eastAsia"/>
                <w:lang w:eastAsia="zh-CN"/>
              </w:rPr>
              <w:t>公立医院</w:t>
            </w:r>
            <w:r>
              <w:rPr>
                <w:rFonts w:hint="eastAsia"/>
              </w:rPr>
              <w:t>或其</w:t>
            </w:r>
            <w:r>
              <w:rPr>
                <w:rFonts w:hint="eastAsia"/>
                <w:lang w:eastAsia="zh-CN"/>
              </w:rPr>
              <w:t>院内</w:t>
            </w:r>
            <w:r>
              <w:rPr>
                <w:rFonts w:hint="eastAsia"/>
              </w:rPr>
              <w:t>科室、专家团队、个人与先行区内医疗机构合作的，需要双方医疗机构间签订合作协议。（第</w:t>
            </w:r>
            <w:r>
              <w:rPr>
                <w:rFonts w:hint="eastAsia" w:eastAsia="宋体"/>
                <w:lang w:val="en-US" w:eastAsia="zh-CN"/>
              </w:rPr>
              <w:t>三</w:t>
            </w:r>
            <w:r>
              <w:rPr>
                <w:rFonts w:hint="eastAsia"/>
              </w:rPr>
              <w:t>条）</w:t>
            </w:r>
          </w:p>
        </w:tc>
        <w:tc>
          <w:tcPr>
            <w:tcW w:w="1407" w:type="pct"/>
            <w:noWrap w:val="0"/>
            <w:vAlign w:val="center"/>
          </w:tcPr>
          <w:p>
            <w:pPr>
              <w:jc w:val="center"/>
              <w:rPr>
                <w:rFonts w:hint="eastAsia" w:eastAsia="宋体"/>
                <w:lang w:val="en-US" w:eastAsia="zh-CN"/>
              </w:rPr>
            </w:pPr>
            <w:r>
              <w:rPr>
                <w:rFonts w:hint="eastAsia" w:eastAsia="宋体"/>
                <w:lang w:val="en-US" w:eastAsia="zh-CN"/>
              </w:rPr>
              <w:t>结合前期工作实际，增加合作模式种类的表述，进一步规范特许经营合作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56" w:type="pct"/>
            <w:vMerge w:val="restart"/>
            <w:noWrap w:val="0"/>
            <w:vAlign w:val="center"/>
          </w:tcPr>
          <w:p>
            <w:pPr>
              <w:jc w:val="center"/>
            </w:pPr>
            <w:r>
              <w:rPr>
                <w:b/>
                <w:bCs/>
              </w:rPr>
              <w:t>重点合作方向</w:t>
            </w:r>
          </w:p>
        </w:tc>
        <w:tc>
          <w:tcPr>
            <w:tcW w:w="1142" w:type="pct"/>
            <w:noWrap w:val="0"/>
            <w:vAlign w:val="center"/>
          </w:tcPr>
          <w:p>
            <w:pPr>
              <w:jc w:val="center"/>
            </w:pPr>
            <w:r>
              <w:t>优先鼓励医美、康养、抗衰等专科领域（第四条）</w:t>
            </w:r>
          </w:p>
        </w:tc>
        <w:tc>
          <w:tcPr>
            <w:tcW w:w="2192" w:type="pct"/>
            <w:noWrap w:val="0"/>
            <w:vAlign w:val="center"/>
          </w:tcPr>
          <w:p>
            <w:pPr>
              <w:jc w:val="center"/>
            </w:pPr>
            <w:r>
              <w:t>明确鼓励心血管内科、神经内科、肿瘤科等18个专科领域及罕见病、生物医学技术转化方向（第四条）</w:t>
            </w:r>
          </w:p>
        </w:tc>
        <w:tc>
          <w:tcPr>
            <w:tcW w:w="1407" w:type="pct"/>
            <w:noWrap w:val="0"/>
            <w:vAlign w:val="center"/>
          </w:tcPr>
          <w:p>
            <w:pPr>
              <w:jc w:val="center"/>
              <w:rPr>
                <w:rFonts w:hint="eastAsia" w:ascii="Calibri" w:hAnsi="Calibri" w:eastAsia="宋体" w:cs="Times New Roman"/>
                <w:lang w:eastAsia="zh-CN"/>
              </w:rPr>
            </w:pPr>
            <w:r>
              <w:rPr>
                <w:rFonts w:hint="eastAsia" w:ascii="Calibri" w:hAnsi="Calibri" w:eastAsia="宋体" w:cs="Times New Roman"/>
                <w:lang w:eastAsia="zh-CN"/>
              </w:rPr>
              <w:t>契合国家临床重点专科建设导向，强化先行区专科特色优势；引导资源向高精尖医疗技术领域倾斜，推动真实世界数据应用与产业转化。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56" w:type="pct"/>
            <w:vMerge w:val="continue"/>
            <w:noWrap w:val="0"/>
            <w:vAlign w:val="center"/>
          </w:tcPr>
          <w:p>
            <w:pPr>
              <w:jc w:val="center"/>
              <w:rPr>
                <w:b/>
                <w:bCs/>
              </w:rPr>
            </w:pPr>
          </w:p>
        </w:tc>
        <w:tc>
          <w:tcPr>
            <w:tcW w:w="1142" w:type="pct"/>
            <w:noWrap w:val="0"/>
            <w:vAlign w:val="center"/>
          </w:tcPr>
          <w:p>
            <w:pPr>
              <w:jc w:val="center"/>
              <w:rPr>
                <w:rFonts w:hint="eastAsia" w:eastAsia="宋体"/>
                <w:lang w:eastAsia="zh-CN"/>
              </w:rPr>
            </w:pPr>
            <w:r>
              <w:rPr>
                <w:rFonts w:hint="eastAsia"/>
              </w:rPr>
              <w:t>特许方应在区域内或者行业内具有较为知名的品牌，具有规范、健全、系统的管理方式、服务规范和标准。</w:t>
            </w:r>
            <w:r>
              <w:rPr>
                <w:rFonts w:hint="eastAsia" w:eastAsia="宋体"/>
                <w:lang w:eastAsia="zh-CN"/>
              </w:rPr>
              <w:t>（</w:t>
            </w:r>
            <w:r>
              <w:rPr>
                <w:rFonts w:hint="eastAsia" w:eastAsia="宋体"/>
                <w:lang w:val="en-US" w:eastAsia="zh-CN"/>
              </w:rPr>
              <w:t>第五条</w:t>
            </w:r>
            <w:r>
              <w:rPr>
                <w:rFonts w:hint="eastAsia" w:eastAsia="宋体"/>
                <w:lang w:eastAsia="zh-CN"/>
              </w:rPr>
              <w:t>）</w:t>
            </w:r>
          </w:p>
          <w:p>
            <w:pPr>
              <w:jc w:val="center"/>
              <w:rPr>
                <w:rFonts w:hint="eastAsia"/>
              </w:rPr>
            </w:pPr>
          </w:p>
        </w:tc>
        <w:tc>
          <w:tcPr>
            <w:tcW w:w="2192" w:type="pct"/>
            <w:noWrap w:val="0"/>
            <w:vAlign w:val="center"/>
          </w:tcPr>
          <w:p>
            <w:pPr>
              <w:jc w:val="center"/>
              <w:rPr>
                <w:rFonts w:hint="eastAsia"/>
              </w:rPr>
            </w:pPr>
            <w:r>
              <w:rPr>
                <w:rFonts w:hint="eastAsia"/>
              </w:rPr>
              <w:t>特许方通过与被特许方开展合作的重点包括但不限于利用特许药械、特医食品、真实世界临床数据研究、生物医学新技术转化应用等政策，为特有需求患者的诊疗、科研等方面提供便利服务。</w:t>
            </w:r>
            <w:r>
              <w:rPr>
                <w:rFonts w:hint="eastAsia" w:eastAsia="宋体"/>
                <w:lang w:eastAsia="zh-CN"/>
              </w:rPr>
              <w:t>（</w:t>
            </w:r>
            <w:r>
              <w:rPr>
                <w:rFonts w:hint="eastAsia" w:eastAsia="宋体"/>
                <w:lang w:val="en-US" w:eastAsia="zh-CN"/>
              </w:rPr>
              <w:t>第五条</w:t>
            </w:r>
            <w:r>
              <w:rPr>
                <w:rFonts w:hint="eastAsia" w:eastAsia="宋体"/>
                <w:lang w:eastAsia="zh-CN"/>
              </w:rPr>
              <w:t>）</w:t>
            </w:r>
          </w:p>
        </w:tc>
        <w:tc>
          <w:tcPr>
            <w:tcW w:w="1407" w:type="pct"/>
            <w:noWrap w:val="0"/>
            <w:vAlign w:val="center"/>
          </w:tcPr>
          <w:p>
            <w:pPr>
              <w:jc w:val="center"/>
              <w:rPr>
                <w:rFonts w:hint="eastAsia" w:ascii="Calibri" w:hAnsi="Calibri" w:eastAsia="宋体" w:cs="Times New Roman"/>
                <w:lang w:val="en-US" w:eastAsia="zh-CN"/>
              </w:rPr>
            </w:pPr>
            <w:r>
              <w:rPr>
                <w:rFonts w:hint="eastAsia" w:ascii="Calibri" w:hAnsi="Calibri" w:eastAsia="宋体" w:cs="Times New Roman"/>
                <w:sz w:val="21"/>
                <w:szCs w:val="22"/>
                <w:lang w:val="en-US" w:eastAsia="zh-CN" w:bidi="ar-SA"/>
              </w:rPr>
              <w:t>增加</w:t>
            </w:r>
            <w:r>
              <w:rPr>
                <w:rFonts w:hint="eastAsia" w:ascii="Calibri" w:hAnsi="Calibri" w:eastAsia="宋体" w:cs="Times New Roman"/>
                <w:sz w:val="21"/>
                <w:szCs w:val="22"/>
                <w:lang w:eastAsia="zh-CN" w:bidi="ar-SA"/>
              </w:rPr>
              <w:t>合作方式涵盖但不限于在药械、食品等领域提供政策上的便利服务。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56" w:type="pct"/>
            <w:vMerge w:val="continue"/>
            <w:noWrap w:val="0"/>
            <w:vAlign w:val="center"/>
          </w:tcPr>
          <w:p>
            <w:pPr>
              <w:jc w:val="center"/>
              <w:rPr>
                <w:b/>
                <w:bCs/>
              </w:rPr>
            </w:pPr>
          </w:p>
        </w:tc>
        <w:tc>
          <w:tcPr>
            <w:tcW w:w="1142" w:type="pct"/>
            <w:noWrap w:val="0"/>
            <w:vAlign w:val="center"/>
          </w:tcPr>
          <w:p>
            <w:pPr>
              <w:jc w:val="center"/>
              <w:rPr>
                <w:rFonts w:hint="eastAsia" w:eastAsia="宋体"/>
                <w:lang w:val="en-US" w:eastAsia="zh-CN"/>
              </w:rPr>
            </w:pPr>
            <w:r>
              <w:rPr>
                <w:rFonts w:hint="eastAsia" w:eastAsia="宋体"/>
                <w:lang w:val="en-US" w:eastAsia="zh-CN"/>
              </w:rPr>
              <w:t>无</w:t>
            </w:r>
          </w:p>
        </w:tc>
        <w:tc>
          <w:tcPr>
            <w:tcW w:w="2192" w:type="pct"/>
            <w:noWrap w:val="0"/>
            <w:vAlign w:val="center"/>
          </w:tcPr>
          <w:p>
            <w:pPr>
              <w:jc w:val="center"/>
              <w:rPr>
                <w:rFonts w:hint="eastAsia" w:eastAsia="宋体"/>
                <w:lang w:eastAsia="zh-CN"/>
              </w:rPr>
            </w:pPr>
            <w:r>
              <w:rPr>
                <w:rFonts w:hint="eastAsia"/>
              </w:rPr>
              <w:t>鼓励有条件的医疗机构间建立远程诊疗中心，通过远程会诊、远程手术指导等方式，提升医疗服务质量和效率。鼓励共建国际医疗中心，为国内外患者提供特需医疗服务。鼓励共建医教研产学一体化平台，推动医疗能力提升、医学人才培养、医学科技创新与成果转化、医学学术交流。</w:t>
            </w:r>
            <w:r>
              <w:rPr>
                <w:rFonts w:hint="eastAsia" w:eastAsia="宋体"/>
                <w:lang w:eastAsia="zh-CN"/>
              </w:rPr>
              <w:t>（</w:t>
            </w:r>
            <w:r>
              <w:rPr>
                <w:rFonts w:hint="eastAsia" w:eastAsia="宋体"/>
                <w:lang w:val="en-US" w:eastAsia="zh-CN"/>
              </w:rPr>
              <w:t>第六条</w:t>
            </w:r>
            <w:r>
              <w:rPr>
                <w:rFonts w:hint="eastAsia" w:eastAsia="宋体"/>
                <w:lang w:eastAsia="zh-CN"/>
              </w:rPr>
              <w:t>）</w:t>
            </w:r>
          </w:p>
        </w:tc>
        <w:tc>
          <w:tcPr>
            <w:tcW w:w="1407" w:type="pct"/>
            <w:noWrap w:val="0"/>
            <w:vAlign w:val="center"/>
          </w:tcPr>
          <w:p>
            <w:pPr>
              <w:jc w:val="center"/>
              <w:rPr>
                <w:rFonts w:hint="eastAsia" w:ascii="Calibri" w:hAnsi="Calibri" w:eastAsia="宋体" w:cs="Times New Roman"/>
                <w:lang w:val="en-US" w:eastAsia="zh-CN"/>
              </w:rPr>
            </w:pPr>
            <w:r>
              <w:rPr>
                <w:rFonts w:hint="eastAsia" w:ascii="Calibri" w:hAnsi="Calibri" w:eastAsia="宋体" w:cs="Times New Roman"/>
                <w:sz w:val="21"/>
                <w:szCs w:val="22"/>
                <w:lang w:eastAsia="zh-CN" w:bidi="ar-SA"/>
              </w:rPr>
              <w:t>针对工作需求，提高工作效率，建立远程会诊、远程手术指导等模式，以促进医疗能力的提升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56" w:type="pct"/>
            <w:vMerge w:val="continue"/>
            <w:noWrap w:val="0"/>
            <w:vAlign w:val="center"/>
          </w:tcPr>
          <w:p>
            <w:pPr>
              <w:jc w:val="center"/>
              <w:rPr>
                <w:b/>
                <w:bCs/>
              </w:rPr>
            </w:pPr>
          </w:p>
        </w:tc>
        <w:tc>
          <w:tcPr>
            <w:tcW w:w="1142" w:type="pct"/>
            <w:noWrap w:val="0"/>
            <w:vAlign w:val="center"/>
          </w:tcPr>
          <w:p>
            <w:pPr>
              <w:jc w:val="center"/>
              <w:rPr>
                <w:rFonts w:hint="eastAsia" w:eastAsia="宋体"/>
                <w:lang w:val="en-US" w:eastAsia="zh-CN"/>
              </w:rPr>
            </w:pPr>
            <w:r>
              <w:rPr>
                <w:rFonts w:hint="eastAsia" w:eastAsia="宋体"/>
                <w:lang w:val="en-US" w:eastAsia="zh-CN"/>
              </w:rPr>
              <w:t>无</w:t>
            </w:r>
          </w:p>
        </w:tc>
        <w:tc>
          <w:tcPr>
            <w:tcW w:w="2192" w:type="pct"/>
            <w:noWrap w:val="0"/>
            <w:vAlign w:val="center"/>
          </w:tcPr>
          <w:p>
            <w:pPr>
              <w:jc w:val="center"/>
              <w:rPr>
                <w:rFonts w:hint="eastAsia"/>
              </w:rPr>
            </w:pPr>
            <w:r>
              <w:rPr>
                <w:rFonts w:hint="eastAsia"/>
              </w:rPr>
              <w:t>支持特许方医师在特许经营合作的医疗机构内多点执业。主执业机构为特许方的医师，在经主执业机构同意后，向博鳌乐城国际医疗旅游先行区医药监管局（以下简称“先行区医药监管局”）申请备案，其在乐城先行区多点执业期间开展的特许药械项目纳入医师职称评审中“新技术、新项目”的认定范围。</w:t>
            </w:r>
          </w:p>
          <w:p>
            <w:pPr>
              <w:jc w:val="center"/>
              <w:rPr>
                <w:rFonts w:hint="eastAsia" w:eastAsia="宋体"/>
                <w:lang w:eastAsia="zh-CN"/>
              </w:rPr>
            </w:pPr>
            <w:r>
              <w:rPr>
                <w:rFonts w:hint="eastAsia"/>
              </w:rPr>
              <w:t>特许经营合作双方可约定长期派驻人员名单，医师在先行区内医疗机构1年内多点执业时间超过240天的，其多点执业机构可视为其主执业机构。</w:t>
            </w:r>
            <w:r>
              <w:rPr>
                <w:rFonts w:hint="eastAsia" w:eastAsia="宋体"/>
                <w:lang w:eastAsia="zh-CN"/>
              </w:rPr>
              <w:t>（</w:t>
            </w:r>
            <w:r>
              <w:rPr>
                <w:rFonts w:hint="eastAsia" w:eastAsia="宋体"/>
                <w:lang w:val="en-US" w:eastAsia="zh-CN"/>
              </w:rPr>
              <w:t>第七条</w:t>
            </w:r>
            <w:r>
              <w:rPr>
                <w:rFonts w:hint="eastAsia" w:eastAsia="宋体"/>
                <w:lang w:eastAsia="zh-CN"/>
              </w:rPr>
              <w:t>）</w:t>
            </w:r>
          </w:p>
        </w:tc>
        <w:tc>
          <w:tcPr>
            <w:tcW w:w="1407" w:type="pct"/>
            <w:noWrap w:val="0"/>
            <w:vAlign w:val="center"/>
          </w:tcPr>
          <w:p>
            <w:pPr>
              <w:jc w:val="center"/>
              <w:rPr>
                <w:rFonts w:hint="eastAsia" w:ascii="Calibri" w:hAnsi="Calibri" w:eastAsia="宋体" w:cs="Times New Roman"/>
                <w:lang w:eastAsia="zh-CN"/>
              </w:rPr>
            </w:pPr>
            <w:r>
              <w:rPr>
                <w:rFonts w:hint="eastAsia" w:ascii="Calibri" w:hAnsi="Calibri" w:eastAsia="宋体" w:cs="Times New Roman"/>
                <w:lang w:eastAsia="zh-CN"/>
              </w:rPr>
              <w:t>支持特许方医师多点执业。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56" w:type="pct"/>
            <w:vMerge w:val="continue"/>
            <w:noWrap w:val="0"/>
            <w:vAlign w:val="center"/>
          </w:tcPr>
          <w:p>
            <w:pPr>
              <w:jc w:val="center"/>
              <w:rPr>
                <w:b/>
                <w:bCs/>
              </w:rPr>
            </w:pPr>
          </w:p>
        </w:tc>
        <w:tc>
          <w:tcPr>
            <w:tcW w:w="1142" w:type="pct"/>
            <w:noWrap w:val="0"/>
            <w:vAlign w:val="center"/>
          </w:tcPr>
          <w:p>
            <w:pPr>
              <w:jc w:val="center"/>
              <w:rPr>
                <w:rFonts w:hint="default" w:eastAsia="宋体"/>
                <w:lang w:val="en-US" w:eastAsia="zh-CN"/>
              </w:rPr>
            </w:pPr>
            <w:r>
              <w:rPr>
                <w:rFonts w:hint="eastAsia" w:eastAsia="宋体"/>
                <w:lang w:val="en-US" w:eastAsia="zh-CN"/>
              </w:rPr>
              <w:t>无</w:t>
            </w:r>
          </w:p>
        </w:tc>
        <w:tc>
          <w:tcPr>
            <w:tcW w:w="2192" w:type="pct"/>
            <w:noWrap w:val="0"/>
            <w:vAlign w:val="center"/>
          </w:tcPr>
          <w:p>
            <w:pPr>
              <w:jc w:val="center"/>
              <w:rPr>
                <w:rFonts w:hint="eastAsia"/>
              </w:rPr>
            </w:pPr>
            <w:r>
              <w:rPr>
                <w:rFonts w:hint="eastAsia"/>
              </w:rPr>
              <w:t>博鳌乐城国际医疗旅游先行区管理局（以下简称“先行区管理局”）会同先行区医药监管局结合先行区发展规划，指导先行区医疗机构明确1-2个特色专科重点发展（以下简称特色专科），推动先行区内社会办医疗机构向三级专科医院转型发展。</w:t>
            </w:r>
          </w:p>
          <w:p>
            <w:pPr>
              <w:jc w:val="center"/>
              <w:rPr>
                <w:rFonts w:hint="eastAsia" w:eastAsia="宋体"/>
                <w:lang w:eastAsia="zh-CN"/>
              </w:rPr>
            </w:pPr>
            <w:r>
              <w:rPr>
                <w:rFonts w:hint="eastAsia"/>
              </w:rPr>
              <w:t>对于特色专科，先行区医药监管局会同先行区管理局在特许药械、特医食品、生物医学新技术等审核审批等方面予以支持。</w:t>
            </w:r>
            <w:r>
              <w:rPr>
                <w:rFonts w:hint="eastAsia"/>
                <w:lang w:eastAsia="zh-CN"/>
              </w:rPr>
              <w:t>特许方</w:t>
            </w:r>
            <w:r>
              <w:rPr>
                <w:rFonts w:hint="eastAsia"/>
              </w:rPr>
              <w:t>原则上</w:t>
            </w:r>
            <w:r>
              <w:rPr>
                <w:rFonts w:hint="eastAsia"/>
                <w:lang w:eastAsia="zh-CN"/>
              </w:rPr>
              <w:t>应当围绕特色专科方向</w:t>
            </w:r>
            <w:r>
              <w:rPr>
                <w:rFonts w:hint="eastAsia"/>
              </w:rPr>
              <w:t>与被特许方开展合作。</w:t>
            </w:r>
            <w:r>
              <w:rPr>
                <w:rFonts w:hint="eastAsia" w:eastAsia="宋体"/>
                <w:lang w:eastAsia="zh-CN"/>
              </w:rPr>
              <w:t>（</w:t>
            </w:r>
            <w:r>
              <w:rPr>
                <w:rFonts w:hint="eastAsia" w:eastAsia="宋体"/>
                <w:lang w:val="en-US" w:eastAsia="zh-CN"/>
              </w:rPr>
              <w:t>第八条</w:t>
            </w:r>
            <w:r>
              <w:rPr>
                <w:rFonts w:hint="eastAsia" w:eastAsia="宋体"/>
                <w:lang w:eastAsia="zh-CN"/>
              </w:rPr>
              <w:t>）</w:t>
            </w:r>
          </w:p>
        </w:tc>
        <w:tc>
          <w:tcPr>
            <w:tcW w:w="1407" w:type="pct"/>
            <w:noWrap w:val="0"/>
            <w:vAlign w:val="center"/>
          </w:tcPr>
          <w:p>
            <w:pPr>
              <w:jc w:val="center"/>
              <w:rPr>
                <w:rFonts w:hint="eastAsia" w:ascii="Calibri" w:hAnsi="Calibri" w:eastAsia="宋体" w:cs="Times New Roman"/>
                <w:lang w:val="en-US" w:eastAsia="zh-CN"/>
              </w:rPr>
            </w:pPr>
            <w:r>
              <w:rPr>
                <w:rFonts w:hint="eastAsia" w:ascii="Calibri" w:hAnsi="Calibri" w:eastAsia="宋体" w:cs="Times New Roman"/>
                <w:sz w:val="21"/>
                <w:szCs w:val="22"/>
                <w:lang w:eastAsia="zh-CN" w:bidi="ar-SA"/>
              </w:rPr>
              <w:t>指导先行区医疗机构明确1-2个特色专科作为重点发展方向，原则上应围绕特色专科领域与特许方开展合作。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56" w:type="pct"/>
            <w:vMerge w:val="continue"/>
            <w:noWrap w:val="0"/>
            <w:vAlign w:val="center"/>
          </w:tcPr>
          <w:p>
            <w:pPr>
              <w:jc w:val="center"/>
              <w:rPr>
                <w:b/>
                <w:bCs/>
              </w:rPr>
            </w:pPr>
          </w:p>
        </w:tc>
        <w:tc>
          <w:tcPr>
            <w:tcW w:w="1142" w:type="pct"/>
            <w:noWrap w:val="0"/>
            <w:vAlign w:val="center"/>
          </w:tcPr>
          <w:p>
            <w:pPr>
              <w:jc w:val="center"/>
              <w:rPr>
                <w:rFonts w:hint="default" w:eastAsia="宋体"/>
                <w:lang w:val="en-US" w:eastAsia="zh-CN"/>
              </w:rPr>
            </w:pPr>
            <w:r>
              <w:rPr>
                <w:rFonts w:hint="eastAsia" w:eastAsia="宋体"/>
                <w:lang w:val="en-US" w:eastAsia="zh-CN"/>
              </w:rPr>
              <w:t>无</w:t>
            </w:r>
          </w:p>
        </w:tc>
        <w:tc>
          <w:tcPr>
            <w:tcW w:w="2192" w:type="pct"/>
            <w:noWrap w:val="0"/>
            <w:vAlign w:val="center"/>
          </w:tcPr>
          <w:p>
            <w:pPr>
              <w:jc w:val="center"/>
              <w:rPr>
                <w:rFonts w:hint="eastAsia"/>
                <w:lang w:eastAsia="zh-CN"/>
              </w:rPr>
            </w:pPr>
            <w:r>
              <w:rPr>
                <w:rFonts w:hint="eastAsia"/>
              </w:rPr>
              <w:t>具备临床诊疗所需的综合或专科医疗机构的基本功能要素（如门诊、病房、放射、检验等医技服务），能够满足相应的医疗服务需求的管理、人力资源及设备、设施等基本条件。</w:t>
            </w:r>
            <w:r>
              <w:rPr>
                <w:rFonts w:hint="eastAsia"/>
                <w:lang w:eastAsia="zh-CN"/>
              </w:rPr>
              <w:t>（</w:t>
            </w:r>
            <w:r>
              <w:rPr>
                <w:rFonts w:hint="eastAsia"/>
                <w:lang w:val="en-US" w:eastAsia="zh-CN"/>
              </w:rPr>
              <w:t>第十条</w:t>
            </w:r>
            <w:r>
              <w:rPr>
                <w:rFonts w:hint="eastAsia"/>
                <w:lang w:eastAsia="zh-CN"/>
              </w:rPr>
              <w:t>）</w:t>
            </w:r>
          </w:p>
          <w:p>
            <w:pPr>
              <w:jc w:val="center"/>
              <w:rPr>
                <w:rFonts w:hint="eastAsia"/>
              </w:rPr>
            </w:pPr>
          </w:p>
        </w:tc>
        <w:tc>
          <w:tcPr>
            <w:tcW w:w="1407" w:type="pct"/>
            <w:noWrap w:val="0"/>
            <w:vAlign w:val="center"/>
          </w:tcPr>
          <w:p>
            <w:pPr>
              <w:jc w:val="center"/>
              <w:rPr>
                <w:rFonts w:hint="eastAsia" w:ascii="Calibri" w:hAnsi="Calibri" w:eastAsia="宋体" w:cs="Times New Roman"/>
                <w:lang w:val="en-US" w:eastAsia="zh-CN"/>
              </w:rPr>
            </w:pPr>
            <w:r>
              <w:rPr>
                <w:rFonts w:hint="eastAsia" w:ascii="Calibri" w:hAnsi="Calibri" w:eastAsia="宋体" w:cs="Times New Roman"/>
                <w:sz w:val="21"/>
                <w:szCs w:val="22"/>
                <w:lang w:eastAsia="zh-CN" w:bidi="ar-SA"/>
              </w:rPr>
              <w:t>需增强临床诊疗所必需的基础功能，以满足医疗服务体系、人力资源、设备及设施等方面的条件。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56" w:type="pct"/>
            <w:vMerge w:val="continue"/>
            <w:noWrap w:val="0"/>
            <w:vAlign w:val="center"/>
          </w:tcPr>
          <w:p>
            <w:pPr>
              <w:jc w:val="center"/>
              <w:rPr>
                <w:b/>
                <w:bCs/>
              </w:rPr>
            </w:pPr>
          </w:p>
        </w:tc>
        <w:tc>
          <w:tcPr>
            <w:tcW w:w="1142" w:type="pct"/>
            <w:noWrap w:val="0"/>
            <w:vAlign w:val="center"/>
          </w:tcPr>
          <w:p>
            <w:pPr>
              <w:jc w:val="center"/>
              <w:rPr>
                <w:rFonts w:hint="default" w:eastAsia="宋体"/>
                <w:lang w:val="en-US" w:eastAsia="zh-CN"/>
              </w:rPr>
            </w:pPr>
            <w:r>
              <w:rPr>
                <w:rFonts w:hint="eastAsia" w:eastAsia="宋体"/>
                <w:lang w:val="en-US" w:eastAsia="zh-CN"/>
              </w:rPr>
              <w:t>无</w:t>
            </w:r>
          </w:p>
        </w:tc>
        <w:tc>
          <w:tcPr>
            <w:tcW w:w="2192" w:type="pct"/>
            <w:noWrap w:val="0"/>
            <w:vAlign w:val="center"/>
          </w:tcPr>
          <w:p>
            <w:pPr>
              <w:jc w:val="center"/>
              <w:rPr>
                <w:rFonts w:hint="eastAsia" w:ascii="Arial" w:hAnsi="Arial" w:eastAsia="宋体" w:cs="Arial"/>
                <w:sz w:val="24"/>
                <w:szCs w:val="24"/>
                <w:lang w:eastAsia="zh-CN" w:bidi="ar-SA"/>
              </w:rPr>
            </w:pPr>
            <w:r>
              <w:rPr>
                <w:rFonts w:hint="eastAsia" w:eastAsia="宋体" w:cs="Arial"/>
                <w:sz w:val="24"/>
                <w:szCs w:val="24"/>
                <w:lang w:val="en-US" w:eastAsia="zh-CN" w:bidi="ar-SA"/>
              </w:rPr>
              <w:t>增加</w:t>
            </w:r>
            <w:r>
              <w:rPr>
                <w:rFonts w:hint="eastAsia" w:ascii="Arial" w:hAnsi="Arial" w:eastAsia="宋体" w:cs="Arial"/>
                <w:sz w:val="24"/>
                <w:szCs w:val="24"/>
                <w:lang w:bidi="ar-SA"/>
              </w:rPr>
              <w:t>特许方应履行</w:t>
            </w:r>
            <w:r>
              <w:rPr>
                <w:rFonts w:hint="eastAsia" w:eastAsia="宋体" w:cs="Arial"/>
                <w:sz w:val="24"/>
                <w:szCs w:val="24"/>
                <w:lang w:eastAsia="zh-CN" w:bidi="ar-SA"/>
              </w:rPr>
              <w:t>的</w:t>
            </w:r>
            <w:r>
              <w:rPr>
                <w:rFonts w:hint="eastAsia" w:ascii="Arial" w:hAnsi="Arial" w:eastAsia="宋体" w:cs="Arial"/>
                <w:sz w:val="24"/>
                <w:szCs w:val="24"/>
                <w:lang w:bidi="ar-SA"/>
              </w:rPr>
              <w:t>义务</w:t>
            </w:r>
            <w:r>
              <w:rPr>
                <w:rFonts w:hint="eastAsia" w:ascii="Arial" w:hAnsi="Arial" w:eastAsia="宋体" w:cs="Arial"/>
                <w:sz w:val="24"/>
                <w:szCs w:val="24"/>
                <w:lang w:eastAsia="zh-CN" w:bidi="ar-SA"/>
              </w:rPr>
              <w:t>、</w:t>
            </w:r>
            <w:r>
              <w:rPr>
                <w:rFonts w:hint="eastAsia" w:ascii="Arial" w:hAnsi="Arial" w:eastAsia="宋体" w:cs="Arial"/>
                <w:sz w:val="24"/>
                <w:szCs w:val="24"/>
                <w:lang w:bidi="ar-SA"/>
              </w:rPr>
              <w:t>被特许方应履行</w:t>
            </w:r>
            <w:r>
              <w:rPr>
                <w:rFonts w:hint="eastAsia" w:eastAsia="宋体" w:cs="Arial"/>
                <w:sz w:val="24"/>
                <w:szCs w:val="24"/>
                <w:lang w:eastAsia="zh-CN" w:bidi="ar-SA"/>
              </w:rPr>
              <w:t>的</w:t>
            </w:r>
            <w:r>
              <w:rPr>
                <w:rFonts w:hint="eastAsia" w:ascii="Arial" w:hAnsi="Arial" w:eastAsia="宋体" w:cs="Arial"/>
                <w:sz w:val="24"/>
                <w:szCs w:val="24"/>
                <w:lang w:bidi="ar-SA"/>
              </w:rPr>
              <w:t>义务</w:t>
            </w:r>
            <w:r>
              <w:rPr>
                <w:rFonts w:hint="eastAsia" w:ascii="Arial" w:hAnsi="Arial" w:eastAsia="宋体" w:cs="Arial"/>
                <w:sz w:val="24"/>
                <w:szCs w:val="24"/>
                <w:lang w:val="en-US" w:eastAsia="zh-CN" w:bidi="ar-SA"/>
              </w:rPr>
              <w:t>(</w:t>
            </w:r>
            <w:r>
              <w:rPr>
                <w:rFonts w:ascii="Arial" w:hAnsi="Arial" w:eastAsia="宋体" w:cs="Arial"/>
                <w:sz w:val="24"/>
                <w:szCs w:val="24"/>
                <w:lang w:bidi="ar-SA"/>
              </w:rPr>
              <w:t>第十</w:t>
            </w:r>
            <w:r>
              <w:rPr>
                <w:rFonts w:hint="eastAsia" w:ascii="Arial" w:hAnsi="Arial" w:eastAsia="宋体" w:cs="Arial"/>
                <w:sz w:val="24"/>
                <w:szCs w:val="24"/>
                <w:lang w:val="en-US" w:eastAsia="zh-CN" w:bidi="ar-SA"/>
              </w:rPr>
              <w:t>五</w:t>
            </w:r>
            <w:r>
              <w:rPr>
                <w:rFonts w:ascii="Arial" w:hAnsi="Arial" w:eastAsia="宋体" w:cs="Arial"/>
                <w:sz w:val="24"/>
                <w:szCs w:val="24"/>
                <w:lang w:bidi="ar-SA"/>
              </w:rPr>
              <w:t>条</w:t>
            </w:r>
            <w:r>
              <w:rPr>
                <w:rFonts w:hint="eastAsia" w:ascii="Arial" w:hAnsi="Arial" w:eastAsia="宋体" w:cs="Arial"/>
                <w:sz w:val="24"/>
                <w:szCs w:val="24"/>
                <w:lang w:eastAsia="zh-CN" w:bidi="ar-SA"/>
              </w:rPr>
              <w:t>、</w:t>
            </w:r>
            <w:r>
              <w:rPr>
                <w:rFonts w:ascii="Arial" w:hAnsi="Arial" w:eastAsia="宋体" w:cs="Arial"/>
                <w:sz w:val="24"/>
                <w:szCs w:val="24"/>
                <w:lang w:bidi="ar-SA"/>
              </w:rPr>
              <w:t>第十</w:t>
            </w:r>
            <w:r>
              <w:rPr>
                <w:rFonts w:hint="eastAsia" w:ascii="Arial" w:hAnsi="Arial" w:eastAsia="宋体" w:cs="Arial"/>
                <w:sz w:val="24"/>
                <w:szCs w:val="24"/>
                <w:lang w:val="en-US" w:eastAsia="zh-CN" w:bidi="ar-SA"/>
              </w:rPr>
              <w:t>六</w:t>
            </w:r>
            <w:r>
              <w:rPr>
                <w:rFonts w:ascii="Arial" w:hAnsi="Arial" w:eastAsia="宋体" w:cs="Arial"/>
                <w:sz w:val="24"/>
                <w:szCs w:val="24"/>
                <w:lang w:bidi="ar-SA"/>
              </w:rPr>
              <w:t>条）</w:t>
            </w:r>
          </w:p>
        </w:tc>
        <w:tc>
          <w:tcPr>
            <w:tcW w:w="1407" w:type="pct"/>
            <w:noWrap w:val="0"/>
            <w:vAlign w:val="center"/>
          </w:tcPr>
          <w:p>
            <w:pPr>
              <w:jc w:val="center"/>
              <w:rPr>
                <w:rFonts w:hint="eastAsia" w:ascii="Calibri" w:hAnsi="Calibri" w:eastAsia="宋体" w:cs="Times New Roman"/>
                <w:sz w:val="21"/>
                <w:szCs w:val="22"/>
                <w:lang w:val="en-US" w:eastAsia="zh-CN" w:bidi="ar-SA"/>
              </w:rPr>
            </w:pPr>
            <w:r>
              <w:rPr>
                <w:rFonts w:hint="eastAsia" w:ascii="Calibri" w:hAnsi="Calibri" w:eastAsia="宋体" w:cs="Times New Roman"/>
                <w:sz w:val="21"/>
                <w:szCs w:val="22"/>
                <w:lang w:eastAsia="zh-CN" w:bidi="ar-SA"/>
              </w:rPr>
              <w:t>明确履行义务的范围，有助于更好地确认工作职责，确保特许方、被特许方都清楚自己的任务和责任范围。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56" w:type="pct"/>
            <w:noWrap w:val="0"/>
            <w:vAlign w:val="center"/>
          </w:tcPr>
          <w:p>
            <w:pPr>
              <w:jc w:val="center"/>
            </w:pPr>
            <w:r>
              <w:rPr>
                <w:b/>
                <w:bCs/>
              </w:rPr>
              <w:t>特许经营期限</w:t>
            </w:r>
          </w:p>
        </w:tc>
        <w:tc>
          <w:tcPr>
            <w:tcW w:w="1142" w:type="pct"/>
            <w:noWrap w:val="0"/>
            <w:vAlign w:val="center"/>
          </w:tcPr>
          <w:p>
            <w:pPr>
              <w:jc w:val="center"/>
            </w:pPr>
            <w:r>
              <w:t>原则上不超过5年（第十四条）</w:t>
            </w:r>
          </w:p>
        </w:tc>
        <w:tc>
          <w:tcPr>
            <w:tcW w:w="2192" w:type="pct"/>
            <w:noWrap w:val="0"/>
            <w:vAlign w:val="center"/>
          </w:tcPr>
          <w:p>
            <w:pPr>
              <w:jc w:val="center"/>
            </w:pPr>
            <w:r>
              <w:t>设定期限为3-5年，要求延续合作需经医药监管局核准（第十</w:t>
            </w:r>
            <w:r>
              <w:rPr>
                <w:rFonts w:hint="eastAsia" w:eastAsia="宋体"/>
                <w:lang w:val="en-US" w:eastAsia="zh-CN"/>
              </w:rPr>
              <w:t>九</w:t>
            </w:r>
            <w:r>
              <w:t>条）</w:t>
            </w:r>
          </w:p>
        </w:tc>
        <w:tc>
          <w:tcPr>
            <w:tcW w:w="1407" w:type="pct"/>
            <w:noWrap w:val="0"/>
            <w:vAlign w:val="center"/>
          </w:tcPr>
          <w:p>
            <w:pPr>
              <w:jc w:val="center"/>
              <w:rPr>
                <w:rFonts w:hint="eastAsia" w:ascii="Calibri" w:hAnsi="Calibri" w:eastAsia="宋体" w:cs="Times New Roman"/>
                <w:lang w:eastAsia="zh-CN"/>
              </w:rPr>
            </w:pPr>
            <w:r>
              <w:rPr>
                <w:rFonts w:hint="eastAsia" w:ascii="Calibri" w:hAnsi="Calibri" w:eastAsia="宋体" w:cs="Times New Roman"/>
                <w:lang w:eastAsia="zh-CN"/>
              </w:rPr>
              <w:t>平衡合作稳定性与动态评估需求，设定最低年限保障长期投入，强化续签审批监管。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56" w:type="pct"/>
            <w:noWrap w:val="0"/>
            <w:vAlign w:val="center"/>
          </w:tcPr>
          <w:p>
            <w:pPr>
              <w:jc w:val="center"/>
            </w:pPr>
            <w:r>
              <w:rPr>
                <w:b/>
                <w:bCs/>
              </w:rPr>
              <w:t>品牌管理</w:t>
            </w:r>
          </w:p>
        </w:tc>
        <w:tc>
          <w:tcPr>
            <w:tcW w:w="1142" w:type="pct"/>
            <w:noWrap w:val="0"/>
            <w:vAlign w:val="center"/>
          </w:tcPr>
          <w:p>
            <w:pPr>
              <w:jc w:val="center"/>
            </w:pPr>
            <w:r>
              <w:t>未明确冠名限制（第九条、第十条）</w:t>
            </w:r>
          </w:p>
        </w:tc>
        <w:tc>
          <w:tcPr>
            <w:tcW w:w="2192" w:type="pct"/>
            <w:noWrap w:val="0"/>
            <w:vAlign w:val="center"/>
          </w:tcPr>
          <w:p>
            <w:pPr>
              <w:jc w:val="center"/>
              <w:rPr>
                <w:rFonts w:eastAsia="宋体"/>
              </w:rPr>
            </w:pPr>
            <w:r>
              <w:t>1. 禁止科室层面合作使用品牌（第十</w:t>
            </w:r>
            <w:r>
              <w:rPr>
                <w:rFonts w:hint="eastAsia" w:eastAsia="宋体"/>
                <w:lang w:val="en-US" w:eastAsia="zh-CN"/>
              </w:rPr>
              <w:t>三</w:t>
            </w:r>
            <w:r>
              <w:t>条）；</w:t>
            </w:r>
          </w:p>
          <w:p>
            <w:pPr>
              <w:jc w:val="center"/>
            </w:pPr>
            <w:r>
              <w:t>2. 已开展院际合作的机构不得重复授权品牌（第十</w:t>
            </w:r>
            <w:r>
              <w:rPr>
                <w:rFonts w:hint="eastAsia" w:eastAsia="宋体"/>
                <w:lang w:val="en-US" w:eastAsia="zh-CN"/>
              </w:rPr>
              <w:t>二</w:t>
            </w:r>
            <w:r>
              <w:t>条）</w:t>
            </w:r>
          </w:p>
        </w:tc>
        <w:tc>
          <w:tcPr>
            <w:tcW w:w="1407" w:type="pct"/>
            <w:noWrap w:val="0"/>
            <w:vAlign w:val="center"/>
          </w:tcPr>
          <w:p>
            <w:pPr>
              <w:jc w:val="center"/>
            </w:pPr>
            <w:r>
              <w:t>防范品牌滥用风险，维护公立医院品牌公信力；通过排他性条款规范市场竞争秩序。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56" w:type="pct"/>
            <w:noWrap w:val="0"/>
            <w:vAlign w:val="center"/>
          </w:tcPr>
          <w:p>
            <w:pPr>
              <w:jc w:val="center"/>
            </w:pPr>
            <w:r>
              <w:rPr>
                <w:b/>
                <w:bCs/>
              </w:rPr>
              <w:t>备案审查机制</w:t>
            </w:r>
          </w:p>
        </w:tc>
        <w:tc>
          <w:tcPr>
            <w:tcW w:w="1142" w:type="pct"/>
            <w:noWrap w:val="0"/>
            <w:vAlign w:val="center"/>
          </w:tcPr>
          <w:p>
            <w:pPr>
              <w:jc w:val="center"/>
            </w:pPr>
            <w:r>
              <w:t>需提交8项材料备案（第十五条）</w:t>
            </w:r>
          </w:p>
        </w:tc>
        <w:tc>
          <w:tcPr>
            <w:tcW w:w="2192" w:type="pct"/>
            <w:noWrap w:val="0"/>
            <w:vAlign w:val="center"/>
          </w:tcPr>
          <w:p>
            <w:pPr>
              <w:jc w:val="center"/>
              <w:rPr>
                <w:rFonts w:eastAsia="宋体"/>
              </w:rPr>
            </w:pPr>
            <w:r>
              <w:t>扩展备案材料至协议文本、双方基础信息、财务审计报告等6类（第</w:t>
            </w:r>
            <w:r>
              <w:rPr>
                <w:rFonts w:hint="eastAsia" w:eastAsia="宋体"/>
                <w:lang w:val="en-US" w:eastAsia="zh-CN"/>
              </w:rPr>
              <w:t>二十</w:t>
            </w:r>
            <w:r>
              <w:t>条）</w:t>
            </w:r>
          </w:p>
        </w:tc>
        <w:tc>
          <w:tcPr>
            <w:tcW w:w="1407" w:type="pct"/>
            <w:noWrap w:val="0"/>
            <w:vAlign w:val="center"/>
          </w:tcPr>
          <w:p>
            <w:pPr>
              <w:jc w:val="center"/>
            </w:pPr>
            <w:r>
              <w:t>细化备案程序要求，强化合作方案可行性评估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56" w:type="pct"/>
            <w:noWrap w:val="0"/>
            <w:vAlign w:val="center"/>
          </w:tcPr>
          <w:p>
            <w:pPr>
              <w:jc w:val="center"/>
            </w:pPr>
            <w:r>
              <w:rPr>
                <w:b/>
                <w:bCs/>
              </w:rPr>
              <w:t>运营管理</w:t>
            </w:r>
          </w:p>
        </w:tc>
        <w:tc>
          <w:tcPr>
            <w:tcW w:w="1142" w:type="pct"/>
            <w:noWrap w:val="0"/>
            <w:vAlign w:val="center"/>
          </w:tcPr>
          <w:p>
            <w:pPr>
              <w:jc w:val="center"/>
              <w:rPr>
                <w:rFonts w:eastAsia="宋体"/>
              </w:rPr>
            </w:pPr>
            <w:r>
              <w:t>1. 要求协议约定运营标准（第十九条）；</w:t>
            </w:r>
          </w:p>
          <w:p>
            <w:pPr>
              <w:jc w:val="center"/>
            </w:pPr>
            <w:r>
              <w:t>2. 自主定价需匹配特许方医院等级（第二十二条）。</w:t>
            </w:r>
          </w:p>
        </w:tc>
        <w:tc>
          <w:tcPr>
            <w:tcW w:w="2192" w:type="pct"/>
            <w:noWrap w:val="0"/>
            <w:vAlign w:val="center"/>
          </w:tcPr>
          <w:p>
            <w:pPr>
              <w:jc w:val="center"/>
              <w:rPr>
                <w:rFonts w:eastAsia="宋体"/>
              </w:rPr>
            </w:pPr>
            <w:r>
              <w:t>1. 明确被特许方需接入管理局信息平台并优化数据质量（第十</w:t>
            </w:r>
            <w:r>
              <w:rPr>
                <w:rFonts w:hint="eastAsia" w:eastAsia="宋体"/>
                <w:lang w:val="en-US" w:eastAsia="zh-CN"/>
              </w:rPr>
              <w:t>六</w:t>
            </w:r>
            <w:r>
              <w:t>条第三款）；</w:t>
            </w:r>
          </w:p>
          <w:p>
            <w:pPr>
              <w:jc w:val="center"/>
              <w:rPr>
                <w:rFonts w:eastAsia="宋体"/>
              </w:rPr>
            </w:pPr>
            <w:r>
              <w:t>2. 强调价格制定需结合成本风险因素，且限于合作机构执行（第二十</w:t>
            </w:r>
            <w:r>
              <w:rPr>
                <w:rFonts w:hint="eastAsia" w:eastAsia="宋体"/>
                <w:lang w:val="en-US" w:eastAsia="zh-CN"/>
              </w:rPr>
              <w:t>七</w:t>
            </w:r>
            <w:r>
              <w:t>条）</w:t>
            </w:r>
          </w:p>
        </w:tc>
        <w:tc>
          <w:tcPr>
            <w:tcW w:w="1407" w:type="pct"/>
            <w:noWrap w:val="0"/>
            <w:vAlign w:val="center"/>
          </w:tcPr>
          <w:p>
            <w:pPr>
              <w:jc w:val="center"/>
            </w:pPr>
            <w:r>
              <w:t>落实海南“三医联动一张网”战略，实现诊疗数据互联互通；细化定价原则，防止市场价格体系混乱。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56" w:type="pct"/>
            <w:noWrap w:val="0"/>
            <w:vAlign w:val="center"/>
          </w:tcPr>
          <w:p>
            <w:pPr>
              <w:jc w:val="center"/>
            </w:pPr>
            <w:r>
              <w:rPr>
                <w:b/>
                <w:bCs/>
              </w:rPr>
              <w:t>收益分配模式</w:t>
            </w:r>
          </w:p>
        </w:tc>
        <w:tc>
          <w:tcPr>
            <w:tcW w:w="1142" w:type="pct"/>
            <w:noWrap w:val="0"/>
            <w:vAlign w:val="center"/>
          </w:tcPr>
          <w:p>
            <w:pPr>
              <w:jc w:val="center"/>
            </w:pPr>
            <w:r>
              <w:t>分为品牌费与管理费，收益用于特许方自身建设（第二十五条、第二十八条）</w:t>
            </w:r>
          </w:p>
        </w:tc>
        <w:tc>
          <w:tcPr>
            <w:tcW w:w="2192" w:type="pct"/>
            <w:noWrap w:val="0"/>
            <w:vAlign w:val="center"/>
          </w:tcPr>
          <w:p>
            <w:pPr>
              <w:jc w:val="center"/>
              <w:rPr>
                <w:rFonts w:eastAsia="宋体"/>
              </w:rPr>
            </w:pPr>
            <w:r>
              <w:t>1. 提出六种管理费分配方案（第二十</w:t>
            </w:r>
            <w:r>
              <w:rPr>
                <w:rFonts w:hint="eastAsia" w:eastAsia="宋体"/>
                <w:lang w:val="en-US" w:eastAsia="zh-CN"/>
              </w:rPr>
              <w:t>九</w:t>
            </w:r>
            <w:r>
              <w:t>条）；</w:t>
            </w:r>
          </w:p>
          <w:p>
            <w:pPr>
              <w:jc w:val="center"/>
              <w:rPr>
                <w:rFonts w:hint="eastAsia" w:eastAsia="宋体"/>
              </w:rPr>
            </w:pPr>
            <w:r>
              <w:t>2. 明确收益可定向用于学科建设（第</w:t>
            </w:r>
            <w:r>
              <w:rPr>
                <w:rFonts w:hint="eastAsia" w:eastAsia="宋体"/>
                <w:lang w:val="en-US" w:eastAsia="zh-CN"/>
              </w:rPr>
              <w:t>三十三</w:t>
            </w:r>
            <w:r>
              <w:t>条）；</w:t>
            </w:r>
          </w:p>
        </w:tc>
        <w:tc>
          <w:tcPr>
            <w:tcW w:w="1407" w:type="pct"/>
            <w:noWrap w:val="0"/>
            <w:vAlign w:val="center"/>
          </w:tcPr>
          <w:p>
            <w:pPr>
              <w:jc w:val="center"/>
            </w:pPr>
            <w:r>
              <w:t>通过多元化分配机制调动合作积极性；强化资金使用导向性，促进学科可持续发展；与国家医务人员激励机制衔接。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256" w:type="pct"/>
            <w:noWrap w:val="0"/>
            <w:vAlign w:val="center"/>
          </w:tcPr>
          <w:p>
            <w:pPr>
              <w:jc w:val="center"/>
            </w:pPr>
            <w:r>
              <w:rPr>
                <w:b/>
                <w:bCs/>
              </w:rPr>
              <w:t>新增考核机制</w:t>
            </w:r>
          </w:p>
        </w:tc>
        <w:tc>
          <w:tcPr>
            <w:tcW w:w="1142" w:type="pct"/>
            <w:noWrap w:val="0"/>
            <w:vAlign w:val="center"/>
          </w:tcPr>
          <w:p>
            <w:pPr>
              <w:jc w:val="center"/>
            </w:pPr>
            <w:r>
              <w:t>无</w:t>
            </w:r>
          </w:p>
        </w:tc>
        <w:tc>
          <w:tcPr>
            <w:tcW w:w="2192" w:type="pct"/>
            <w:noWrap w:val="0"/>
            <w:vAlign w:val="center"/>
          </w:tcPr>
          <w:p>
            <w:pPr>
              <w:jc w:val="center"/>
              <w:rPr>
                <w:rFonts w:eastAsia="宋体"/>
              </w:rPr>
            </w:pPr>
            <w:r>
              <w:t>新增第七章“考核和奖励”，明确年度考核与结果应用（第三十</w:t>
            </w:r>
            <w:r>
              <w:rPr>
                <w:rFonts w:hint="eastAsia" w:eastAsia="宋体"/>
                <w:lang w:val="en-US" w:eastAsia="zh-CN"/>
              </w:rPr>
              <w:t>四</w:t>
            </w:r>
            <w:r>
              <w:t>条）</w:t>
            </w:r>
          </w:p>
        </w:tc>
        <w:tc>
          <w:tcPr>
            <w:tcW w:w="1407" w:type="pct"/>
            <w:noWrap w:val="0"/>
            <w:vAlign w:val="center"/>
          </w:tcPr>
          <w:p>
            <w:pPr>
              <w:jc w:val="center"/>
            </w:pPr>
            <w:r>
              <w:t>建立激励约束机制，通过考核引导合作项目聚焦政策目标（如特许药械使用、成果转化），推动质量效益双提升。</w:t>
            </w:r>
          </w:p>
        </w:tc>
      </w:tr>
    </w:tbl>
    <w:p>
      <w:pPr>
        <w:pStyle w:val="3"/>
        <w:spacing w:before="240" w:after="120"/>
        <w:jc w:val="center"/>
        <w:rPr>
          <w:rFonts w:hint="eastAsia" w:ascii="黑体" w:hAnsi="黑体" w:eastAsia="黑体"/>
          <w:color w:val="auto"/>
          <w:sz w:val="44"/>
          <w:szCs w:val="44"/>
        </w:rPr>
      </w:pPr>
      <w:r>
        <w:rPr>
          <w:rFonts w:ascii="黑体" w:hAnsi="黑体" w:eastAsia="黑体"/>
          <w:color w:val="auto"/>
          <w:sz w:val="44"/>
          <w:szCs w:val="44"/>
        </w:rPr>
        <w:t>主要差异对照表</w:t>
      </w:r>
    </w:p>
    <w:p>
      <w:pPr>
        <w:jc w:val="center"/>
      </w:pPr>
      <w:r>
        <w:rPr>
          <w:color w:val="999999"/>
        </w:rPr>
        <w:t>──────────────────────────────────────────────────</w:t>
      </w:r>
    </w:p>
    <w:p>
      <w:pPr>
        <w:pStyle w:val="3"/>
        <w:spacing w:before="240" w:after="120"/>
        <w:rPr>
          <w:rFonts w:hint="eastAsia" w:ascii="黑体" w:hAnsi="黑体" w:eastAsia="黑体"/>
          <w:color w:val="auto"/>
        </w:rPr>
      </w:pPr>
      <w:r>
        <w:rPr>
          <w:rFonts w:ascii="黑体" w:hAnsi="黑体" w:eastAsia="黑体"/>
          <w:color w:val="auto"/>
        </w:rPr>
        <w:t>关键改动</w:t>
      </w:r>
    </w:p>
    <w:p>
      <w:r>
        <w:rPr>
          <w:b/>
          <w:bCs/>
        </w:rPr>
        <w:t>•</w:t>
      </w:r>
      <w:r>
        <w:tab/>
      </w:r>
      <w:r>
        <w:t>合作主体扩大化：管理</w:t>
      </w:r>
      <w:del w:id="16" w:author="uos" w:date="2025-06-24T10:20:09Z">
        <w:r>
          <w:rPr/>
          <w:delText>细则</w:delText>
        </w:r>
      </w:del>
      <w:ins w:id="17" w:author="uos" w:date="2025-06-24T10:20:09Z">
        <w:r>
          <w:rPr>
            <w:rFonts w:hint="eastAsia"/>
            <w:lang w:eastAsia="zh-CN"/>
          </w:rPr>
          <w:t>办法</w:t>
        </w:r>
      </w:ins>
      <w:r>
        <w:t>突破公立医院限制，允许社会办医疗机构、医生集团等多主体参与，契合海南自贸港深化要素市场化改革的战略方向，拓展先行区医疗生态多样性。</w:t>
      </w:r>
    </w:p>
    <w:p>
      <w:r>
        <w:rPr>
          <w:b/>
          <w:bCs/>
        </w:rPr>
        <w:t>•</w:t>
      </w:r>
      <w:r>
        <w:tab/>
      </w:r>
      <w:r>
        <w:t>精细化学科导向：相较于暂行办法重点发展医美康养领域，管理</w:t>
      </w:r>
      <w:del w:id="18" w:author="uos" w:date="2025-06-24T10:20:18Z">
        <w:r>
          <w:rPr/>
          <w:delText>细则</w:delText>
        </w:r>
      </w:del>
      <w:ins w:id="19" w:author="uos" w:date="2025-06-24T10:20:18Z">
        <w:r>
          <w:rPr>
            <w:rFonts w:hint="eastAsia"/>
            <w:lang w:eastAsia="zh-CN"/>
          </w:rPr>
          <w:t>办法</w:t>
        </w:r>
      </w:ins>
      <w:r>
        <w:t>明确18个重点合作专科（如重症医学、儿科），体现对补齐区域专科短板、优化医疗供给侧结构的考量，符合先行区打造“国际医疗旅游目的地”的定位。</w:t>
      </w:r>
    </w:p>
    <w:p>
      <w:r>
        <w:rPr>
          <w:b/>
          <w:bCs/>
        </w:rPr>
        <w:t>•</w:t>
      </w:r>
      <w:r>
        <w:tab/>
      </w:r>
      <w:r>
        <w:t>数据治理强化：新增数据接入及质量要求，旨在依托“三医联动一张网”平台，实现诊疗行为全程可追溯，防范医疗安全风险，同时为特许药械真实世界研究提供数据基础。</w:t>
      </w:r>
    </w:p>
    <w:p>
      <w:r>
        <w:rPr>
          <w:b/>
          <w:bCs/>
        </w:rPr>
        <w:t>•</w:t>
      </w:r>
      <w:r>
        <w:tab/>
      </w:r>
      <w:r>
        <w:t>绩效考核闭环：建立考核评估与专项资金奖励挂钩机制，既落实公立医院“两个允许”政策激励，又通过结果运用倒逼合作质量提升，形成“备案—运营—评估”全周期管理。</w:t>
      </w:r>
    </w:p>
    <w:p>
      <w:pPr>
        <w:jc w:val="center"/>
      </w:pPr>
      <w:r>
        <w:rPr>
          <w:color w:val="999999"/>
        </w:rPr>
        <w:t>──────────────────────────────────────────────────</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pStyle w:val="2"/>
        <w:rPr>
          <w:rFonts w:hint="eastAsia" w:ascii="楷体" w:hAnsi="楷体" w:eastAsia="楷体" w:cs="仿宋"/>
          <w:color w:val="auto"/>
          <w:sz w:val="32"/>
          <w:szCs w:val="32"/>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华文中宋">
    <w:altName w:val="汉仪中宋简"/>
    <w:panose1 w:val="02010600040101010101"/>
    <w:charset w:val="86"/>
    <w:family w:val="auto"/>
    <w:pitch w:val="default"/>
    <w:sig w:usb0="00000000" w:usb1="00000000" w:usb2="00000000" w:usb3="00000000" w:csb0="0004009F" w:csb1="DFD7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590121856"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622935" cy="230505"/>
                      </a:xfrm>
                      <a:prstGeom prst="rect">
                        <a:avLst/>
                      </a:prstGeom>
                      <a:noFill/>
                      <a:ln>
                        <a:noFill/>
                      </a:ln>
                    </wps:spPr>
                    <wps:txbx>
                      <w:txbxContent>
                        <w:p>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false" upright="true">
                      <a:spAutoFit/>
                    </wps:bodyPr>
                  </wps:wsp>
                </a:graphicData>
              </a:graphic>
            </wp:anchor>
          </w:drawing>
        </mc:Choice>
        <mc:Fallback>
          <w:pict>
            <v:shape id="文本框 1"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SDMzFdEAAAADAQAADwAAAAAAAAABACAA&#10;AAA4AAAAZHJzL2Rvd25yZXYueG1sUEsBAhQAFAAAAAgAh07iQL1Xznr+AQAAygMAAA4AAAAAAAAA&#10;AQAgAAAANgEAAGRycy9lMm9Eb2MueG1sUEsFBgAAAAAGAAYAWQEAAKYFAAAAAA==&#10;">
              <v:fill on="f" focussize="0,0"/>
              <v:stroke on="f"/>
              <v:imagedata o:title=""/>
              <o:lock v:ext="edit"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os">
    <w15:presenceInfo w15:providerId="None" w15:userId="u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oNotShadeFormData w:val="true"/>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050E"/>
    <w:rsid w:val="0006243C"/>
    <w:rsid w:val="00063031"/>
    <w:rsid w:val="00090FA6"/>
    <w:rsid w:val="000951D3"/>
    <w:rsid w:val="000D1825"/>
    <w:rsid w:val="000F042C"/>
    <w:rsid w:val="000F73DE"/>
    <w:rsid w:val="001221D0"/>
    <w:rsid w:val="001236D4"/>
    <w:rsid w:val="00161307"/>
    <w:rsid w:val="00172A27"/>
    <w:rsid w:val="001B0994"/>
    <w:rsid w:val="0021587E"/>
    <w:rsid w:val="0023617B"/>
    <w:rsid w:val="002404C4"/>
    <w:rsid w:val="002807FF"/>
    <w:rsid w:val="00297E65"/>
    <w:rsid w:val="002B7993"/>
    <w:rsid w:val="002E63BC"/>
    <w:rsid w:val="002E7FDA"/>
    <w:rsid w:val="003C0510"/>
    <w:rsid w:val="004744CF"/>
    <w:rsid w:val="004A0670"/>
    <w:rsid w:val="004B5152"/>
    <w:rsid w:val="00522C85"/>
    <w:rsid w:val="00554B4D"/>
    <w:rsid w:val="00565DBB"/>
    <w:rsid w:val="00581E4A"/>
    <w:rsid w:val="005F52C1"/>
    <w:rsid w:val="005F717F"/>
    <w:rsid w:val="00605F67"/>
    <w:rsid w:val="00641750"/>
    <w:rsid w:val="00670A7F"/>
    <w:rsid w:val="00677639"/>
    <w:rsid w:val="00704A25"/>
    <w:rsid w:val="007252B2"/>
    <w:rsid w:val="00775FED"/>
    <w:rsid w:val="007A7DC6"/>
    <w:rsid w:val="007F6463"/>
    <w:rsid w:val="00840B4F"/>
    <w:rsid w:val="00841A74"/>
    <w:rsid w:val="00886612"/>
    <w:rsid w:val="00896CDF"/>
    <w:rsid w:val="008C3656"/>
    <w:rsid w:val="008D7FB3"/>
    <w:rsid w:val="00971E42"/>
    <w:rsid w:val="009B307D"/>
    <w:rsid w:val="009B7433"/>
    <w:rsid w:val="009F3CDD"/>
    <w:rsid w:val="00A46D63"/>
    <w:rsid w:val="00A5004B"/>
    <w:rsid w:val="00A86923"/>
    <w:rsid w:val="00A86BDA"/>
    <w:rsid w:val="00A9215F"/>
    <w:rsid w:val="00AB6D80"/>
    <w:rsid w:val="00AE0EB7"/>
    <w:rsid w:val="00AE7224"/>
    <w:rsid w:val="00AE7FAA"/>
    <w:rsid w:val="00AF5EFF"/>
    <w:rsid w:val="00B05AB5"/>
    <w:rsid w:val="00B37D10"/>
    <w:rsid w:val="00BA3290"/>
    <w:rsid w:val="00C30D5D"/>
    <w:rsid w:val="00C84C01"/>
    <w:rsid w:val="00C914FB"/>
    <w:rsid w:val="00C97B8A"/>
    <w:rsid w:val="00CA27DB"/>
    <w:rsid w:val="00CC1FD4"/>
    <w:rsid w:val="00CD45A4"/>
    <w:rsid w:val="00D165C3"/>
    <w:rsid w:val="00D26291"/>
    <w:rsid w:val="00D84483"/>
    <w:rsid w:val="00DB761D"/>
    <w:rsid w:val="00DE776C"/>
    <w:rsid w:val="00E139AD"/>
    <w:rsid w:val="00E419FE"/>
    <w:rsid w:val="00E4587B"/>
    <w:rsid w:val="00E556F3"/>
    <w:rsid w:val="00ED3A12"/>
    <w:rsid w:val="00EE47F0"/>
    <w:rsid w:val="00F205FC"/>
    <w:rsid w:val="00F95403"/>
    <w:rsid w:val="00F95998"/>
    <w:rsid w:val="00FA01C9"/>
    <w:rsid w:val="00FE57F5"/>
    <w:rsid w:val="00FF2784"/>
    <w:rsid w:val="011C3821"/>
    <w:rsid w:val="025E0EFF"/>
    <w:rsid w:val="032DD23F"/>
    <w:rsid w:val="03575F0B"/>
    <w:rsid w:val="03B4C634"/>
    <w:rsid w:val="03EF48E6"/>
    <w:rsid w:val="0403023C"/>
    <w:rsid w:val="040A4AA1"/>
    <w:rsid w:val="041F0D63"/>
    <w:rsid w:val="046E4C44"/>
    <w:rsid w:val="0579EE5D"/>
    <w:rsid w:val="05BA6189"/>
    <w:rsid w:val="06A3BDE5"/>
    <w:rsid w:val="074157D2"/>
    <w:rsid w:val="081208DC"/>
    <w:rsid w:val="08177842"/>
    <w:rsid w:val="0998751D"/>
    <w:rsid w:val="09CA261C"/>
    <w:rsid w:val="0A995DEB"/>
    <w:rsid w:val="0A9A7472"/>
    <w:rsid w:val="0AA0FEE6"/>
    <w:rsid w:val="0B4CD98C"/>
    <w:rsid w:val="0B72F268"/>
    <w:rsid w:val="0BA77A03"/>
    <w:rsid w:val="0BF446C0"/>
    <w:rsid w:val="0C4F9D66"/>
    <w:rsid w:val="0C837106"/>
    <w:rsid w:val="0CD40DAC"/>
    <w:rsid w:val="0DB60049"/>
    <w:rsid w:val="0E19D949"/>
    <w:rsid w:val="0E421527"/>
    <w:rsid w:val="0EEDFCCF"/>
    <w:rsid w:val="0F4355A2"/>
    <w:rsid w:val="10B83EE4"/>
    <w:rsid w:val="11A105DC"/>
    <w:rsid w:val="11F7F7F8"/>
    <w:rsid w:val="11FB1E09"/>
    <w:rsid w:val="12C5BA37"/>
    <w:rsid w:val="12FE76EB"/>
    <w:rsid w:val="133140E2"/>
    <w:rsid w:val="144F7492"/>
    <w:rsid w:val="14A4D374"/>
    <w:rsid w:val="168D108C"/>
    <w:rsid w:val="16DF9E62"/>
    <w:rsid w:val="16E66CA8"/>
    <w:rsid w:val="17660871"/>
    <w:rsid w:val="176CB2BB"/>
    <w:rsid w:val="178543B2"/>
    <w:rsid w:val="17BF2702"/>
    <w:rsid w:val="1825592A"/>
    <w:rsid w:val="18A640CA"/>
    <w:rsid w:val="19644EE1"/>
    <w:rsid w:val="19E52F24"/>
    <w:rsid w:val="1AA35CD7"/>
    <w:rsid w:val="1AD52AE7"/>
    <w:rsid w:val="1B66183D"/>
    <w:rsid w:val="1C35365D"/>
    <w:rsid w:val="1C4B58A9"/>
    <w:rsid w:val="1D57916D"/>
    <w:rsid w:val="1D6A3701"/>
    <w:rsid w:val="1E20F604"/>
    <w:rsid w:val="1E63127C"/>
    <w:rsid w:val="1EC03D47"/>
    <w:rsid w:val="1F22AB3C"/>
    <w:rsid w:val="1FFF83DE"/>
    <w:rsid w:val="200FE972"/>
    <w:rsid w:val="20834165"/>
    <w:rsid w:val="21309DAE"/>
    <w:rsid w:val="217E5512"/>
    <w:rsid w:val="21870F12"/>
    <w:rsid w:val="218D0B38"/>
    <w:rsid w:val="21AB1B9F"/>
    <w:rsid w:val="222017D5"/>
    <w:rsid w:val="22E6394F"/>
    <w:rsid w:val="231F79E7"/>
    <w:rsid w:val="23484912"/>
    <w:rsid w:val="234F7AFB"/>
    <w:rsid w:val="23AB3753"/>
    <w:rsid w:val="25188C3F"/>
    <w:rsid w:val="25B09A2F"/>
    <w:rsid w:val="25D7777B"/>
    <w:rsid w:val="272849CC"/>
    <w:rsid w:val="27BE1755"/>
    <w:rsid w:val="27D6573C"/>
    <w:rsid w:val="27FA04A4"/>
    <w:rsid w:val="283F090E"/>
    <w:rsid w:val="29ACA389"/>
    <w:rsid w:val="2A60FD09"/>
    <w:rsid w:val="2B0DAD4C"/>
    <w:rsid w:val="2B26A092"/>
    <w:rsid w:val="2B370C76"/>
    <w:rsid w:val="2B93F7DA"/>
    <w:rsid w:val="2BA875C0"/>
    <w:rsid w:val="2C0F87F6"/>
    <w:rsid w:val="2C194D6A"/>
    <w:rsid w:val="2C8D558C"/>
    <w:rsid w:val="2D092C78"/>
    <w:rsid w:val="2DB43204"/>
    <w:rsid w:val="2DE94E1D"/>
    <w:rsid w:val="2DEF5F60"/>
    <w:rsid w:val="2DF5DE95"/>
    <w:rsid w:val="2EA9CFD4"/>
    <w:rsid w:val="2EE20C63"/>
    <w:rsid w:val="2F3FCF63"/>
    <w:rsid w:val="2FE778C1"/>
    <w:rsid w:val="2FF94282"/>
    <w:rsid w:val="30AF45B7"/>
    <w:rsid w:val="314B0464"/>
    <w:rsid w:val="31B1CF10"/>
    <w:rsid w:val="331974B1"/>
    <w:rsid w:val="333D7F52"/>
    <w:rsid w:val="3394778E"/>
    <w:rsid w:val="33C40426"/>
    <w:rsid w:val="33C9C59D"/>
    <w:rsid w:val="33F50512"/>
    <w:rsid w:val="36690362"/>
    <w:rsid w:val="369094D7"/>
    <w:rsid w:val="36E0E7BA"/>
    <w:rsid w:val="377759CE"/>
    <w:rsid w:val="37C05532"/>
    <w:rsid w:val="380B7600"/>
    <w:rsid w:val="38BED801"/>
    <w:rsid w:val="3957152F"/>
    <w:rsid w:val="3BD86C58"/>
    <w:rsid w:val="3BEBB386"/>
    <w:rsid w:val="3C3CEA10"/>
    <w:rsid w:val="3C487974"/>
    <w:rsid w:val="3C4D60EE"/>
    <w:rsid w:val="3CCF6B9E"/>
    <w:rsid w:val="3DCC57B6"/>
    <w:rsid w:val="3DE970C2"/>
    <w:rsid w:val="3E92826C"/>
    <w:rsid w:val="3ED79D45"/>
    <w:rsid w:val="3F01DFFB"/>
    <w:rsid w:val="40457066"/>
    <w:rsid w:val="40867DCA"/>
    <w:rsid w:val="40DA73F3"/>
    <w:rsid w:val="411E066E"/>
    <w:rsid w:val="41C664D6"/>
    <w:rsid w:val="41CB8D10"/>
    <w:rsid w:val="421BABB3"/>
    <w:rsid w:val="42BFADD7"/>
    <w:rsid w:val="435BB927"/>
    <w:rsid w:val="43B2B1DE"/>
    <w:rsid w:val="43D6E49F"/>
    <w:rsid w:val="44B24D59"/>
    <w:rsid w:val="4522B893"/>
    <w:rsid w:val="455560D5"/>
    <w:rsid w:val="479E8080"/>
    <w:rsid w:val="47A092B1"/>
    <w:rsid w:val="4832CBCA"/>
    <w:rsid w:val="48664988"/>
    <w:rsid w:val="4AB3F386"/>
    <w:rsid w:val="4B65262A"/>
    <w:rsid w:val="4BCE4100"/>
    <w:rsid w:val="4C3DC3D5"/>
    <w:rsid w:val="4C421435"/>
    <w:rsid w:val="4C94F768"/>
    <w:rsid w:val="4CAD5EDA"/>
    <w:rsid w:val="4D17C6CA"/>
    <w:rsid w:val="4D210E70"/>
    <w:rsid w:val="4D2D232C"/>
    <w:rsid w:val="4DF92EBF"/>
    <w:rsid w:val="4E2D8819"/>
    <w:rsid w:val="4EE31744"/>
    <w:rsid w:val="4F2D4F3F"/>
    <w:rsid w:val="4FB0E794"/>
    <w:rsid w:val="4FEB64E4"/>
    <w:rsid w:val="509332EF"/>
    <w:rsid w:val="50D2B8BA"/>
    <w:rsid w:val="50E9DFAC"/>
    <w:rsid w:val="5170205D"/>
    <w:rsid w:val="51830D7E"/>
    <w:rsid w:val="5185FB15"/>
    <w:rsid w:val="51B6F3B2"/>
    <w:rsid w:val="51C08944"/>
    <w:rsid w:val="51E16FBC"/>
    <w:rsid w:val="51FED7AB"/>
    <w:rsid w:val="53C6611A"/>
    <w:rsid w:val="549BC97D"/>
    <w:rsid w:val="54E0475B"/>
    <w:rsid w:val="55F47291"/>
    <w:rsid w:val="57B65145"/>
    <w:rsid w:val="584B64EC"/>
    <w:rsid w:val="59545ADB"/>
    <w:rsid w:val="5958628E"/>
    <w:rsid w:val="59AA38A9"/>
    <w:rsid w:val="59C6F8AC"/>
    <w:rsid w:val="5AAA7439"/>
    <w:rsid w:val="5AB084DB"/>
    <w:rsid w:val="5ACDA8DD"/>
    <w:rsid w:val="5C767E2E"/>
    <w:rsid w:val="5D003399"/>
    <w:rsid w:val="5D031BB9"/>
    <w:rsid w:val="5D0EB626"/>
    <w:rsid w:val="5D4929D8"/>
    <w:rsid w:val="5D636127"/>
    <w:rsid w:val="5D6CACA8"/>
    <w:rsid w:val="5D7996AC"/>
    <w:rsid w:val="5DF103DE"/>
    <w:rsid w:val="5EB84C66"/>
    <w:rsid w:val="5EF83247"/>
    <w:rsid w:val="5EFA7CCD"/>
    <w:rsid w:val="5F28498F"/>
    <w:rsid w:val="5F6F2719"/>
    <w:rsid w:val="5F9C4E05"/>
    <w:rsid w:val="5FFBCDA1"/>
    <w:rsid w:val="601A6ED9"/>
    <w:rsid w:val="60A7D8D2"/>
    <w:rsid w:val="60B371C8"/>
    <w:rsid w:val="60B707B9"/>
    <w:rsid w:val="60E1226B"/>
    <w:rsid w:val="61552910"/>
    <w:rsid w:val="617D3679"/>
    <w:rsid w:val="621D032F"/>
    <w:rsid w:val="62563E27"/>
    <w:rsid w:val="628D11A7"/>
    <w:rsid w:val="62BF6ED0"/>
    <w:rsid w:val="630C32A1"/>
    <w:rsid w:val="63E07542"/>
    <w:rsid w:val="64400050"/>
    <w:rsid w:val="6443C130"/>
    <w:rsid w:val="64FB4D40"/>
    <w:rsid w:val="64FE48DB"/>
    <w:rsid w:val="651EA32C"/>
    <w:rsid w:val="65D2A1F5"/>
    <w:rsid w:val="664B10E0"/>
    <w:rsid w:val="67184FB0"/>
    <w:rsid w:val="67AC329F"/>
    <w:rsid w:val="685C3152"/>
    <w:rsid w:val="68F36672"/>
    <w:rsid w:val="68FE478D"/>
    <w:rsid w:val="6AFC1413"/>
    <w:rsid w:val="6D303AD5"/>
    <w:rsid w:val="6D3A2003"/>
    <w:rsid w:val="6DF03023"/>
    <w:rsid w:val="6DFD3696"/>
    <w:rsid w:val="6ECA7B7C"/>
    <w:rsid w:val="6F2C1224"/>
    <w:rsid w:val="6F486FA3"/>
    <w:rsid w:val="6F85610D"/>
    <w:rsid w:val="6FBAA921"/>
    <w:rsid w:val="6FBE71DD"/>
    <w:rsid w:val="6FEDD363"/>
    <w:rsid w:val="71A4E03D"/>
    <w:rsid w:val="71E91BE6"/>
    <w:rsid w:val="728A8995"/>
    <w:rsid w:val="72957308"/>
    <w:rsid w:val="72C27548"/>
    <w:rsid w:val="72F4EDB8"/>
    <w:rsid w:val="743C7080"/>
    <w:rsid w:val="74869782"/>
    <w:rsid w:val="74A878F0"/>
    <w:rsid w:val="74BD8F0E"/>
    <w:rsid w:val="755A6594"/>
    <w:rsid w:val="763C7268"/>
    <w:rsid w:val="766EBD7C"/>
    <w:rsid w:val="7747F579"/>
    <w:rsid w:val="77C374E0"/>
    <w:rsid w:val="78040A81"/>
    <w:rsid w:val="781E59A9"/>
    <w:rsid w:val="78CE94B2"/>
    <w:rsid w:val="78ED2157"/>
    <w:rsid w:val="791F7611"/>
    <w:rsid w:val="79707849"/>
    <w:rsid w:val="79BD72AC"/>
    <w:rsid w:val="7A3D8976"/>
    <w:rsid w:val="7A57AAE7"/>
    <w:rsid w:val="7A9674E6"/>
    <w:rsid w:val="7BF859D9"/>
    <w:rsid w:val="7CBA66CB"/>
    <w:rsid w:val="7CEACD40"/>
    <w:rsid w:val="7D5176F5"/>
    <w:rsid w:val="7D9EC099"/>
    <w:rsid w:val="7DB16C34"/>
    <w:rsid w:val="7E410432"/>
    <w:rsid w:val="7EBD2E55"/>
    <w:rsid w:val="7EC43229"/>
    <w:rsid w:val="7FB71835"/>
    <w:rsid w:val="7FCF2C5A"/>
    <w:rsid w:val="7FFFA728"/>
    <w:rsid w:val="80E29478"/>
    <w:rsid w:val="814A3540"/>
    <w:rsid w:val="816E3CE9"/>
    <w:rsid w:val="8194E13B"/>
    <w:rsid w:val="81CCC97A"/>
    <w:rsid w:val="82522FF0"/>
    <w:rsid w:val="828352EF"/>
    <w:rsid w:val="83720B47"/>
    <w:rsid w:val="83D1893D"/>
    <w:rsid w:val="83DFD307"/>
    <w:rsid w:val="8431A94B"/>
    <w:rsid w:val="84A5D1F6"/>
    <w:rsid w:val="862DCDB9"/>
    <w:rsid w:val="874B77CD"/>
    <w:rsid w:val="887A5444"/>
    <w:rsid w:val="88D48A52"/>
    <w:rsid w:val="89801279"/>
    <w:rsid w:val="8A1D4153"/>
    <w:rsid w:val="8A459874"/>
    <w:rsid w:val="8A464F6C"/>
    <w:rsid w:val="8B41187A"/>
    <w:rsid w:val="8C41CA4D"/>
    <w:rsid w:val="8C6506B2"/>
    <w:rsid w:val="8D96B05D"/>
    <w:rsid w:val="8E84E483"/>
    <w:rsid w:val="8EE03F7F"/>
    <w:rsid w:val="908E5C42"/>
    <w:rsid w:val="9152CCD8"/>
    <w:rsid w:val="926F162A"/>
    <w:rsid w:val="9394D3A5"/>
    <w:rsid w:val="93D6F072"/>
    <w:rsid w:val="95DDC0C2"/>
    <w:rsid w:val="97019827"/>
    <w:rsid w:val="97BE1378"/>
    <w:rsid w:val="983AA954"/>
    <w:rsid w:val="99198A60"/>
    <w:rsid w:val="99E11F4B"/>
    <w:rsid w:val="9B0A4F41"/>
    <w:rsid w:val="9CD33F9D"/>
    <w:rsid w:val="9E7D0C54"/>
    <w:rsid w:val="9E83480C"/>
    <w:rsid w:val="9F09FCFC"/>
    <w:rsid w:val="9F394D29"/>
    <w:rsid w:val="9FF54259"/>
    <w:rsid w:val="A0CD36DD"/>
    <w:rsid w:val="A1F60C17"/>
    <w:rsid w:val="A323FF84"/>
    <w:rsid w:val="A363FF7D"/>
    <w:rsid w:val="A3AA6E25"/>
    <w:rsid w:val="A3E2AF31"/>
    <w:rsid w:val="A59FB8FE"/>
    <w:rsid w:val="A5A011E5"/>
    <w:rsid w:val="A6131513"/>
    <w:rsid w:val="A6AC6DBD"/>
    <w:rsid w:val="A7E73CAC"/>
    <w:rsid w:val="A7FFDD3B"/>
    <w:rsid w:val="AB186DD6"/>
    <w:rsid w:val="AB8586CE"/>
    <w:rsid w:val="AD973B8B"/>
    <w:rsid w:val="AF9AFF5F"/>
    <w:rsid w:val="B0E80CC2"/>
    <w:rsid w:val="B0F249CB"/>
    <w:rsid w:val="B26C037D"/>
    <w:rsid w:val="B2E123D7"/>
    <w:rsid w:val="B3AD87C7"/>
    <w:rsid w:val="B461DDD6"/>
    <w:rsid w:val="B519919D"/>
    <w:rsid w:val="B54771E4"/>
    <w:rsid w:val="B642D4F9"/>
    <w:rsid w:val="B6783CB4"/>
    <w:rsid w:val="B71C5570"/>
    <w:rsid w:val="B7FAF3F9"/>
    <w:rsid w:val="B8ACEF11"/>
    <w:rsid w:val="B981871D"/>
    <w:rsid w:val="BA7B23C6"/>
    <w:rsid w:val="BA8FC08E"/>
    <w:rsid w:val="BB5042B6"/>
    <w:rsid w:val="BB517F94"/>
    <w:rsid w:val="BB76C6EA"/>
    <w:rsid w:val="BBFCBA7F"/>
    <w:rsid w:val="BD298D2F"/>
    <w:rsid w:val="BD436C32"/>
    <w:rsid w:val="BD7FC425"/>
    <w:rsid w:val="BF9C7CEA"/>
    <w:rsid w:val="C06474FB"/>
    <w:rsid w:val="C0650AAC"/>
    <w:rsid w:val="C289BAC9"/>
    <w:rsid w:val="C326B3CA"/>
    <w:rsid w:val="C37C38C9"/>
    <w:rsid w:val="C41A6C4F"/>
    <w:rsid w:val="C56A64F2"/>
    <w:rsid w:val="C5D2B620"/>
    <w:rsid w:val="C79FDC13"/>
    <w:rsid w:val="C7DA9F96"/>
    <w:rsid w:val="C88D4F7F"/>
    <w:rsid w:val="CAA607BD"/>
    <w:rsid w:val="CAE695F4"/>
    <w:rsid w:val="CB63D328"/>
    <w:rsid w:val="CC239D6A"/>
    <w:rsid w:val="CC61B0C3"/>
    <w:rsid w:val="CCC6C7B9"/>
    <w:rsid w:val="CCE03561"/>
    <w:rsid w:val="CD7F1965"/>
    <w:rsid w:val="CD8BD5C6"/>
    <w:rsid w:val="CE9F3225"/>
    <w:rsid w:val="CEEE8DBD"/>
    <w:rsid w:val="CFC4463A"/>
    <w:rsid w:val="D18F7354"/>
    <w:rsid w:val="D2071306"/>
    <w:rsid w:val="D489D87C"/>
    <w:rsid w:val="D743C03A"/>
    <w:rsid w:val="D7909093"/>
    <w:rsid w:val="D8CFB92B"/>
    <w:rsid w:val="D982C64E"/>
    <w:rsid w:val="D9A840FC"/>
    <w:rsid w:val="DA4B5D0A"/>
    <w:rsid w:val="DE2040A0"/>
    <w:rsid w:val="DE61CB3C"/>
    <w:rsid w:val="DEC6F41C"/>
    <w:rsid w:val="DFA43F58"/>
    <w:rsid w:val="E27A7023"/>
    <w:rsid w:val="E31AC1CC"/>
    <w:rsid w:val="E43325F5"/>
    <w:rsid w:val="E4A7A5D0"/>
    <w:rsid w:val="E4B989D5"/>
    <w:rsid w:val="E5D7F3A3"/>
    <w:rsid w:val="E64BB2E9"/>
    <w:rsid w:val="E86E1D09"/>
    <w:rsid w:val="EAC870E6"/>
    <w:rsid w:val="EC0B096B"/>
    <w:rsid w:val="EC588663"/>
    <w:rsid w:val="ECE771F3"/>
    <w:rsid w:val="EEB24D7E"/>
    <w:rsid w:val="EF6AAC37"/>
    <w:rsid w:val="F0CA7AE6"/>
    <w:rsid w:val="F1C9E608"/>
    <w:rsid w:val="F2202865"/>
    <w:rsid w:val="F25B6DD2"/>
    <w:rsid w:val="F2AB93B9"/>
    <w:rsid w:val="F2CF36AC"/>
    <w:rsid w:val="F39FCAC4"/>
    <w:rsid w:val="F3A19A9C"/>
    <w:rsid w:val="F3EB76CF"/>
    <w:rsid w:val="F47E4650"/>
    <w:rsid w:val="F4994FC2"/>
    <w:rsid w:val="F56EB534"/>
    <w:rsid w:val="F6397384"/>
    <w:rsid w:val="F8DF40E0"/>
    <w:rsid w:val="FA63DFC5"/>
    <w:rsid w:val="FB0DC1F7"/>
    <w:rsid w:val="FBA63835"/>
    <w:rsid w:val="FBD7DC01"/>
    <w:rsid w:val="FBE10F5F"/>
    <w:rsid w:val="FD4CD826"/>
    <w:rsid w:val="FD55B3C2"/>
    <w:rsid w:val="FDAB743F"/>
    <w:rsid w:val="FE63E36B"/>
    <w:rsid w:val="FEC00750"/>
    <w:rsid w:val="FFD86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9"/>
    <w:pPr>
      <w:outlineLvl w:val="2"/>
    </w:pPr>
    <w:rPr>
      <w:color w:val="1F4D78"/>
    </w:rPr>
  </w:style>
  <w:style w:type="paragraph" w:styleId="4">
    <w:name w:val="heading 4"/>
    <w:basedOn w:val="1"/>
    <w:next w:val="1"/>
    <w:qFormat/>
    <w:uiPriority w:val="0"/>
    <w:pPr>
      <w:spacing w:beforeAutospacing="1" w:afterAutospacing="1"/>
      <w:jc w:val="left"/>
      <w:outlineLvl w:val="3"/>
    </w:pPr>
    <w:rPr>
      <w:rFonts w:ascii="宋体" w:cs="宋体"/>
      <w:b/>
      <w:bCs/>
      <w:kern w:val="0"/>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等线" w:hAnsi="等线" w:eastAsia="等线"/>
    </w:rPr>
  </w:style>
  <w:style w:type="paragraph" w:styleId="5">
    <w:name w:val="annotation text"/>
    <w:basedOn w:val="1"/>
    <w:link w:val="15"/>
    <w:qFormat/>
    <w:uiPriority w:val="0"/>
    <w:pPr>
      <w:jc w:val="left"/>
    </w:pPr>
  </w:style>
  <w:style w:type="paragraph" w:styleId="6">
    <w:name w:val="Body Text"/>
    <w:basedOn w:val="1"/>
    <w:qFormat/>
    <w:uiPriority w:val="0"/>
    <w:pPr>
      <w:spacing w:line="360" w:lineRule="auto"/>
    </w:pPr>
    <w:rPr>
      <w:rFonts w:eastAsia="华文中宋"/>
      <w:sz w:val="36"/>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paragraph" w:styleId="10">
    <w:name w:val="annotation subject"/>
    <w:basedOn w:val="5"/>
    <w:next w:val="5"/>
    <w:link w:val="16"/>
    <w:qFormat/>
    <w:uiPriority w:val="0"/>
    <w:rPr>
      <w:b/>
      <w:bCs/>
    </w:rPr>
  </w:style>
  <w:style w:type="character" w:styleId="13">
    <w:name w:val="page number"/>
    <w:qFormat/>
    <w:uiPriority w:val="0"/>
    <w:rPr>
      <w:rFonts w:ascii="Calibri" w:hAnsi="Calibri" w:eastAsia="宋体" w:cs="Times New Roman"/>
    </w:rPr>
  </w:style>
  <w:style w:type="character" w:styleId="14">
    <w:name w:val="annotation reference"/>
    <w:qFormat/>
    <w:uiPriority w:val="0"/>
    <w:rPr>
      <w:rFonts w:ascii="Calibri" w:hAnsi="Calibri" w:eastAsia="宋体" w:cs="Times New Roman"/>
      <w:sz w:val="21"/>
      <w:szCs w:val="21"/>
    </w:rPr>
  </w:style>
  <w:style w:type="character" w:customStyle="1" w:styleId="15">
    <w:name w:val="批注文字 字符"/>
    <w:link w:val="5"/>
    <w:qFormat/>
    <w:uiPriority w:val="0"/>
    <w:rPr>
      <w:rFonts w:ascii="Calibri" w:hAnsi="Calibri" w:eastAsia="宋体" w:cs="Times New Roman"/>
      <w:kern w:val="2"/>
      <w:sz w:val="21"/>
      <w:szCs w:val="24"/>
    </w:rPr>
  </w:style>
  <w:style w:type="character" w:customStyle="1" w:styleId="16">
    <w:name w:val="批注主题 字符"/>
    <w:link w:val="10"/>
    <w:qFormat/>
    <w:uiPriority w:val="0"/>
    <w:rPr>
      <w:rFonts w:ascii="Calibri" w:hAnsi="Calibri" w:eastAsia="宋体" w:cs="Times New Roman"/>
      <w:b/>
      <w:bCs/>
      <w:kern w:val="2"/>
      <w:sz w:val="21"/>
      <w:szCs w:val="24"/>
    </w:rPr>
  </w:style>
  <w:style w:type="paragraph" w:customStyle="1" w:styleId="17">
    <w:name w:val="Default"/>
    <w:qFormat/>
    <w:uiPriority w:val="0"/>
    <w:pPr>
      <w:widowControl w:val="0"/>
      <w:autoSpaceDE w:val="0"/>
      <w:autoSpaceDN w:val="0"/>
      <w:adjustRightInd w:val="0"/>
    </w:pPr>
    <w:rPr>
      <w:rFonts w:ascii="黑体" w:hAnsi="Times New Roman" w:eastAsia="仿宋_GB2312" w:cs="Times New Roman"/>
      <w:color w:val="000000"/>
      <w:sz w:val="24"/>
      <w:szCs w:val="22"/>
      <w:lang w:val="en-US" w:eastAsia="zh-CN" w:bidi="ar-SA"/>
    </w:rPr>
  </w:style>
  <w:style w:type="paragraph" w:customStyle="1" w:styleId="18">
    <w:name w:val="可表头"/>
    <w:basedOn w:val="1"/>
    <w:qFormat/>
    <w:uiPriority w:val="0"/>
    <w:pPr>
      <w:adjustRightInd w:val="0"/>
      <w:spacing w:line="360" w:lineRule="auto"/>
      <w:jc w:val="center"/>
    </w:pPr>
    <w:rPr>
      <w:b/>
      <w:bCs/>
      <w:sz w:val="24"/>
      <w:lang w:val="zh-CN"/>
    </w:rPr>
  </w:style>
  <w:style w:type="paragraph" w:customStyle="1" w:styleId="19">
    <w:name w:val="Revision"/>
    <w:qFormat/>
    <w:uiPriority w:val="0"/>
    <w:rPr>
      <w:rFonts w:ascii="Calibri" w:hAnsi="Calibri" w:eastAsia="宋体" w:cs="Times New Roman"/>
      <w:kern w:val="2"/>
      <w:sz w:val="21"/>
      <w:szCs w:val="24"/>
      <w:lang w:val="en-US" w:eastAsia="zh-CN" w:bidi="ar-SA"/>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5375</Words>
  <Characters>5393</Characters>
  <Lines>42</Lines>
  <Paragraphs>11</Paragraphs>
  <TotalTime>1</TotalTime>
  <ScaleCrop>false</ScaleCrop>
  <LinksUpToDate>false</LinksUpToDate>
  <CharactersWithSpaces>5484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2025-04-10T18:15:00Z</dcterms:created>
  <dc:creator>岑丽敏</dc:creator>
  <cp:lastModifiedBy>uos</cp:lastModifiedBy>
  <cp:lastPrinted>2025-04-10T19:10:00Z</cp:lastPrinted>
  <dcterms:modified xsi:type="dcterms:W3CDTF">2025-06-24T10:20:38Z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1C71468389B14E45BCE2CFBACDD839BB_13</vt:lpwstr>
  </property>
  <property fmtid="{D5CDD505-2E9C-101B-9397-08002B2CF9AE}" pid="4" name="KSOTemplateDocerSaveRecord">
    <vt:lpwstr>eyJoZGlkIjoiZjE0Yjk4OTFjMTBhMzI3NWNmMWJiY2ZlNjFiZTVlZWQiLCJ1c2VySWQiOiI1MzUwOTY1MTkifQ==</vt:lpwstr>
  </property>
</Properties>
</file>