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DAE9">
      <w:pPr>
        <w:spacing w:line="480" w:lineRule="auto"/>
        <w:jc w:val="center"/>
        <w:rPr>
          <w:rFonts w:ascii="仿宋" w:hAnsi="仿宋" w:eastAsia="仿宋"/>
          <w:b/>
          <w:sz w:val="32"/>
          <w:szCs w:val="32"/>
        </w:rPr>
      </w:pPr>
    </w:p>
    <w:p w14:paraId="5A2E0519">
      <w:pPr>
        <w:spacing w:line="480" w:lineRule="auto"/>
        <w:jc w:val="center"/>
        <w:rPr>
          <w:rFonts w:hint="eastAsia" w:ascii="方正小标宋简体" w:eastAsia="方正小标宋简体"/>
          <w:b/>
          <w:sz w:val="52"/>
          <w:szCs w:val="52"/>
        </w:rPr>
      </w:pPr>
    </w:p>
    <w:p w14:paraId="31337490">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8EEDC71">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26B7BFC">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海南省地方标准</w:t>
      </w:r>
    </w:p>
    <w:p w14:paraId="7C276058">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w:t>
      </w:r>
      <w:r>
        <w:rPr>
          <w:rFonts w:hint="eastAsia" w:ascii="方正小标宋简体" w:hAnsi="方正小标宋简体" w:eastAsia="方正小标宋简体" w:cs="方正小标宋简体"/>
          <w:spacing w:val="-2"/>
          <w:sz w:val="52"/>
          <w:szCs w:val="52"/>
          <w:lang w:val="en-US" w:eastAsia="zh-CN"/>
        </w:rPr>
        <w:t>黎医疗法操作规范  蜂疗法</w:t>
      </w:r>
      <w:r>
        <w:rPr>
          <w:rFonts w:hint="eastAsia" w:ascii="方正小标宋简体" w:hAnsi="方正小标宋简体" w:eastAsia="方正小标宋简体" w:cs="方正小标宋简体"/>
          <w:spacing w:val="-2"/>
          <w:sz w:val="52"/>
          <w:szCs w:val="52"/>
        </w:rPr>
        <w:t>》</w:t>
      </w:r>
    </w:p>
    <w:p w14:paraId="2508F89D">
      <w:pPr>
        <w:spacing w:before="55" w:line="239" w:lineRule="auto"/>
        <w:ind w:left="3715" w:right="659" w:hanging="3079"/>
        <w:jc w:val="center"/>
        <w:rPr>
          <w:rFonts w:hint="eastAsia" w:ascii="方正公文小标宋" w:hAnsi="方正公文小标宋" w:eastAsia="方正公文小标宋" w:cs="方正公文小标宋"/>
          <w:spacing w:val="-2"/>
          <w:sz w:val="44"/>
          <w:szCs w:val="44"/>
        </w:rPr>
      </w:pPr>
      <w:r>
        <w:rPr>
          <w:rFonts w:hint="eastAsia" w:ascii="方正小标宋简体" w:hAnsi="方正小标宋简体" w:eastAsia="方正小标宋简体" w:cs="方正小标宋简体"/>
          <w:spacing w:val="-2"/>
          <w:sz w:val="52"/>
          <w:szCs w:val="52"/>
        </w:rPr>
        <w:t>编制说明</w:t>
      </w:r>
    </w:p>
    <w:p w14:paraId="4639CBF1">
      <w:pPr>
        <w:spacing w:line="480" w:lineRule="auto"/>
        <w:jc w:val="center"/>
        <w:rPr>
          <w:rFonts w:ascii="仿宋" w:hAnsi="仿宋" w:eastAsia="仿宋"/>
          <w:b/>
          <w:sz w:val="32"/>
          <w:szCs w:val="32"/>
        </w:rPr>
      </w:pPr>
    </w:p>
    <w:p w14:paraId="38B33E9D">
      <w:pPr>
        <w:spacing w:line="480" w:lineRule="auto"/>
        <w:jc w:val="center"/>
        <w:rPr>
          <w:rFonts w:ascii="仿宋" w:hAnsi="仿宋" w:eastAsia="仿宋"/>
          <w:b/>
          <w:sz w:val="32"/>
          <w:szCs w:val="32"/>
        </w:rPr>
      </w:pPr>
    </w:p>
    <w:p w14:paraId="7F524A1E">
      <w:pPr>
        <w:spacing w:line="480" w:lineRule="auto"/>
        <w:jc w:val="center"/>
        <w:rPr>
          <w:rFonts w:ascii="仿宋" w:hAnsi="仿宋" w:eastAsia="仿宋"/>
          <w:b/>
          <w:sz w:val="32"/>
          <w:szCs w:val="32"/>
        </w:rPr>
      </w:pPr>
    </w:p>
    <w:p w14:paraId="6CC9F858">
      <w:pPr>
        <w:spacing w:line="480" w:lineRule="auto"/>
        <w:jc w:val="center"/>
        <w:rPr>
          <w:rFonts w:ascii="仿宋" w:hAnsi="仿宋" w:eastAsia="仿宋"/>
          <w:b/>
          <w:sz w:val="32"/>
          <w:szCs w:val="32"/>
        </w:rPr>
      </w:pPr>
    </w:p>
    <w:p w14:paraId="551BD8B9">
      <w:pPr>
        <w:spacing w:line="480" w:lineRule="auto"/>
        <w:jc w:val="center"/>
        <w:rPr>
          <w:rFonts w:hint="eastAsia" w:ascii="仿宋" w:hAnsi="仿宋" w:eastAsia="仿宋"/>
          <w:b/>
          <w:sz w:val="32"/>
          <w:szCs w:val="32"/>
        </w:rPr>
      </w:pPr>
    </w:p>
    <w:p w14:paraId="6E15ED4B">
      <w:pPr>
        <w:spacing w:line="480" w:lineRule="auto"/>
        <w:rPr>
          <w:rFonts w:hint="eastAsia" w:ascii="仿宋" w:hAnsi="仿宋" w:eastAsia="仿宋"/>
          <w:b/>
          <w:sz w:val="32"/>
          <w:szCs w:val="32"/>
        </w:rPr>
      </w:pPr>
    </w:p>
    <w:p w14:paraId="67D60C78">
      <w:pPr>
        <w:spacing w:line="480" w:lineRule="auto"/>
        <w:rPr>
          <w:rFonts w:hint="eastAsia" w:ascii="仿宋" w:hAnsi="仿宋" w:eastAsia="仿宋"/>
          <w:b/>
          <w:sz w:val="32"/>
          <w:szCs w:val="32"/>
        </w:rPr>
      </w:pPr>
    </w:p>
    <w:p w14:paraId="28B69057">
      <w:pPr>
        <w:spacing w:line="480" w:lineRule="auto"/>
        <w:rPr>
          <w:rFonts w:hint="eastAsia" w:ascii="仿宋" w:hAnsi="仿宋" w:eastAsia="仿宋"/>
          <w:b/>
          <w:sz w:val="32"/>
          <w:szCs w:val="32"/>
        </w:rPr>
      </w:pPr>
    </w:p>
    <w:p w14:paraId="2ED1A156">
      <w:pPr>
        <w:spacing w:line="480" w:lineRule="auto"/>
        <w:jc w:val="center"/>
        <w:rPr>
          <w:rFonts w:hint="eastAsia" w:ascii="方正小标宋简体" w:hAnsi="方正小标宋简体" w:eastAsia="方正小标宋简体" w:cs="方正小标宋简体"/>
          <w:b w:val="0"/>
          <w:bCs/>
          <w:sz w:val="44"/>
          <w:szCs w:val="44"/>
        </w:rPr>
        <w:sectPr>
          <w:footerReference r:id="rId5" w:type="default"/>
          <w:pgSz w:w="11906" w:h="16838"/>
          <w:pgMar w:top="720" w:right="720" w:bottom="720" w:left="720" w:header="851" w:footer="992" w:gutter="0"/>
          <w:cols w:space="720" w:num="1"/>
          <w:docGrid w:type="lines" w:linePitch="312" w:charSpace="0"/>
        </w:sectPr>
      </w:pPr>
      <w:r>
        <w:rPr>
          <w:rFonts w:hint="eastAsia" w:ascii="方正小标宋简体" w:hAnsi="方正小标宋简体" w:eastAsia="方正小标宋简体" w:cs="方正小标宋简体"/>
          <w:b w:val="0"/>
          <w:bCs/>
          <w:sz w:val="44"/>
          <w:szCs w:val="44"/>
        </w:rPr>
        <w:t>2026年1月</w:t>
      </w:r>
    </w:p>
    <w:sdt>
      <w:sdtPr>
        <w:rPr>
          <w:rFonts w:ascii="宋体" w:hAnsi="宋体" w:eastAsia="宋体" w:cs="Arial"/>
          <w:snapToGrid w:val="0"/>
          <w:color w:val="000000"/>
          <w:kern w:val="0"/>
          <w:sz w:val="21"/>
          <w:szCs w:val="21"/>
          <w:lang w:val="en-US" w:eastAsia="en-US" w:bidi="ar-SA"/>
        </w:rPr>
        <w:id w:val="147459909"/>
        <w15:color w:val="DBDBDB"/>
        <w:docPartObj>
          <w:docPartGallery w:val="Table of Contents"/>
          <w:docPartUnique/>
        </w:docPartObj>
      </w:sdtPr>
      <w:sdtEndPr>
        <w:rPr>
          <w:rFonts w:ascii="黑体" w:hAnsi="黑体" w:eastAsia="黑体" w:cs="黑体"/>
          <w:snapToGrid w:val="0"/>
          <w:color w:val="000000"/>
          <w:spacing w:val="-2"/>
          <w:kern w:val="0"/>
          <w:sz w:val="21"/>
          <w:szCs w:val="28"/>
          <w:lang w:val="en-US" w:eastAsia="en-US" w:bidi="ar-SA"/>
        </w:rPr>
      </w:sdtEndPr>
      <w:sdtContent>
        <w:p w14:paraId="3D457FD2">
          <w:pPr>
            <w:spacing w:before="0" w:beforeLines="0" w:after="0" w:afterLines="0" w:line="240" w:lineRule="auto"/>
            <w:ind w:left="0" w:leftChars="0" w:right="0" w:rightChars="0" w:firstLine="0" w:firstLineChars="0"/>
            <w:jc w:val="center"/>
          </w:pPr>
          <w:r>
            <w:rPr>
              <w:rFonts w:hint="eastAsia" w:ascii="方正小标宋简体" w:hAnsi="方正小标宋简体" w:eastAsia="方正小标宋简体" w:cs="方正小标宋简体"/>
              <w:spacing w:val="-2"/>
              <w:sz w:val="52"/>
              <w:szCs w:val="52"/>
            </w:rPr>
            <w:t>目录</w:t>
          </w:r>
        </w:p>
        <w:p w14:paraId="5212C8A9">
          <w:pPr>
            <w:pStyle w:val="5"/>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color w:val="000000"/>
              <w:spacing w:val="-2"/>
              <w:kern w:val="0"/>
              <w:sz w:val="30"/>
              <w:szCs w:val="30"/>
              <w:lang w:val="en-US" w:eastAsia="en-US" w:bidi="ar-SA"/>
            </w:rPr>
            <w:instrText xml:space="preserve">TOC \o "1-2" \h \u </w:instrText>
          </w:r>
          <w:r>
            <w:rPr>
              <w:rFonts w:hint="eastAsia" w:ascii="黑体" w:hAnsi="黑体" w:eastAsia="黑体" w:cs="黑体"/>
              <w:snapToGrid w:val="0"/>
              <w:color w:val="000000"/>
              <w:spacing w:val="-2"/>
              <w:kern w:val="0"/>
              <w:sz w:val="30"/>
              <w:szCs w:val="30"/>
              <w:lang w:val="en-US" w:eastAsia="en-US" w:bidi="ar-SA"/>
            </w:rPr>
            <w:fldChar w:fldCharType="separate"/>
          </w: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_Toc22827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一、项目简况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_Toc22827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AAEA94F">
          <w:pPr>
            <w:pStyle w:val="5"/>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_Toc24750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二、编制情况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_Toc24750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4257F6C">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_Toc30074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（一）编制标准的必要性和意义及背景</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_Toc30074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757E69B1">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_Toc27400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（二）编制过程简介</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_Toc27400 \h </w:instrText>
          </w:r>
          <w:r>
            <w:rPr>
              <w:rFonts w:hint="eastAsia" w:ascii="黑体" w:hAnsi="黑体" w:eastAsia="黑体" w:cs="黑体"/>
              <w:sz w:val="30"/>
              <w:szCs w:val="30"/>
            </w:rPr>
            <w:fldChar w:fldCharType="separate"/>
          </w:r>
          <w:r>
            <w:rPr>
              <w:rFonts w:hint="eastAsia" w:ascii="黑体" w:hAnsi="黑体" w:eastAsia="黑体" w:cs="黑体"/>
              <w:sz w:val="30"/>
              <w:szCs w:val="30"/>
            </w:rPr>
            <w:t>6</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BB861DC">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_Toc3256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2"/>
              <w:sz w:val="30"/>
              <w:szCs w:val="30"/>
            </w:rPr>
            <w:t>（三）制定标准的原则和依据，与现行法律法</w:t>
          </w:r>
          <w:r>
            <w:rPr>
              <w:rFonts w:hint="eastAsia" w:ascii="黑体" w:hAnsi="黑体" w:eastAsia="黑体" w:cs="黑体"/>
              <w:bCs/>
              <w:spacing w:val="-3"/>
              <w:sz w:val="30"/>
              <w:szCs w:val="30"/>
            </w:rPr>
            <w:t>规、标准的关系</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_Toc3256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C359B52">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_Toc1545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（四）主要条款的说明，主要技术指标、参数、试验验证的论述</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_Toc1545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5425987">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_Toc3751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（五）标准中如果涉及专利，应有明确的知识产权说明</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_Toc3751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1FCB0EB">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_Toc10255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1"/>
              <w:sz w:val="30"/>
              <w:szCs w:val="30"/>
            </w:rPr>
            <w:t>（六）采用国际标准或国外先进标准的，说明采标程度，以及国内外同类</w:t>
          </w:r>
          <w:r>
            <w:rPr>
              <w:rFonts w:hint="eastAsia" w:ascii="黑体" w:hAnsi="黑体" w:eastAsia="黑体" w:cs="黑体"/>
              <w:bCs/>
              <w:spacing w:val="-3"/>
              <w:sz w:val="30"/>
              <w:szCs w:val="30"/>
            </w:rPr>
            <w:t>标准水平的对比情况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_Toc10255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663176B">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_Toc20291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（七）重大分歧意见的处理依据和结果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_Toc20291 \h </w:instrText>
          </w:r>
          <w:r>
            <w:rPr>
              <w:rFonts w:hint="eastAsia" w:ascii="黑体" w:hAnsi="黑体" w:eastAsia="黑体" w:cs="黑体"/>
              <w:sz w:val="30"/>
              <w:szCs w:val="30"/>
            </w:rPr>
            <w:fldChar w:fldCharType="separate"/>
          </w:r>
          <w:r>
            <w:rPr>
              <w:rFonts w:hint="eastAsia" w:ascii="黑体" w:hAnsi="黑体" w:eastAsia="黑体" w:cs="黑体"/>
              <w:sz w:val="30"/>
              <w:szCs w:val="30"/>
            </w:rPr>
            <w:t>9</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35B250E">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_Toc6101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（八）</w:t>
          </w:r>
          <w:r>
            <w:rPr>
              <w:rFonts w:hint="eastAsia" w:ascii="黑体" w:hAnsi="黑体" w:eastAsia="黑体" w:cs="黑体"/>
              <w:bCs/>
              <w:spacing w:val="-3"/>
              <w:sz w:val="30"/>
              <w:szCs w:val="30"/>
            </w:rPr>
            <w:t>贯彻标准的要求和措施建议</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_Toc6101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90B79F5">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_Toc31301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（九）预期效果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_Toc31301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3CF0F440">
          <w:pPr>
            <w:pStyle w:val="7"/>
            <w:tabs>
              <w:tab w:val="right" w:leader="dot" w:pos="8394"/>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_Toc31345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（十）其他应予说明的事项</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_Toc31345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417A99B">
          <w:pPr>
            <w:spacing w:before="55" w:line="360" w:lineRule="auto"/>
            <w:ind w:left="3715" w:right="659" w:hanging="3079"/>
            <w:jc w:val="center"/>
            <w:rPr>
              <w:rFonts w:ascii="黑体" w:hAnsi="黑体" w:eastAsia="黑体" w:cs="黑体"/>
              <w:snapToGrid w:val="0"/>
              <w:color w:val="000000"/>
              <w:spacing w:val="-2"/>
              <w:kern w:val="0"/>
              <w:sz w:val="21"/>
              <w:szCs w:val="28"/>
              <w:lang w:val="en-US" w:eastAsia="en-US" w:bidi="ar-SA"/>
            </w:rPr>
          </w:pPr>
          <w:r>
            <w:rPr>
              <w:rFonts w:hint="eastAsia" w:ascii="黑体" w:hAnsi="黑体" w:eastAsia="黑体" w:cs="黑体"/>
              <w:snapToGrid w:val="0"/>
              <w:color w:val="000000"/>
              <w:spacing w:val="-2"/>
              <w:kern w:val="0"/>
              <w:sz w:val="30"/>
              <w:szCs w:val="30"/>
              <w:lang w:val="en-US" w:eastAsia="en-US" w:bidi="ar-SA"/>
            </w:rPr>
            <w:fldChar w:fldCharType="end"/>
          </w:r>
        </w:p>
      </w:sdtContent>
    </w:sdt>
    <w:p w14:paraId="295DAC99">
      <w:pPr>
        <w:spacing w:before="55" w:line="239" w:lineRule="auto"/>
        <w:ind w:left="3715" w:right="659" w:hanging="3079"/>
        <w:jc w:val="center"/>
        <w:rPr>
          <w:rFonts w:ascii="黑体" w:hAnsi="黑体" w:eastAsia="黑体" w:cs="黑体"/>
          <w:snapToGrid w:val="0"/>
          <w:color w:val="000000"/>
          <w:spacing w:val="-2"/>
          <w:kern w:val="0"/>
          <w:sz w:val="21"/>
          <w:szCs w:val="28"/>
          <w:lang w:val="en-US" w:eastAsia="en-US" w:bidi="ar-SA"/>
        </w:rPr>
        <w:sectPr>
          <w:footerReference r:id="rId6" w:type="default"/>
          <w:pgSz w:w="11905" w:h="16840"/>
          <w:pgMar w:top="1431" w:right="1726" w:bottom="1255" w:left="1785" w:header="0" w:footer="1054" w:gutter="0"/>
          <w:pgNumType w:start="1"/>
          <w:cols w:space="720" w:num="1"/>
        </w:sectPr>
      </w:pPr>
    </w:p>
    <w:p w14:paraId="2BFA8C76">
      <w:pPr>
        <w:spacing w:before="55" w:line="239" w:lineRule="auto"/>
        <w:ind w:left="3715" w:right="659" w:hanging="3079"/>
        <w:jc w:val="center"/>
        <w:rPr>
          <w:rFonts w:ascii="黑体" w:hAnsi="黑体" w:eastAsia="黑体" w:cs="黑体"/>
          <w:spacing w:val="-2"/>
          <w:sz w:val="28"/>
          <w:szCs w:val="28"/>
        </w:rPr>
      </w:pPr>
      <w:r>
        <w:rPr>
          <w:rFonts w:ascii="黑体" w:hAnsi="黑体" w:eastAsia="黑体" w:cs="黑体"/>
          <w:spacing w:val="-2"/>
          <w:sz w:val="28"/>
          <w:szCs w:val="28"/>
        </w:rPr>
        <w:t>海南省地方标准《</w:t>
      </w:r>
      <w:r>
        <w:rPr>
          <w:rFonts w:hint="eastAsia" w:ascii="黑体" w:hAnsi="黑体" w:eastAsia="黑体" w:cs="黑体"/>
          <w:spacing w:val="-2"/>
          <w:sz w:val="28"/>
          <w:szCs w:val="28"/>
        </w:rPr>
        <w:t>黎医疗法操作规范 蜂疗法</w:t>
      </w:r>
      <w:r>
        <w:rPr>
          <w:rFonts w:ascii="黑体" w:hAnsi="黑体" w:eastAsia="黑体" w:cs="黑体"/>
          <w:spacing w:val="-2"/>
          <w:sz w:val="28"/>
          <w:szCs w:val="28"/>
        </w:rPr>
        <w:t>》</w:t>
      </w:r>
    </w:p>
    <w:p w14:paraId="0EB3A245">
      <w:pPr>
        <w:spacing w:before="55" w:line="239" w:lineRule="auto"/>
        <w:ind w:left="3715" w:right="659" w:hanging="3079"/>
        <w:jc w:val="center"/>
        <w:rPr>
          <w:rFonts w:ascii="黑体" w:hAnsi="黑体" w:eastAsia="黑体" w:cs="黑体"/>
          <w:sz w:val="28"/>
          <w:szCs w:val="28"/>
        </w:rPr>
      </w:pPr>
      <w:r>
        <w:rPr>
          <w:rFonts w:ascii="黑体" w:hAnsi="黑体" w:eastAsia="黑体" w:cs="黑体"/>
          <w:spacing w:val="-2"/>
          <w:sz w:val="28"/>
          <w:szCs w:val="28"/>
        </w:rPr>
        <w:t>（征求意见稿）编制说明</w:t>
      </w:r>
    </w:p>
    <w:p w14:paraId="3942A2DC">
      <w:pPr>
        <w:spacing w:line="330" w:lineRule="auto"/>
        <w:rPr>
          <w:rFonts w:ascii="Arial"/>
          <w:sz w:val="21"/>
        </w:rPr>
      </w:pPr>
    </w:p>
    <w:p w14:paraId="5D137D29">
      <w:pPr>
        <w:spacing w:line="330" w:lineRule="auto"/>
        <w:rPr>
          <w:rFonts w:ascii="Arial"/>
          <w:sz w:val="21"/>
        </w:rPr>
      </w:pPr>
    </w:p>
    <w:p w14:paraId="3B8D9B7B">
      <w:pPr>
        <w:spacing w:before="91" w:line="219" w:lineRule="auto"/>
        <w:ind w:left="130"/>
        <w:outlineLvl w:val="0"/>
        <w:rPr>
          <w:rFonts w:ascii="黑体" w:hAnsi="黑体" w:eastAsia="黑体" w:cs="黑体"/>
          <w:sz w:val="28"/>
          <w:szCs w:val="28"/>
        </w:rPr>
      </w:pPr>
      <w:bookmarkStart w:id="0" w:name="_Toc22827"/>
      <w:r>
        <w:rPr>
          <w:rFonts w:ascii="黑体" w:hAnsi="黑体" w:eastAsia="黑体" w:cs="黑体"/>
          <w:spacing w:val="-1"/>
          <w:sz w:val="28"/>
          <w:szCs w:val="28"/>
        </w:rPr>
        <w:t>一、项目简况</w:t>
      </w:r>
      <w:bookmarkEnd w:id="0"/>
    </w:p>
    <w:p w14:paraId="1C915C8A">
      <w:pPr>
        <w:pStyle w:val="2"/>
        <w:spacing w:before="232" w:line="218" w:lineRule="auto"/>
        <w:ind w:left="611" w:leftChars="0"/>
        <w:outlineLvl w:val="9"/>
      </w:pPr>
      <w:r>
        <w:rPr>
          <w:b/>
          <w:bCs/>
          <w:spacing w:val="-3"/>
        </w:rPr>
        <w:t>（一）标准名称：</w:t>
      </w:r>
      <w:r>
        <w:rPr>
          <w:rFonts w:hint="eastAsia"/>
          <w:b/>
          <w:bCs/>
          <w:spacing w:val="-3"/>
        </w:rPr>
        <w:t>黎医疗法操作规范 蜂疗法</w:t>
      </w:r>
    </w:p>
    <w:p w14:paraId="5DDA34D7">
      <w:pPr>
        <w:pStyle w:val="2"/>
        <w:spacing w:before="181" w:line="233" w:lineRule="auto"/>
        <w:ind w:left="611" w:leftChars="0"/>
        <w:outlineLvl w:val="9"/>
        <w:rPr>
          <w:rFonts w:hint="default" w:ascii="Times New Roman" w:hAnsi="Times New Roman" w:eastAsia="宋体" w:cs="Times New Roman"/>
          <w:lang w:val="en-US" w:eastAsia="zh-CN"/>
        </w:rPr>
      </w:pPr>
      <w:r>
        <w:rPr>
          <w:b/>
          <w:bCs/>
          <w:spacing w:val="-3"/>
        </w:rPr>
        <w:t>（二）任务来源（项目计划号</w:t>
      </w:r>
      <w:r>
        <w:rPr>
          <w:b/>
          <w:bCs/>
          <w:spacing w:val="-44"/>
        </w:rPr>
        <w:t>）：</w:t>
      </w:r>
      <w:r>
        <w:rPr>
          <w:rFonts w:hint="eastAsia"/>
          <w:b/>
          <w:bCs/>
          <w:spacing w:val="-44"/>
          <w:lang w:val="en-US" w:eastAsia="zh-CN"/>
        </w:rPr>
        <w:t>2025-Z85</w:t>
      </w:r>
    </w:p>
    <w:p w14:paraId="2FEE5EAE">
      <w:pPr>
        <w:pStyle w:val="2"/>
        <w:spacing w:before="167" w:line="219" w:lineRule="auto"/>
        <w:ind w:left="611" w:leftChars="0"/>
        <w:outlineLvl w:val="9"/>
      </w:pPr>
      <w:r>
        <w:rPr>
          <w:b/>
          <w:bCs/>
          <w:spacing w:val="-2"/>
        </w:rPr>
        <w:t>（三）起草单位：</w:t>
      </w:r>
      <w:r>
        <w:rPr>
          <w:rFonts w:hint="eastAsia"/>
          <w:b/>
          <w:bCs/>
          <w:spacing w:val="-2"/>
        </w:rPr>
        <w:t>广东省中医院海南医院</w:t>
      </w:r>
    </w:p>
    <w:p w14:paraId="2091CFEF">
      <w:pPr>
        <w:pStyle w:val="2"/>
        <w:spacing w:before="185" w:line="233" w:lineRule="auto"/>
        <w:ind w:left="611" w:leftChars="0"/>
        <w:outlineLvl w:val="9"/>
      </w:pPr>
      <w:r>
        <w:rPr>
          <w:b/>
          <w:bCs/>
          <w:spacing w:val="-3"/>
        </w:rPr>
        <w:t>（四）单位地址：</w:t>
      </w:r>
      <w:r>
        <w:rPr>
          <w:rFonts w:hint="eastAsia"/>
          <w:b/>
          <w:bCs/>
          <w:spacing w:val="-3"/>
        </w:rPr>
        <w:t>海南省海口市椰海大道东19号</w:t>
      </w:r>
    </w:p>
    <w:p w14:paraId="0096DF03">
      <w:pPr>
        <w:pStyle w:val="2"/>
        <w:spacing w:before="162" w:line="220" w:lineRule="auto"/>
        <w:ind w:left="611" w:leftChars="0"/>
        <w:outlineLvl w:val="9"/>
      </w:pPr>
      <w:r>
        <w:rPr>
          <w:b/>
          <w:bCs/>
          <w:spacing w:val="-5"/>
        </w:rPr>
        <w:t>（五）参与起草单位：</w:t>
      </w:r>
      <w:r>
        <w:rPr>
          <w:rFonts w:hint="eastAsia"/>
          <w:b/>
          <w:bCs/>
          <w:spacing w:val="-5"/>
        </w:rPr>
        <w:t>海南医科大学、白沙黎族自治县人民医院、澄迈县人民医院</w:t>
      </w:r>
    </w:p>
    <w:p w14:paraId="67E5B58C">
      <w:pPr>
        <w:pStyle w:val="2"/>
        <w:spacing w:before="185" w:line="220" w:lineRule="auto"/>
        <w:ind w:left="611" w:leftChars="0"/>
        <w:outlineLvl w:val="9"/>
      </w:pPr>
      <w:r>
        <w:rPr>
          <w:b/>
          <w:bCs/>
          <w:spacing w:val="-8"/>
        </w:rPr>
        <w:t>（六）标准起草人：</w:t>
      </w:r>
    </w:p>
    <w:p w14:paraId="49BC8202">
      <w:pPr>
        <w:spacing w:before="179" w:line="220" w:lineRule="auto"/>
        <w:ind w:left="3409"/>
        <w:rPr>
          <w:rFonts w:ascii="黑体" w:hAnsi="黑体" w:eastAsia="黑体" w:cs="黑体"/>
          <w:sz w:val="24"/>
          <w:szCs w:val="24"/>
        </w:rPr>
      </w:pPr>
      <w:r>
        <w:rPr>
          <w:rFonts w:ascii="黑体" w:hAnsi="黑体" w:eastAsia="黑体" w:cs="黑体"/>
          <w:spacing w:val="-5"/>
          <w:sz w:val="24"/>
          <w:szCs w:val="24"/>
        </w:rPr>
        <w:t>表</w:t>
      </w:r>
      <w:r>
        <w:rPr>
          <w:rFonts w:ascii="黑体" w:hAnsi="黑体" w:eastAsia="黑体" w:cs="黑体"/>
          <w:spacing w:val="-33"/>
          <w:sz w:val="24"/>
          <w:szCs w:val="24"/>
        </w:rPr>
        <w:t xml:space="preserve"> </w:t>
      </w:r>
      <w:r>
        <w:rPr>
          <w:rFonts w:ascii="黑体" w:hAnsi="黑体" w:eastAsia="黑体" w:cs="黑体"/>
          <w:spacing w:val="-5"/>
          <w:sz w:val="24"/>
          <w:szCs w:val="24"/>
        </w:rPr>
        <w:t>1 标准起草人</w:t>
      </w:r>
    </w:p>
    <w:tbl>
      <w:tblPr>
        <w:tblStyle w:val="10"/>
        <w:tblpPr w:leftFromText="180" w:rightFromText="180" w:vertAnchor="text" w:horzAnchor="page" w:tblpX="1782" w:tblpY="64"/>
        <w:tblOverlap w:val="never"/>
        <w:tblW w:w="85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855"/>
        <w:gridCol w:w="1079"/>
        <w:gridCol w:w="774"/>
        <w:gridCol w:w="1244"/>
        <w:gridCol w:w="2523"/>
        <w:gridCol w:w="1374"/>
      </w:tblGrid>
      <w:tr w14:paraId="32A51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vAlign w:val="center"/>
          </w:tcPr>
          <w:p w14:paraId="5BAEC9EA">
            <w:pPr>
              <w:pStyle w:val="11"/>
              <w:spacing w:before="49" w:line="221" w:lineRule="auto"/>
              <w:ind w:left="112"/>
              <w:jc w:val="center"/>
            </w:pPr>
            <w:r>
              <w:rPr>
                <w:spacing w:val="-2"/>
              </w:rPr>
              <w:t>序号</w:t>
            </w:r>
          </w:p>
        </w:tc>
        <w:tc>
          <w:tcPr>
            <w:tcW w:w="855" w:type="dxa"/>
            <w:vAlign w:val="center"/>
          </w:tcPr>
          <w:p w14:paraId="5E6C3BF3">
            <w:pPr>
              <w:pStyle w:val="11"/>
              <w:spacing w:before="49" w:line="220" w:lineRule="auto"/>
              <w:ind w:left="108"/>
              <w:jc w:val="center"/>
            </w:pPr>
            <w:r>
              <w:rPr>
                <w:spacing w:val="-3"/>
              </w:rPr>
              <w:t>姓名</w:t>
            </w:r>
          </w:p>
        </w:tc>
        <w:tc>
          <w:tcPr>
            <w:tcW w:w="1079" w:type="dxa"/>
            <w:vAlign w:val="center"/>
          </w:tcPr>
          <w:p w14:paraId="212E15DE">
            <w:pPr>
              <w:pStyle w:val="11"/>
              <w:spacing w:before="49" w:line="220" w:lineRule="auto"/>
              <w:ind w:left="105"/>
              <w:jc w:val="center"/>
            </w:pPr>
            <w:r>
              <w:rPr>
                <w:spacing w:val="-3"/>
              </w:rPr>
              <w:t>单位</w:t>
            </w:r>
          </w:p>
        </w:tc>
        <w:tc>
          <w:tcPr>
            <w:tcW w:w="774" w:type="dxa"/>
            <w:vAlign w:val="center"/>
          </w:tcPr>
          <w:p w14:paraId="565ED7F1">
            <w:pPr>
              <w:pStyle w:val="11"/>
              <w:spacing w:before="49" w:line="220" w:lineRule="auto"/>
              <w:ind w:left="111"/>
              <w:jc w:val="center"/>
            </w:pPr>
            <w:r>
              <w:rPr>
                <w:spacing w:val="-3"/>
              </w:rPr>
              <w:t>职务</w:t>
            </w:r>
          </w:p>
        </w:tc>
        <w:tc>
          <w:tcPr>
            <w:tcW w:w="1244" w:type="dxa"/>
            <w:vAlign w:val="center"/>
          </w:tcPr>
          <w:p w14:paraId="4FD989CE">
            <w:pPr>
              <w:pStyle w:val="11"/>
              <w:spacing w:before="49" w:line="222" w:lineRule="auto"/>
              <w:ind w:left="107"/>
              <w:jc w:val="center"/>
            </w:pPr>
            <w:r>
              <w:rPr>
                <w:spacing w:val="-3"/>
              </w:rPr>
              <w:t>职称</w:t>
            </w:r>
          </w:p>
        </w:tc>
        <w:tc>
          <w:tcPr>
            <w:tcW w:w="2523" w:type="dxa"/>
            <w:vAlign w:val="center"/>
          </w:tcPr>
          <w:p w14:paraId="2393E54D">
            <w:pPr>
              <w:pStyle w:val="11"/>
              <w:spacing w:before="49" w:line="220" w:lineRule="auto"/>
              <w:ind w:left="112"/>
              <w:jc w:val="center"/>
            </w:pPr>
            <w:r>
              <w:rPr>
                <w:spacing w:val="-2"/>
              </w:rPr>
              <w:t>任务分工</w:t>
            </w:r>
          </w:p>
        </w:tc>
        <w:tc>
          <w:tcPr>
            <w:tcW w:w="1374" w:type="dxa"/>
            <w:vAlign w:val="center"/>
          </w:tcPr>
          <w:p w14:paraId="03AE7F9F">
            <w:pPr>
              <w:pStyle w:val="11"/>
              <w:spacing w:before="49" w:line="221" w:lineRule="auto"/>
              <w:ind w:left="112"/>
              <w:jc w:val="center"/>
            </w:pPr>
            <w:r>
              <w:rPr>
                <w:spacing w:val="-2"/>
              </w:rPr>
              <w:t>联系方式</w:t>
            </w:r>
          </w:p>
        </w:tc>
      </w:tr>
      <w:tr w14:paraId="37F6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shd w:val="clear" w:color="auto" w:fill="auto"/>
            <w:vAlign w:val="center"/>
          </w:tcPr>
          <w:p w14:paraId="796325C3">
            <w:pPr>
              <w:spacing w:before="60" w:line="235" w:lineRule="auto"/>
              <w:ind w:left="109"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w:t>
            </w:r>
          </w:p>
        </w:tc>
        <w:tc>
          <w:tcPr>
            <w:tcW w:w="855" w:type="dxa"/>
            <w:vAlign w:val="center"/>
          </w:tcPr>
          <w:p w14:paraId="5D9FF773">
            <w:pPr>
              <w:pStyle w:val="11"/>
              <w:spacing w:before="49" w:line="220" w:lineRule="auto"/>
              <w:ind w:left="108"/>
              <w:jc w:val="center"/>
              <w:rPr>
                <w:rFonts w:hint="eastAsia" w:eastAsia="宋体"/>
                <w:spacing w:val="-3"/>
                <w:lang w:val="en-US" w:eastAsia="zh-CN"/>
              </w:rPr>
            </w:pPr>
            <w:r>
              <w:rPr>
                <w:rFonts w:hint="eastAsia"/>
                <w:spacing w:val="-3"/>
                <w:lang w:val="en-US" w:eastAsia="zh-CN"/>
              </w:rPr>
              <w:t>林天东</w:t>
            </w:r>
          </w:p>
        </w:tc>
        <w:tc>
          <w:tcPr>
            <w:tcW w:w="1079" w:type="dxa"/>
            <w:vAlign w:val="center"/>
          </w:tcPr>
          <w:p w14:paraId="46B4621C">
            <w:pPr>
              <w:pStyle w:val="11"/>
              <w:spacing w:before="60" w:line="219" w:lineRule="auto"/>
              <w:ind w:left="103" w:leftChars="0"/>
              <w:jc w:val="center"/>
              <w:rPr>
                <w:spacing w:val="-3"/>
              </w:rPr>
            </w:pPr>
            <w:r>
              <w:rPr>
                <w:rFonts w:hint="eastAsia"/>
                <w:lang w:val="en-US" w:eastAsia="zh-CN"/>
              </w:rPr>
              <w:t>广东省中医院海南医院</w:t>
            </w:r>
          </w:p>
        </w:tc>
        <w:tc>
          <w:tcPr>
            <w:tcW w:w="774" w:type="dxa"/>
            <w:vAlign w:val="center"/>
          </w:tcPr>
          <w:p w14:paraId="67625943">
            <w:pPr>
              <w:pStyle w:val="11"/>
              <w:spacing w:before="68" w:line="219" w:lineRule="auto"/>
              <w:ind w:left="109" w:leftChars="0"/>
              <w:jc w:val="center"/>
              <w:rPr>
                <w:spacing w:val="-3"/>
              </w:rPr>
            </w:pPr>
            <w:r>
              <w:rPr>
                <w:rFonts w:hint="eastAsia"/>
                <w:lang w:val="en-US" w:eastAsia="zh-CN"/>
              </w:rPr>
              <w:t>/</w:t>
            </w:r>
          </w:p>
        </w:tc>
        <w:tc>
          <w:tcPr>
            <w:tcW w:w="1244" w:type="dxa"/>
            <w:vAlign w:val="center"/>
          </w:tcPr>
          <w:p w14:paraId="48A10063">
            <w:pPr>
              <w:jc w:val="center"/>
              <w:rPr>
                <w:spacing w:val="-3"/>
              </w:rPr>
            </w:pPr>
            <w:r>
              <w:rPr>
                <w:rFonts w:hint="eastAsia" w:eastAsia="宋体"/>
                <w:sz w:val="21"/>
                <w:lang w:val="en-US" w:eastAsia="zh-CN"/>
              </w:rPr>
              <w:t>主任医师</w:t>
            </w:r>
          </w:p>
        </w:tc>
        <w:tc>
          <w:tcPr>
            <w:tcW w:w="2523" w:type="dxa"/>
            <w:vAlign w:val="center"/>
          </w:tcPr>
          <w:p w14:paraId="27D86003">
            <w:pPr>
              <w:pStyle w:val="11"/>
              <w:spacing w:before="68" w:line="220" w:lineRule="auto"/>
              <w:ind w:left="114" w:leftChars="0"/>
              <w:jc w:val="center"/>
              <w:rPr>
                <w:spacing w:val="-2"/>
              </w:rPr>
            </w:pPr>
            <w:r>
              <w:rPr>
                <w:rFonts w:hint="eastAsia"/>
                <w:lang w:val="en-US" w:eastAsia="zh-CN"/>
              </w:rPr>
              <w:t>标准编写方案技术指导</w:t>
            </w:r>
          </w:p>
        </w:tc>
        <w:tc>
          <w:tcPr>
            <w:tcW w:w="1374" w:type="dxa"/>
            <w:vAlign w:val="center"/>
          </w:tcPr>
          <w:p w14:paraId="5E0FD4BF">
            <w:pPr>
              <w:pStyle w:val="11"/>
              <w:spacing w:before="49" w:line="221" w:lineRule="auto"/>
              <w:ind w:left="112"/>
              <w:jc w:val="center"/>
              <w:rPr>
                <w:spacing w:val="-2"/>
              </w:rPr>
            </w:pPr>
            <w:r>
              <w:rPr>
                <w:rFonts w:hint="eastAsia"/>
                <w:spacing w:val="-2"/>
              </w:rPr>
              <w:t>18689920201</w:t>
            </w:r>
          </w:p>
        </w:tc>
      </w:tr>
      <w:tr w14:paraId="1733C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680" w:type="dxa"/>
            <w:shd w:val="clear" w:color="auto" w:fill="auto"/>
            <w:vAlign w:val="center"/>
          </w:tcPr>
          <w:p w14:paraId="148E31C2">
            <w:pPr>
              <w:spacing w:before="240" w:line="232" w:lineRule="auto"/>
              <w:ind w:left="114"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2</w:t>
            </w:r>
          </w:p>
        </w:tc>
        <w:tc>
          <w:tcPr>
            <w:tcW w:w="855" w:type="dxa"/>
            <w:vAlign w:val="center"/>
          </w:tcPr>
          <w:p w14:paraId="37E59234">
            <w:pPr>
              <w:pStyle w:val="11"/>
              <w:spacing w:before="68" w:line="220" w:lineRule="auto"/>
              <w:ind w:left="109"/>
              <w:jc w:val="center"/>
            </w:pPr>
            <w:r>
              <w:rPr>
                <w:rFonts w:hint="eastAsia"/>
                <w:highlight w:val="none"/>
              </w:rPr>
              <w:t>蔡敏</w:t>
            </w:r>
          </w:p>
        </w:tc>
        <w:tc>
          <w:tcPr>
            <w:tcW w:w="1079" w:type="dxa"/>
            <w:vAlign w:val="center"/>
          </w:tcPr>
          <w:p w14:paraId="30C790AD">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32C5878">
            <w:pPr>
              <w:pStyle w:val="11"/>
              <w:spacing w:before="68" w:line="219" w:lineRule="auto"/>
              <w:ind w:left="109" w:leftChars="0"/>
              <w:jc w:val="center"/>
              <w:rPr>
                <w:rFonts w:hint="default" w:eastAsia="宋体"/>
                <w:lang w:val="en-US" w:eastAsia="zh-CN"/>
              </w:rPr>
            </w:pPr>
            <w:r>
              <w:rPr>
                <w:rFonts w:hint="eastAsia"/>
                <w:lang w:val="en-US" w:eastAsia="zh-CN"/>
              </w:rPr>
              <w:t>党委书记</w:t>
            </w:r>
          </w:p>
        </w:tc>
        <w:tc>
          <w:tcPr>
            <w:tcW w:w="1244" w:type="dxa"/>
            <w:vAlign w:val="center"/>
          </w:tcPr>
          <w:p w14:paraId="236E1DE7">
            <w:pPr>
              <w:jc w:val="center"/>
              <w:rPr>
                <w:rFonts w:ascii="Arial"/>
                <w:sz w:val="21"/>
              </w:rPr>
            </w:pPr>
            <w:r>
              <w:rPr>
                <w:rFonts w:hint="eastAsia" w:eastAsia="宋体"/>
                <w:sz w:val="21"/>
                <w:lang w:val="en-US" w:eastAsia="zh-CN"/>
              </w:rPr>
              <w:t>主任医师</w:t>
            </w:r>
          </w:p>
        </w:tc>
        <w:tc>
          <w:tcPr>
            <w:tcW w:w="2523" w:type="dxa"/>
            <w:vAlign w:val="center"/>
          </w:tcPr>
          <w:p w14:paraId="040B75D7">
            <w:pPr>
              <w:pStyle w:val="11"/>
              <w:spacing w:before="68" w:line="220" w:lineRule="auto"/>
              <w:ind w:left="114" w:leftChars="0"/>
              <w:jc w:val="center"/>
            </w:pPr>
            <w:r>
              <w:rPr>
                <w:rFonts w:hint="eastAsia"/>
                <w:lang w:val="en-US" w:eastAsia="zh-CN"/>
              </w:rPr>
              <w:t>标准编写方案技术指导</w:t>
            </w:r>
          </w:p>
        </w:tc>
        <w:tc>
          <w:tcPr>
            <w:tcW w:w="1374" w:type="dxa"/>
            <w:vAlign w:val="center"/>
          </w:tcPr>
          <w:p w14:paraId="27498610">
            <w:pPr>
              <w:spacing w:before="60" w:line="232" w:lineRule="auto"/>
              <w:ind w:left="128"/>
              <w:jc w:val="center"/>
              <w:rPr>
                <w:rFonts w:ascii="Times New Roman" w:hAnsi="Times New Roman" w:eastAsia="Times New Roman" w:cs="Times New Roman"/>
                <w:sz w:val="21"/>
                <w:szCs w:val="21"/>
              </w:rPr>
            </w:pPr>
            <w:r>
              <w:rPr>
                <w:rFonts w:hint="eastAsia" w:ascii="Times New Roman" w:hAnsi="Times New Roman" w:eastAsia="Times New Roman" w:cs="Times New Roman"/>
                <w:sz w:val="21"/>
                <w:szCs w:val="21"/>
              </w:rPr>
              <w:t>13807666333</w:t>
            </w:r>
          </w:p>
        </w:tc>
      </w:tr>
      <w:tr w14:paraId="6AA57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80" w:type="dxa"/>
            <w:shd w:val="clear" w:color="auto" w:fill="auto"/>
            <w:vAlign w:val="center"/>
          </w:tcPr>
          <w:p w14:paraId="38A4203C">
            <w:pPr>
              <w:spacing w:before="241" w:line="232" w:lineRule="auto"/>
              <w:ind w:left="115"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3</w:t>
            </w:r>
          </w:p>
        </w:tc>
        <w:tc>
          <w:tcPr>
            <w:tcW w:w="855" w:type="dxa"/>
            <w:vAlign w:val="center"/>
          </w:tcPr>
          <w:p w14:paraId="3655FA4F">
            <w:pPr>
              <w:pStyle w:val="11"/>
              <w:spacing w:before="204" w:line="220" w:lineRule="auto"/>
              <w:ind w:left="113"/>
              <w:jc w:val="center"/>
            </w:pPr>
            <w:r>
              <w:rPr>
                <w:rFonts w:hint="eastAsia"/>
                <w:highlight w:val="none"/>
              </w:rPr>
              <w:t>钟捷东</w:t>
            </w:r>
          </w:p>
        </w:tc>
        <w:tc>
          <w:tcPr>
            <w:tcW w:w="1079" w:type="dxa"/>
            <w:vAlign w:val="center"/>
          </w:tcPr>
          <w:p w14:paraId="45669B4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98744BF">
            <w:pPr>
              <w:pStyle w:val="11"/>
              <w:spacing w:before="68" w:line="219" w:lineRule="auto"/>
              <w:ind w:left="109" w:leftChars="0"/>
              <w:jc w:val="center"/>
              <w:rPr>
                <w:rFonts w:hint="default" w:ascii="Arial" w:eastAsia="宋体"/>
                <w:sz w:val="21"/>
                <w:lang w:val="en-US" w:eastAsia="zh-CN"/>
              </w:rPr>
            </w:pPr>
            <w:r>
              <w:rPr>
                <w:rFonts w:hint="eastAsia" w:ascii="Arial"/>
                <w:sz w:val="21"/>
                <w:lang w:val="en-US" w:eastAsia="zh-CN"/>
              </w:rPr>
              <w:t>黎族医药示范体验中心主任</w:t>
            </w:r>
          </w:p>
        </w:tc>
        <w:tc>
          <w:tcPr>
            <w:tcW w:w="1244" w:type="dxa"/>
            <w:vAlign w:val="center"/>
          </w:tcPr>
          <w:p w14:paraId="646D1916">
            <w:pPr>
              <w:jc w:val="center"/>
            </w:pPr>
            <w:r>
              <w:rPr>
                <w:rFonts w:hint="eastAsia" w:eastAsia="宋体"/>
                <w:sz w:val="21"/>
                <w:lang w:val="en-US" w:eastAsia="zh-CN"/>
              </w:rPr>
              <w:t>副主任医师</w:t>
            </w:r>
          </w:p>
        </w:tc>
        <w:tc>
          <w:tcPr>
            <w:tcW w:w="2523" w:type="dxa"/>
            <w:vAlign w:val="center"/>
          </w:tcPr>
          <w:p w14:paraId="1FB264D9">
            <w:pPr>
              <w:pStyle w:val="11"/>
              <w:spacing w:before="68" w:line="220" w:lineRule="auto"/>
              <w:ind w:left="114" w:leftChars="0"/>
              <w:jc w:val="center"/>
              <w:rPr>
                <w:rFonts w:hint="default"/>
                <w:lang w:val="en-US"/>
              </w:rPr>
            </w:pPr>
            <w:r>
              <w:rPr>
                <w:rFonts w:hint="eastAsia"/>
                <w:lang w:val="en-US" w:eastAsia="zh-CN"/>
              </w:rPr>
              <w:t>标准编写方案设计</w:t>
            </w:r>
          </w:p>
        </w:tc>
        <w:tc>
          <w:tcPr>
            <w:tcW w:w="1374" w:type="dxa"/>
            <w:vAlign w:val="center"/>
          </w:tcPr>
          <w:p w14:paraId="2277183D">
            <w:pPr>
              <w:spacing w:before="239"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13976570016</w:t>
            </w:r>
          </w:p>
        </w:tc>
      </w:tr>
      <w:tr w14:paraId="31760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shd w:val="clear" w:color="auto" w:fill="auto"/>
            <w:vAlign w:val="center"/>
          </w:tcPr>
          <w:p w14:paraId="621BFC1C">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4</w:t>
            </w:r>
          </w:p>
        </w:tc>
        <w:tc>
          <w:tcPr>
            <w:tcW w:w="855" w:type="dxa"/>
            <w:vAlign w:val="center"/>
          </w:tcPr>
          <w:p w14:paraId="3CD930F3">
            <w:pPr>
              <w:pStyle w:val="11"/>
              <w:spacing w:before="206" w:line="222" w:lineRule="auto"/>
              <w:ind w:left="113"/>
              <w:jc w:val="center"/>
            </w:pPr>
            <w:r>
              <w:rPr>
                <w:rFonts w:hint="eastAsia"/>
                <w:highlight w:val="none"/>
                <w:shd w:val="clear"/>
              </w:rPr>
              <w:t>胡学军</w:t>
            </w:r>
          </w:p>
        </w:tc>
        <w:tc>
          <w:tcPr>
            <w:tcW w:w="1079" w:type="dxa"/>
            <w:vAlign w:val="center"/>
          </w:tcPr>
          <w:p w14:paraId="7E2CB32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610A67EE">
            <w:pPr>
              <w:pStyle w:val="11"/>
              <w:spacing w:before="68" w:line="219" w:lineRule="auto"/>
              <w:ind w:left="109" w:leftChars="0"/>
              <w:jc w:val="center"/>
              <w:rPr>
                <w:rFonts w:hint="eastAsia" w:eastAsia="宋体"/>
                <w:lang w:val="en-US" w:eastAsia="zh-CN"/>
              </w:rPr>
            </w:pPr>
            <w:r>
              <w:rPr>
                <w:rFonts w:hint="eastAsia"/>
                <w:lang w:val="en-US" w:eastAsia="zh-CN"/>
              </w:rPr>
              <w:t>院长</w:t>
            </w:r>
          </w:p>
        </w:tc>
        <w:tc>
          <w:tcPr>
            <w:tcW w:w="1244" w:type="dxa"/>
            <w:vAlign w:val="center"/>
          </w:tcPr>
          <w:p w14:paraId="2575CADC">
            <w:pPr>
              <w:jc w:val="center"/>
            </w:pPr>
            <w:r>
              <w:rPr>
                <w:rFonts w:hint="eastAsia" w:eastAsia="宋体"/>
                <w:sz w:val="21"/>
                <w:lang w:val="en-US" w:eastAsia="zh-CN"/>
              </w:rPr>
              <w:t>副主任医师</w:t>
            </w:r>
          </w:p>
        </w:tc>
        <w:tc>
          <w:tcPr>
            <w:tcW w:w="2523" w:type="dxa"/>
            <w:vAlign w:val="center"/>
          </w:tcPr>
          <w:p w14:paraId="4A20D02C">
            <w:pPr>
              <w:pStyle w:val="11"/>
              <w:spacing w:before="68" w:line="220" w:lineRule="auto"/>
              <w:ind w:left="114" w:leftChars="0"/>
              <w:jc w:val="center"/>
            </w:pPr>
            <w:r>
              <w:rPr>
                <w:rFonts w:hint="eastAsia"/>
                <w:lang w:val="en-US" w:eastAsia="zh-CN"/>
              </w:rPr>
              <w:t>标准编写方案设计</w:t>
            </w:r>
          </w:p>
        </w:tc>
        <w:tc>
          <w:tcPr>
            <w:tcW w:w="1374" w:type="dxa"/>
            <w:vAlign w:val="center"/>
          </w:tcPr>
          <w:p w14:paraId="1ED81C28">
            <w:pPr>
              <w:spacing w:before="241"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13826112252</w:t>
            </w:r>
          </w:p>
        </w:tc>
      </w:tr>
      <w:tr w14:paraId="0C2F1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14FF492">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5</w:t>
            </w:r>
          </w:p>
        </w:tc>
        <w:tc>
          <w:tcPr>
            <w:tcW w:w="855" w:type="dxa"/>
            <w:vAlign w:val="center"/>
          </w:tcPr>
          <w:p w14:paraId="6C0C9D4D">
            <w:pPr>
              <w:pStyle w:val="11"/>
              <w:spacing w:before="208" w:line="219" w:lineRule="auto"/>
              <w:ind w:left="110"/>
              <w:jc w:val="center"/>
            </w:pPr>
            <w:r>
              <w:rPr>
                <w:rFonts w:hint="eastAsia"/>
                <w:highlight w:val="none"/>
              </w:rPr>
              <w:t>董秀娟</w:t>
            </w:r>
          </w:p>
        </w:tc>
        <w:tc>
          <w:tcPr>
            <w:tcW w:w="1079" w:type="dxa"/>
            <w:vAlign w:val="center"/>
          </w:tcPr>
          <w:p w14:paraId="53E0F7F0">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7FE847A4">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6628D917">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3A259618">
            <w:pPr>
              <w:pStyle w:val="11"/>
              <w:spacing w:before="208" w:line="220" w:lineRule="auto"/>
              <w:ind w:left="115"/>
              <w:jc w:val="center"/>
              <w:rPr>
                <w:rFonts w:hint="default" w:eastAsia="宋体"/>
                <w:lang w:val="en-US" w:eastAsia="zh-CN"/>
              </w:rPr>
            </w:pPr>
            <w:r>
              <w:rPr>
                <w:rFonts w:hint="eastAsia"/>
                <w:lang w:val="en-US" w:eastAsia="zh-CN"/>
              </w:rPr>
              <w:t>标准文本结构设计</w:t>
            </w:r>
          </w:p>
        </w:tc>
        <w:tc>
          <w:tcPr>
            <w:tcW w:w="1374" w:type="dxa"/>
            <w:vAlign w:val="center"/>
          </w:tcPr>
          <w:p w14:paraId="5CB380DF">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18976669955</w:t>
            </w:r>
          </w:p>
        </w:tc>
      </w:tr>
      <w:tr w14:paraId="1EEC6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999336D">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6</w:t>
            </w:r>
          </w:p>
        </w:tc>
        <w:tc>
          <w:tcPr>
            <w:tcW w:w="855" w:type="dxa"/>
            <w:vAlign w:val="center"/>
          </w:tcPr>
          <w:p w14:paraId="7D0D8D33">
            <w:pPr>
              <w:pStyle w:val="11"/>
              <w:spacing w:before="208" w:line="219" w:lineRule="auto"/>
              <w:ind w:left="110"/>
              <w:jc w:val="center"/>
              <w:rPr>
                <w:rFonts w:hint="eastAsia"/>
                <w:highlight w:val="none"/>
              </w:rPr>
            </w:pPr>
            <w:r>
              <w:rPr>
                <w:rFonts w:hint="eastAsia"/>
                <w:highlight w:val="none"/>
                <w:lang w:val="en-US" w:eastAsia="zh-CN"/>
              </w:rPr>
              <w:t>赵帅</w:t>
            </w:r>
          </w:p>
        </w:tc>
        <w:tc>
          <w:tcPr>
            <w:tcW w:w="1079" w:type="dxa"/>
            <w:vAlign w:val="center"/>
          </w:tcPr>
          <w:p w14:paraId="65430BAE">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6F477543">
            <w:pPr>
              <w:jc w:val="center"/>
              <w:rPr>
                <w:rFonts w:hint="eastAsia" w:ascii="Arial" w:eastAsia="宋体"/>
                <w:sz w:val="21"/>
                <w:lang w:val="en-US" w:eastAsia="zh-CN"/>
              </w:rPr>
            </w:pPr>
            <w:r>
              <w:rPr>
                <w:rFonts w:hint="eastAsia" w:eastAsia="宋体"/>
                <w:sz w:val="21"/>
                <w:lang w:val="en-US" w:eastAsia="zh-CN"/>
              </w:rPr>
              <w:t>副院长</w:t>
            </w:r>
          </w:p>
        </w:tc>
        <w:tc>
          <w:tcPr>
            <w:tcW w:w="1244" w:type="dxa"/>
            <w:vAlign w:val="center"/>
          </w:tcPr>
          <w:p w14:paraId="7BBDF58D">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083E6E38">
            <w:pPr>
              <w:pStyle w:val="11"/>
              <w:spacing w:before="208" w:line="220" w:lineRule="auto"/>
              <w:ind w:left="115"/>
              <w:jc w:val="center"/>
            </w:pPr>
            <w:r>
              <w:rPr>
                <w:rFonts w:hint="eastAsia"/>
                <w:lang w:val="en-US" w:eastAsia="zh-CN"/>
              </w:rPr>
              <w:t>标准文本结构设计</w:t>
            </w:r>
          </w:p>
        </w:tc>
        <w:tc>
          <w:tcPr>
            <w:tcW w:w="1374" w:type="dxa"/>
            <w:vAlign w:val="center"/>
          </w:tcPr>
          <w:p w14:paraId="5B08C98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13829772812</w:t>
            </w:r>
          </w:p>
        </w:tc>
      </w:tr>
      <w:tr w14:paraId="25974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3664A15">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7</w:t>
            </w:r>
          </w:p>
        </w:tc>
        <w:tc>
          <w:tcPr>
            <w:tcW w:w="855" w:type="dxa"/>
            <w:vAlign w:val="center"/>
          </w:tcPr>
          <w:p w14:paraId="41064A7F">
            <w:pPr>
              <w:pStyle w:val="11"/>
              <w:spacing w:before="208" w:line="219" w:lineRule="auto"/>
              <w:ind w:left="110"/>
              <w:jc w:val="center"/>
              <w:rPr>
                <w:rFonts w:hint="eastAsia"/>
                <w:highlight w:val="none"/>
              </w:rPr>
            </w:pPr>
            <w:r>
              <w:rPr>
                <w:rFonts w:hint="eastAsia"/>
                <w:highlight w:val="none"/>
              </w:rPr>
              <w:t>柯维华</w:t>
            </w:r>
          </w:p>
        </w:tc>
        <w:tc>
          <w:tcPr>
            <w:tcW w:w="1079" w:type="dxa"/>
            <w:vAlign w:val="center"/>
          </w:tcPr>
          <w:p w14:paraId="4745E334">
            <w:pPr>
              <w:pStyle w:val="11"/>
              <w:spacing w:before="65" w:line="220" w:lineRule="auto"/>
              <w:ind w:left="105"/>
              <w:jc w:val="center"/>
              <w:rPr>
                <w:rFonts w:hint="default" w:eastAsia="宋体"/>
                <w:lang w:val="en-US" w:eastAsia="zh-CN"/>
              </w:rPr>
            </w:pPr>
            <w:r>
              <w:rPr>
                <w:rFonts w:hint="eastAsia"/>
                <w:lang w:val="en-US" w:eastAsia="zh-CN"/>
              </w:rPr>
              <w:t>广东省中医药海南医院</w:t>
            </w:r>
          </w:p>
        </w:tc>
        <w:tc>
          <w:tcPr>
            <w:tcW w:w="774" w:type="dxa"/>
            <w:vAlign w:val="center"/>
          </w:tcPr>
          <w:p w14:paraId="46E394F4">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25357472">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163E9CEF">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1083B4C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13379864369</w:t>
            </w:r>
          </w:p>
        </w:tc>
      </w:tr>
      <w:tr w14:paraId="113F8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B9D2926">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8</w:t>
            </w:r>
          </w:p>
        </w:tc>
        <w:tc>
          <w:tcPr>
            <w:tcW w:w="855" w:type="dxa"/>
            <w:vAlign w:val="center"/>
          </w:tcPr>
          <w:p w14:paraId="0F1367E7">
            <w:pPr>
              <w:pStyle w:val="11"/>
              <w:spacing w:before="208" w:line="219" w:lineRule="auto"/>
              <w:ind w:left="110"/>
              <w:jc w:val="center"/>
              <w:rPr>
                <w:rFonts w:hint="eastAsia"/>
                <w:highlight w:val="none"/>
              </w:rPr>
            </w:pPr>
            <w:r>
              <w:rPr>
                <w:rFonts w:hint="eastAsia"/>
                <w:highlight w:val="none"/>
                <w:lang w:val="en-US" w:eastAsia="zh-CN"/>
              </w:rPr>
              <w:t>张达坤</w:t>
            </w:r>
          </w:p>
        </w:tc>
        <w:tc>
          <w:tcPr>
            <w:tcW w:w="1079" w:type="dxa"/>
            <w:vAlign w:val="center"/>
          </w:tcPr>
          <w:p w14:paraId="70ACD265">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3535D86E">
            <w:pPr>
              <w:jc w:val="center"/>
              <w:rPr>
                <w:rFonts w:hint="default" w:ascii="Arial" w:eastAsia="宋体"/>
                <w:sz w:val="21"/>
                <w:lang w:val="en-US" w:eastAsia="zh-CN"/>
              </w:rPr>
            </w:pPr>
            <w:r>
              <w:rPr>
                <w:rFonts w:hint="eastAsia" w:eastAsia="宋体"/>
                <w:sz w:val="21"/>
                <w:lang w:val="en-US" w:eastAsia="zh-CN"/>
              </w:rPr>
              <w:t>肝病科主任</w:t>
            </w:r>
          </w:p>
        </w:tc>
        <w:tc>
          <w:tcPr>
            <w:tcW w:w="1244" w:type="dxa"/>
            <w:vAlign w:val="center"/>
          </w:tcPr>
          <w:p w14:paraId="11519849">
            <w:pPr>
              <w:pStyle w:val="11"/>
              <w:spacing w:before="208" w:line="220" w:lineRule="auto"/>
              <w:ind w:left="109"/>
              <w:jc w:val="center"/>
              <w:rPr>
                <w:rFonts w:hint="default" w:eastAsia="宋体"/>
                <w:lang w:val="en-US" w:eastAsia="zh-CN"/>
              </w:rPr>
            </w:pPr>
            <w:r>
              <w:rPr>
                <w:rFonts w:hint="eastAsia"/>
                <w:lang w:val="en-US" w:eastAsia="zh-CN"/>
              </w:rPr>
              <w:t>主任医师</w:t>
            </w:r>
          </w:p>
        </w:tc>
        <w:tc>
          <w:tcPr>
            <w:tcW w:w="2523" w:type="dxa"/>
            <w:vAlign w:val="center"/>
          </w:tcPr>
          <w:p w14:paraId="6E65DD6A">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050D4B8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18976336670</w:t>
            </w:r>
          </w:p>
        </w:tc>
      </w:tr>
      <w:tr w14:paraId="50BF7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232F07F">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9</w:t>
            </w:r>
          </w:p>
        </w:tc>
        <w:tc>
          <w:tcPr>
            <w:tcW w:w="855" w:type="dxa"/>
            <w:vAlign w:val="center"/>
          </w:tcPr>
          <w:p w14:paraId="7B9BBA22">
            <w:pPr>
              <w:pStyle w:val="11"/>
              <w:spacing w:before="208" w:line="219" w:lineRule="auto"/>
              <w:ind w:left="110"/>
              <w:jc w:val="center"/>
              <w:rPr>
                <w:rFonts w:hint="eastAsia"/>
                <w:highlight w:val="none"/>
                <w:lang w:val="en-US" w:eastAsia="zh-CN"/>
              </w:rPr>
            </w:pPr>
            <w:r>
              <w:rPr>
                <w:rFonts w:hint="eastAsia"/>
                <w:highlight w:val="none"/>
                <w:lang w:val="en-US" w:eastAsia="zh-CN"/>
              </w:rPr>
              <w:t>蔡媛媛</w:t>
            </w:r>
          </w:p>
        </w:tc>
        <w:tc>
          <w:tcPr>
            <w:tcW w:w="1079" w:type="dxa"/>
            <w:vAlign w:val="center"/>
          </w:tcPr>
          <w:p w14:paraId="6D5F15AA">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7DAA2158">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64389D8F">
            <w:pPr>
              <w:pStyle w:val="11"/>
              <w:spacing w:before="208" w:line="220" w:lineRule="auto"/>
              <w:ind w:left="109" w:leftChars="0"/>
              <w:jc w:val="center"/>
            </w:pPr>
            <w:r>
              <w:rPr>
                <w:rFonts w:hint="eastAsia"/>
                <w:lang w:val="en-US" w:eastAsia="zh-CN"/>
              </w:rPr>
              <w:t>主任医师</w:t>
            </w:r>
          </w:p>
        </w:tc>
        <w:tc>
          <w:tcPr>
            <w:tcW w:w="2523" w:type="dxa"/>
            <w:vAlign w:val="center"/>
          </w:tcPr>
          <w:p w14:paraId="49296FD6">
            <w:pPr>
              <w:pStyle w:val="11"/>
              <w:spacing w:before="208" w:line="220" w:lineRule="auto"/>
              <w:ind w:left="115"/>
              <w:jc w:val="center"/>
            </w:pPr>
            <w:r>
              <w:rPr>
                <w:rFonts w:hint="eastAsia"/>
                <w:lang w:val="en-US" w:eastAsia="zh-CN"/>
              </w:rPr>
              <w:t>标准文本编写</w:t>
            </w:r>
          </w:p>
        </w:tc>
        <w:tc>
          <w:tcPr>
            <w:tcW w:w="1374" w:type="dxa"/>
            <w:vAlign w:val="center"/>
          </w:tcPr>
          <w:p w14:paraId="15B1B697">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18089855566</w:t>
            </w:r>
          </w:p>
        </w:tc>
      </w:tr>
      <w:tr w14:paraId="6BD58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1EAC0047">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10</w:t>
            </w:r>
          </w:p>
        </w:tc>
        <w:tc>
          <w:tcPr>
            <w:tcW w:w="855" w:type="dxa"/>
            <w:vAlign w:val="center"/>
          </w:tcPr>
          <w:p w14:paraId="0C012E3C">
            <w:pPr>
              <w:pStyle w:val="11"/>
              <w:spacing w:before="208" w:line="219" w:lineRule="auto"/>
              <w:ind w:left="110"/>
              <w:jc w:val="center"/>
              <w:rPr>
                <w:rFonts w:hint="eastAsia"/>
                <w:highlight w:val="none"/>
                <w:lang w:val="en-US" w:eastAsia="zh-CN"/>
              </w:rPr>
            </w:pPr>
            <w:r>
              <w:rPr>
                <w:rFonts w:hint="eastAsia"/>
                <w:highlight w:val="none"/>
              </w:rPr>
              <w:t>符照鑫</w:t>
            </w:r>
          </w:p>
        </w:tc>
        <w:tc>
          <w:tcPr>
            <w:tcW w:w="1079" w:type="dxa"/>
            <w:vAlign w:val="center"/>
          </w:tcPr>
          <w:p w14:paraId="23904FF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4544247A">
            <w:pPr>
              <w:jc w:val="center"/>
              <w:rPr>
                <w:rFonts w:hint="default" w:ascii="Arial" w:eastAsia="宋体"/>
                <w:sz w:val="21"/>
                <w:lang w:val="en-US" w:eastAsia="zh-CN"/>
              </w:rPr>
            </w:pPr>
            <w:r>
              <w:rPr>
                <w:rFonts w:hint="eastAsia" w:eastAsia="宋体"/>
                <w:sz w:val="21"/>
                <w:lang w:val="en-US" w:eastAsia="zh-CN"/>
              </w:rPr>
              <w:t>药剂科主任</w:t>
            </w:r>
          </w:p>
        </w:tc>
        <w:tc>
          <w:tcPr>
            <w:tcW w:w="1244" w:type="dxa"/>
            <w:vAlign w:val="center"/>
          </w:tcPr>
          <w:p w14:paraId="4E5EF021">
            <w:pPr>
              <w:pStyle w:val="11"/>
              <w:spacing w:before="208" w:line="220" w:lineRule="auto"/>
              <w:ind w:left="109" w:leftChars="0"/>
              <w:jc w:val="center"/>
            </w:pPr>
            <w:r>
              <w:rPr>
                <w:rFonts w:hint="eastAsia"/>
                <w:lang w:val="en-US" w:eastAsia="zh-CN"/>
              </w:rPr>
              <w:t>主管药师</w:t>
            </w:r>
          </w:p>
        </w:tc>
        <w:tc>
          <w:tcPr>
            <w:tcW w:w="2523" w:type="dxa"/>
            <w:vAlign w:val="center"/>
          </w:tcPr>
          <w:p w14:paraId="3A881AAB">
            <w:pPr>
              <w:pStyle w:val="11"/>
              <w:spacing w:before="208" w:line="220" w:lineRule="auto"/>
              <w:ind w:left="115" w:leftChars="0"/>
              <w:jc w:val="center"/>
              <w:rPr>
                <w:rFonts w:hint="default"/>
                <w:lang w:val="en-US"/>
              </w:rPr>
            </w:pPr>
            <w:r>
              <w:rPr>
                <w:rFonts w:hint="eastAsia"/>
                <w:lang w:val="en-US" w:eastAsia="zh-CN"/>
              </w:rPr>
              <w:t>文献资料搜集整理</w:t>
            </w:r>
          </w:p>
        </w:tc>
        <w:tc>
          <w:tcPr>
            <w:tcW w:w="1374" w:type="dxa"/>
            <w:vAlign w:val="center"/>
          </w:tcPr>
          <w:p w14:paraId="153DE531">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18689675067</w:t>
            </w:r>
          </w:p>
        </w:tc>
      </w:tr>
      <w:tr w14:paraId="6D4D8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C31C798">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11</w:t>
            </w:r>
          </w:p>
        </w:tc>
        <w:tc>
          <w:tcPr>
            <w:tcW w:w="855" w:type="dxa"/>
            <w:vAlign w:val="center"/>
          </w:tcPr>
          <w:p w14:paraId="6CBCBA12">
            <w:pPr>
              <w:pStyle w:val="11"/>
              <w:spacing w:before="208" w:line="219" w:lineRule="auto"/>
              <w:ind w:left="110"/>
              <w:jc w:val="center"/>
              <w:rPr>
                <w:rFonts w:hint="eastAsia"/>
                <w:highlight w:val="none"/>
                <w:lang w:val="en-US" w:eastAsia="zh-CN"/>
              </w:rPr>
            </w:pPr>
            <w:r>
              <w:rPr>
                <w:rFonts w:hint="eastAsia"/>
                <w:highlight w:val="none"/>
              </w:rPr>
              <w:t>王珊</w:t>
            </w:r>
          </w:p>
        </w:tc>
        <w:tc>
          <w:tcPr>
            <w:tcW w:w="1079" w:type="dxa"/>
            <w:vAlign w:val="center"/>
          </w:tcPr>
          <w:p w14:paraId="3554566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1D109CB">
            <w:pPr>
              <w:jc w:val="center"/>
              <w:rPr>
                <w:rFonts w:ascii="Arial"/>
                <w:sz w:val="21"/>
              </w:rPr>
            </w:pPr>
            <w:r>
              <w:rPr>
                <w:rFonts w:hint="eastAsia" w:eastAsia="宋体"/>
                <w:sz w:val="21"/>
                <w:lang w:val="en-US" w:eastAsia="zh-CN"/>
              </w:rPr>
              <w:t>/</w:t>
            </w:r>
          </w:p>
        </w:tc>
        <w:tc>
          <w:tcPr>
            <w:tcW w:w="1244" w:type="dxa"/>
            <w:vAlign w:val="center"/>
          </w:tcPr>
          <w:p w14:paraId="73A9508B">
            <w:pPr>
              <w:pStyle w:val="11"/>
              <w:spacing w:before="208" w:line="220" w:lineRule="auto"/>
              <w:ind w:left="109" w:leftChars="0"/>
              <w:jc w:val="center"/>
              <w:rPr>
                <w:rFonts w:hint="default"/>
                <w:lang w:val="en-US"/>
              </w:rPr>
            </w:pPr>
            <w:r>
              <w:rPr>
                <w:rFonts w:hint="eastAsia"/>
                <w:lang w:val="en-US" w:eastAsia="zh-CN"/>
              </w:rPr>
              <w:t>主治医师</w:t>
            </w:r>
          </w:p>
        </w:tc>
        <w:tc>
          <w:tcPr>
            <w:tcW w:w="2523" w:type="dxa"/>
            <w:vAlign w:val="center"/>
          </w:tcPr>
          <w:p w14:paraId="5E3882FA">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7599969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15595789299</w:t>
            </w:r>
          </w:p>
        </w:tc>
      </w:tr>
      <w:tr w14:paraId="446F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91656D1">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12</w:t>
            </w:r>
          </w:p>
        </w:tc>
        <w:tc>
          <w:tcPr>
            <w:tcW w:w="855" w:type="dxa"/>
            <w:vAlign w:val="center"/>
          </w:tcPr>
          <w:p w14:paraId="0DDC7C0E">
            <w:pPr>
              <w:pStyle w:val="11"/>
              <w:spacing w:before="208" w:line="219" w:lineRule="auto"/>
              <w:ind w:left="110"/>
              <w:jc w:val="center"/>
              <w:rPr>
                <w:rFonts w:hint="eastAsia"/>
                <w:highlight w:val="none"/>
              </w:rPr>
            </w:pPr>
            <w:r>
              <w:rPr>
                <w:rFonts w:hint="eastAsia"/>
                <w:highlight w:val="none"/>
              </w:rPr>
              <w:t>伍小丹</w:t>
            </w:r>
          </w:p>
        </w:tc>
        <w:tc>
          <w:tcPr>
            <w:tcW w:w="1079" w:type="dxa"/>
            <w:vAlign w:val="center"/>
          </w:tcPr>
          <w:p w14:paraId="10A6947C">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CAA4D0A">
            <w:pPr>
              <w:jc w:val="center"/>
              <w:rPr>
                <w:rFonts w:ascii="Arial"/>
                <w:sz w:val="21"/>
              </w:rPr>
            </w:pPr>
            <w:r>
              <w:rPr>
                <w:rFonts w:hint="eastAsia" w:eastAsia="宋体"/>
                <w:sz w:val="21"/>
                <w:lang w:val="en-US" w:eastAsia="zh-CN"/>
              </w:rPr>
              <w:t>/</w:t>
            </w:r>
          </w:p>
        </w:tc>
        <w:tc>
          <w:tcPr>
            <w:tcW w:w="1244" w:type="dxa"/>
            <w:vAlign w:val="center"/>
          </w:tcPr>
          <w:p w14:paraId="3D544989">
            <w:pPr>
              <w:pStyle w:val="11"/>
              <w:spacing w:before="208" w:line="220" w:lineRule="auto"/>
              <w:ind w:left="109" w:leftChars="0"/>
              <w:jc w:val="center"/>
              <w:rPr>
                <w:rFonts w:hint="eastAsia" w:eastAsia="宋体"/>
                <w:lang w:val="en-US" w:eastAsia="zh-CN"/>
              </w:rPr>
            </w:pPr>
            <w:r>
              <w:rPr>
                <w:rFonts w:hint="eastAsia"/>
                <w:lang w:val="en-US" w:eastAsia="zh-CN"/>
              </w:rPr>
              <w:t>主管护师</w:t>
            </w:r>
          </w:p>
        </w:tc>
        <w:tc>
          <w:tcPr>
            <w:tcW w:w="2523" w:type="dxa"/>
            <w:vAlign w:val="center"/>
          </w:tcPr>
          <w:p w14:paraId="551A7D04">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38ADE8D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18976972197</w:t>
            </w:r>
          </w:p>
        </w:tc>
      </w:tr>
      <w:tr w14:paraId="0475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87F2359">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13</w:t>
            </w:r>
          </w:p>
        </w:tc>
        <w:tc>
          <w:tcPr>
            <w:tcW w:w="855" w:type="dxa"/>
            <w:vAlign w:val="center"/>
          </w:tcPr>
          <w:p w14:paraId="03704974">
            <w:pPr>
              <w:pStyle w:val="11"/>
              <w:spacing w:before="208" w:line="219" w:lineRule="auto"/>
              <w:ind w:left="110"/>
              <w:jc w:val="center"/>
              <w:rPr>
                <w:rFonts w:hint="eastAsia"/>
                <w:highlight w:val="none"/>
              </w:rPr>
            </w:pPr>
            <w:r>
              <w:rPr>
                <w:rFonts w:hint="eastAsia"/>
                <w:highlight w:val="none"/>
                <w:shd w:val="clear"/>
              </w:rPr>
              <w:t>赖名殷</w:t>
            </w:r>
          </w:p>
        </w:tc>
        <w:tc>
          <w:tcPr>
            <w:tcW w:w="1079" w:type="dxa"/>
            <w:vAlign w:val="center"/>
          </w:tcPr>
          <w:p w14:paraId="1638C2C2">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0C9BFC0E">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39C064FA">
            <w:pPr>
              <w:pStyle w:val="11"/>
              <w:spacing w:before="208" w:line="220" w:lineRule="auto"/>
              <w:ind w:left="109"/>
              <w:jc w:val="center"/>
              <w:rPr>
                <w:rFonts w:hint="default" w:eastAsia="宋体"/>
                <w:lang w:val="en-US" w:eastAsia="zh-CN"/>
              </w:rPr>
            </w:pPr>
            <w:r>
              <w:rPr>
                <w:rFonts w:hint="eastAsia"/>
                <w:lang w:val="en-US" w:eastAsia="zh-CN"/>
              </w:rPr>
              <w:t>讲师</w:t>
            </w:r>
          </w:p>
        </w:tc>
        <w:tc>
          <w:tcPr>
            <w:tcW w:w="2523" w:type="dxa"/>
            <w:vAlign w:val="center"/>
          </w:tcPr>
          <w:p w14:paraId="5C5A62FE">
            <w:pPr>
              <w:pStyle w:val="11"/>
              <w:spacing w:before="208" w:line="220" w:lineRule="auto"/>
              <w:ind w:left="115"/>
              <w:jc w:val="center"/>
            </w:pPr>
            <w:r>
              <w:rPr>
                <w:rFonts w:hint="eastAsia"/>
                <w:lang w:val="en-US" w:eastAsia="zh-CN"/>
              </w:rPr>
              <w:t>文献资料搜集整理</w:t>
            </w:r>
          </w:p>
        </w:tc>
        <w:tc>
          <w:tcPr>
            <w:tcW w:w="1374" w:type="dxa"/>
            <w:vAlign w:val="center"/>
          </w:tcPr>
          <w:p w14:paraId="6D4BC32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13807565666</w:t>
            </w:r>
          </w:p>
        </w:tc>
      </w:tr>
      <w:tr w14:paraId="07B2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29A1494E">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14</w:t>
            </w:r>
          </w:p>
        </w:tc>
        <w:tc>
          <w:tcPr>
            <w:tcW w:w="855" w:type="dxa"/>
            <w:vAlign w:val="center"/>
          </w:tcPr>
          <w:p w14:paraId="02A4BF39">
            <w:pPr>
              <w:pStyle w:val="11"/>
              <w:spacing w:before="208" w:line="219" w:lineRule="auto"/>
              <w:ind w:left="110"/>
              <w:jc w:val="center"/>
              <w:rPr>
                <w:rFonts w:hint="eastAsia"/>
                <w:highlight w:val="none"/>
              </w:rPr>
            </w:pPr>
            <w:r>
              <w:rPr>
                <w:rFonts w:hint="eastAsia"/>
                <w:highlight w:val="none"/>
              </w:rPr>
              <w:t>王开琼</w:t>
            </w:r>
          </w:p>
        </w:tc>
        <w:tc>
          <w:tcPr>
            <w:tcW w:w="1079" w:type="dxa"/>
            <w:vAlign w:val="center"/>
          </w:tcPr>
          <w:p w14:paraId="0D2F0F48">
            <w:pPr>
              <w:pStyle w:val="11"/>
              <w:spacing w:before="65" w:line="220" w:lineRule="auto"/>
              <w:ind w:left="105"/>
              <w:jc w:val="center"/>
              <w:rPr>
                <w:rFonts w:hint="default" w:eastAsia="宋体"/>
                <w:lang w:val="en-US" w:eastAsia="zh-CN"/>
              </w:rPr>
            </w:pPr>
            <w:r>
              <w:rPr>
                <w:rFonts w:hint="eastAsia"/>
                <w:lang w:val="en-US" w:eastAsia="zh-CN"/>
              </w:rPr>
              <w:t>白沙县人民医院</w:t>
            </w:r>
          </w:p>
        </w:tc>
        <w:tc>
          <w:tcPr>
            <w:tcW w:w="774" w:type="dxa"/>
            <w:vAlign w:val="center"/>
          </w:tcPr>
          <w:p w14:paraId="713B51B1">
            <w:pPr>
              <w:jc w:val="center"/>
              <w:rPr>
                <w:rFonts w:hint="eastAsia" w:ascii="Arial" w:eastAsia="宋体"/>
                <w:sz w:val="21"/>
                <w:lang w:val="en-US" w:eastAsia="zh-CN"/>
              </w:rPr>
            </w:pPr>
            <w:r>
              <w:rPr>
                <w:rFonts w:hint="eastAsia" w:eastAsia="宋体"/>
                <w:sz w:val="21"/>
                <w:lang w:val="en-US" w:eastAsia="zh-CN"/>
              </w:rPr>
              <w:t>院长</w:t>
            </w:r>
          </w:p>
        </w:tc>
        <w:tc>
          <w:tcPr>
            <w:tcW w:w="1244" w:type="dxa"/>
            <w:vAlign w:val="center"/>
          </w:tcPr>
          <w:p w14:paraId="1DF7D402">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64CB9CA9">
            <w:pPr>
              <w:pStyle w:val="11"/>
              <w:spacing w:before="208" w:line="220" w:lineRule="auto"/>
              <w:ind w:left="115"/>
              <w:jc w:val="center"/>
            </w:pPr>
            <w:r>
              <w:rPr>
                <w:rFonts w:hint="eastAsia"/>
                <w:lang w:val="en-US" w:eastAsia="zh-CN"/>
              </w:rPr>
              <w:t>标准文本编写</w:t>
            </w:r>
          </w:p>
        </w:tc>
        <w:tc>
          <w:tcPr>
            <w:tcW w:w="1374" w:type="dxa"/>
            <w:vAlign w:val="center"/>
          </w:tcPr>
          <w:p w14:paraId="40C1808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13389897337</w:t>
            </w:r>
          </w:p>
        </w:tc>
      </w:tr>
      <w:tr w14:paraId="009F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A6AFE73">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15</w:t>
            </w:r>
          </w:p>
        </w:tc>
        <w:tc>
          <w:tcPr>
            <w:tcW w:w="855" w:type="dxa"/>
            <w:vAlign w:val="center"/>
          </w:tcPr>
          <w:p w14:paraId="1936ABB7">
            <w:pPr>
              <w:pStyle w:val="11"/>
              <w:spacing w:before="208" w:line="219" w:lineRule="auto"/>
              <w:ind w:left="110"/>
              <w:jc w:val="center"/>
              <w:rPr>
                <w:rFonts w:hint="eastAsia"/>
                <w:highlight w:val="none"/>
              </w:rPr>
            </w:pPr>
            <w:r>
              <w:rPr>
                <w:rFonts w:hint="eastAsia"/>
                <w:highlight w:val="none"/>
              </w:rPr>
              <w:t>符建人</w:t>
            </w:r>
          </w:p>
        </w:tc>
        <w:tc>
          <w:tcPr>
            <w:tcW w:w="1079" w:type="dxa"/>
            <w:vAlign w:val="center"/>
          </w:tcPr>
          <w:p w14:paraId="35417C85">
            <w:pPr>
              <w:pStyle w:val="11"/>
              <w:spacing w:before="65" w:line="220" w:lineRule="auto"/>
              <w:ind w:left="105"/>
              <w:jc w:val="center"/>
            </w:pPr>
            <w:r>
              <w:rPr>
                <w:rFonts w:hint="eastAsia"/>
                <w:lang w:val="en-US" w:eastAsia="zh-CN"/>
              </w:rPr>
              <w:t>白沙县人民医院</w:t>
            </w:r>
          </w:p>
        </w:tc>
        <w:tc>
          <w:tcPr>
            <w:tcW w:w="774" w:type="dxa"/>
            <w:vAlign w:val="center"/>
          </w:tcPr>
          <w:p w14:paraId="16D01836">
            <w:pPr>
              <w:jc w:val="center"/>
              <w:rPr>
                <w:rFonts w:hint="default" w:ascii="Arial" w:eastAsia="宋体"/>
                <w:sz w:val="21"/>
                <w:lang w:val="en-US" w:eastAsia="zh-CN"/>
              </w:rPr>
            </w:pPr>
            <w:r>
              <w:rPr>
                <w:rFonts w:hint="eastAsia" w:eastAsia="宋体"/>
                <w:sz w:val="21"/>
                <w:lang w:val="en-US" w:eastAsia="zh-CN"/>
              </w:rPr>
              <w:t>黎族医药示范体验中心负责人</w:t>
            </w:r>
          </w:p>
        </w:tc>
        <w:tc>
          <w:tcPr>
            <w:tcW w:w="1244" w:type="dxa"/>
            <w:vAlign w:val="center"/>
          </w:tcPr>
          <w:p w14:paraId="4A9FACB1">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3F3A90E7">
            <w:pPr>
              <w:pStyle w:val="11"/>
              <w:spacing w:before="208" w:line="220" w:lineRule="auto"/>
              <w:ind w:left="115"/>
              <w:jc w:val="center"/>
            </w:pPr>
            <w:r>
              <w:rPr>
                <w:rFonts w:hint="eastAsia"/>
                <w:lang w:val="en-US" w:eastAsia="zh-CN"/>
              </w:rPr>
              <w:t>标准文本编写</w:t>
            </w:r>
          </w:p>
        </w:tc>
        <w:tc>
          <w:tcPr>
            <w:tcW w:w="1374" w:type="dxa"/>
            <w:vAlign w:val="center"/>
          </w:tcPr>
          <w:p w14:paraId="5B59127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13976518963</w:t>
            </w:r>
          </w:p>
        </w:tc>
      </w:tr>
      <w:tr w14:paraId="394ED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22D237D3">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w:t>
            </w:r>
          </w:p>
        </w:tc>
        <w:tc>
          <w:tcPr>
            <w:tcW w:w="855" w:type="dxa"/>
            <w:vAlign w:val="center"/>
          </w:tcPr>
          <w:p w14:paraId="40EA2759">
            <w:pPr>
              <w:pStyle w:val="11"/>
              <w:spacing w:before="208" w:line="219" w:lineRule="auto"/>
              <w:ind w:left="110"/>
              <w:jc w:val="center"/>
              <w:rPr>
                <w:rFonts w:hint="eastAsia"/>
                <w:highlight w:val="none"/>
              </w:rPr>
            </w:pPr>
            <w:r>
              <w:rPr>
                <w:rFonts w:hint="eastAsia"/>
                <w:highlight w:val="none"/>
                <w:lang w:val="en-US" w:eastAsia="zh-CN"/>
              </w:rPr>
              <w:t>陈星余</w:t>
            </w:r>
          </w:p>
        </w:tc>
        <w:tc>
          <w:tcPr>
            <w:tcW w:w="1079" w:type="dxa"/>
            <w:vAlign w:val="center"/>
          </w:tcPr>
          <w:p w14:paraId="4C1577C7">
            <w:pPr>
              <w:pStyle w:val="11"/>
              <w:spacing w:before="65" w:line="220" w:lineRule="auto"/>
              <w:ind w:left="105"/>
              <w:jc w:val="center"/>
              <w:rPr>
                <w:rFonts w:hint="default" w:eastAsia="宋体"/>
                <w:lang w:val="en-US" w:eastAsia="zh-CN"/>
              </w:rPr>
            </w:pPr>
            <w:r>
              <w:rPr>
                <w:rFonts w:hint="eastAsia"/>
                <w:lang w:val="en-US" w:eastAsia="zh-CN"/>
              </w:rPr>
              <w:t>澄迈县人民医院</w:t>
            </w:r>
          </w:p>
        </w:tc>
        <w:tc>
          <w:tcPr>
            <w:tcW w:w="774" w:type="dxa"/>
            <w:vAlign w:val="center"/>
          </w:tcPr>
          <w:p w14:paraId="4D6D9DCB">
            <w:pPr>
              <w:jc w:val="center"/>
              <w:rPr>
                <w:rFonts w:hint="default" w:ascii="Arial" w:eastAsia="宋体"/>
                <w:sz w:val="21"/>
                <w:lang w:val="en-US" w:eastAsia="zh-CN"/>
              </w:rPr>
            </w:pPr>
            <w:r>
              <w:rPr>
                <w:rFonts w:hint="eastAsia" w:eastAsia="宋体"/>
                <w:sz w:val="21"/>
                <w:lang w:val="en-US" w:eastAsia="zh-CN"/>
              </w:rPr>
              <w:t>中医科主任</w:t>
            </w:r>
          </w:p>
        </w:tc>
        <w:tc>
          <w:tcPr>
            <w:tcW w:w="1244" w:type="dxa"/>
            <w:vAlign w:val="center"/>
          </w:tcPr>
          <w:p w14:paraId="71CCB54C">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55316213">
            <w:pPr>
              <w:pStyle w:val="11"/>
              <w:spacing w:before="208" w:line="220" w:lineRule="auto"/>
              <w:ind w:left="115"/>
              <w:jc w:val="center"/>
            </w:pPr>
            <w:r>
              <w:rPr>
                <w:rFonts w:hint="eastAsia"/>
                <w:lang w:val="en-US" w:eastAsia="zh-CN"/>
              </w:rPr>
              <w:t>文献资料搜集整理</w:t>
            </w:r>
          </w:p>
        </w:tc>
        <w:tc>
          <w:tcPr>
            <w:tcW w:w="1374" w:type="dxa"/>
            <w:vAlign w:val="center"/>
          </w:tcPr>
          <w:p w14:paraId="1929C6F2">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18689602512</w:t>
            </w:r>
          </w:p>
        </w:tc>
      </w:tr>
      <w:tr w14:paraId="7A454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168155B1">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17</w:t>
            </w:r>
          </w:p>
        </w:tc>
        <w:tc>
          <w:tcPr>
            <w:tcW w:w="855" w:type="dxa"/>
            <w:vAlign w:val="center"/>
          </w:tcPr>
          <w:p w14:paraId="1447B82D">
            <w:pPr>
              <w:pStyle w:val="11"/>
              <w:spacing w:before="208" w:line="219" w:lineRule="auto"/>
              <w:ind w:left="110"/>
              <w:jc w:val="center"/>
              <w:rPr>
                <w:rFonts w:hint="default"/>
                <w:highlight w:val="none"/>
                <w:lang w:val="en-US" w:eastAsia="zh-CN"/>
              </w:rPr>
            </w:pPr>
            <w:r>
              <w:rPr>
                <w:rFonts w:hint="eastAsia"/>
                <w:highlight w:val="none"/>
                <w:lang w:val="en-US" w:eastAsia="zh-CN"/>
              </w:rPr>
              <w:t>王立春</w:t>
            </w:r>
          </w:p>
        </w:tc>
        <w:tc>
          <w:tcPr>
            <w:tcW w:w="1079" w:type="dxa"/>
            <w:vAlign w:val="center"/>
          </w:tcPr>
          <w:p w14:paraId="552ADA14">
            <w:pPr>
              <w:pStyle w:val="11"/>
              <w:spacing w:before="65" w:line="220" w:lineRule="auto"/>
              <w:ind w:left="105"/>
              <w:jc w:val="center"/>
              <w:rPr>
                <w:rFonts w:hint="default"/>
                <w:lang w:val="en-US" w:eastAsia="zh-CN"/>
              </w:rPr>
            </w:pPr>
            <w:r>
              <w:rPr>
                <w:rFonts w:hint="eastAsia"/>
                <w:lang w:val="en-US" w:eastAsia="zh-CN"/>
              </w:rPr>
              <w:t>广东省中医院海南医院</w:t>
            </w:r>
          </w:p>
        </w:tc>
        <w:tc>
          <w:tcPr>
            <w:tcW w:w="774" w:type="dxa"/>
            <w:vAlign w:val="center"/>
          </w:tcPr>
          <w:p w14:paraId="74FBE238">
            <w:pPr>
              <w:jc w:val="center"/>
              <w:rPr>
                <w:rFonts w:hint="default" w:eastAsia="宋体"/>
                <w:sz w:val="21"/>
                <w:lang w:val="en-US" w:eastAsia="zh-CN"/>
              </w:rPr>
            </w:pPr>
            <w:r>
              <w:rPr>
                <w:rFonts w:hint="eastAsia" w:eastAsia="宋体"/>
                <w:sz w:val="21"/>
                <w:lang w:val="en-US" w:eastAsia="zh-CN"/>
              </w:rPr>
              <w:t>/</w:t>
            </w:r>
          </w:p>
        </w:tc>
        <w:tc>
          <w:tcPr>
            <w:tcW w:w="1244" w:type="dxa"/>
            <w:vAlign w:val="center"/>
          </w:tcPr>
          <w:p w14:paraId="171E17FE">
            <w:pPr>
              <w:pStyle w:val="11"/>
              <w:spacing w:before="208" w:line="220" w:lineRule="auto"/>
              <w:ind w:left="109"/>
              <w:jc w:val="center"/>
              <w:rPr>
                <w:rFonts w:hint="default"/>
                <w:lang w:val="en-US" w:eastAsia="zh-CN"/>
              </w:rPr>
            </w:pPr>
            <w:r>
              <w:rPr>
                <w:rFonts w:hint="eastAsia"/>
                <w:lang w:val="en-US" w:eastAsia="zh-CN"/>
              </w:rPr>
              <w:t>主治中医师</w:t>
            </w:r>
          </w:p>
        </w:tc>
        <w:tc>
          <w:tcPr>
            <w:tcW w:w="2523" w:type="dxa"/>
            <w:vAlign w:val="center"/>
          </w:tcPr>
          <w:p w14:paraId="45432108">
            <w:pPr>
              <w:pStyle w:val="11"/>
              <w:spacing w:before="208" w:line="220" w:lineRule="auto"/>
              <w:ind w:left="115"/>
              <w:jc w:val="center"/>
              <w:rPr>
                <w:rFonts w:hint="eastAsia"/>
                <w:lang w:val="en-US" w:eastAsia="zh-CN"/>
              </w:rPr>
            </w:pPr>
            <w:r>
              <w:rPr>
                <w:rFonts w:hint="eastAsia"/>
                <w:lang w:val="en-US" w:eastAsia="zh-CN"/>
              </w:rPr>
              <w:t>文献资料搜集整理</w:t>
            </w:r>
          </w:p>
        </w:tc>
        <w:tc>
          <w:tcPr>
            <w:tcW w:w="1374" w:type="dxa"/>
            <w:vAlign w:val="center"/>
          </w:tcPr>
          <w:p w14:paraId="3AFC369C">
            <w:pPr>
              <w:spacing w:before="243" w:line="232" w:lineRule="auto"/>
              <w:ind w:left="128"/>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18389376166</w:t>
            </w:r>
          </w:p>
        </w:tc>
      </w:tr>
    </w:tbl>
    <w:p w14:paraId="1110E3EA">
      <w:pPr>
        <w:spacing w:line="70" w:lineRule="exact"/>
      </w:pPr>
    </w:p>
    <w:p w14:paraId="5C63F375">
      <w:pPr>
        <w:spacing w:before="175" w:line="218" w:lineRule="auto"/>
        <w:ind w:left="130"/>
        <w:outlineLvl w:val="0"/>
        <w:rPr>
          <w:rFonts w:ascii="黑体" w:hAnsi="黑体" w:eastAsia="黑体" w:cs="黑体"/>
          <w:sz w:val="28"/>
          <w:szCs w:val="28"/>
        </w:rPr>
      </w:pPr>
      <w:bookmarkStart w:id="1" w:name="_Toc24750"/>
      <w:r>
        <w:rPr>
          <w:rFonts w:ascii="黑体" w:hAnsi="黑体" w:eastAsia="黑体" w:cs="黑体"/>
          <w:spacing w:val="-1"/>
          <w:sz w:val="28"/>
          <w:szCs w:val="28"/>
        </w:rPr>
        <w:t>二、编制情况</w:t>
      </w:r>
      <w:bookmarkEnd w:id="1"/>
    </w:p>
    <w:p w14:paraId="2710F375">
      <w:pPr>
        <w:pStyle w:val="2"/>
        <w:spacing w:before="233" w:line="220" w:lineRule="auto"/>
        <w:ind w:firstLine="466" w:firstLineChars="200"/>
        <w:outlineLvl w:val="1"/>
        <w:rPr>
          <w:b/>
          <w:bCs/>
          <w:spacing w:val="-4"/>
        </w:rPr>
      </w:pPr>
      <w:bookmarkStart w:id="2" w:name="_Toc30074"/>
      <w:r>
        <w:rPr>
          <w:b/>
          <w:bCs/>
          <w:spacing w:val="-4"/>
        </w:rPr>
        <w:t>（一）编制标准的必要性和意义及背景</w:t>
      </w:r>
      <w:bookmarkEnd w:id="2"/>
    </w:p>
    <w:p w14:paraId="4524CD03">
      <w:pPr>
        <w:pStyle w:val="2"/>
        <w:spacing w:before="233" w:line="360" w:lineRule="auto"/>
        <w:ind w:firstLine="480" w:firstLineChars="200"/>
        <w:outlineLvl w:val="9"/>
        <w:rPr>
          <w:rFonts w:hint="eastAsia"/>
        </w:rPr>
      </w:pPr>
      <w:r>
        <w:rPr>
          <w:rFonts w:hint="eastAsia"/>
          <w:lang w:val="en-US" w:eastAsia="zh-CN"/>
        </w:rPr>
        <w:t>编制黎医疗法操作规范标准</w:t>
      </w:r>
      <w:r>
        <w:rPr>
          <w:rFonts w:hint="eastAsia"/>
        </w:rPr>
        <w:t>是贯彻落实国家与地方政策法规的迫切需要。《中华人民共和国中医药法》明确将少数民族医药纳入中医药范畴予以法律保护，强调其传承、创新与发展，并授权地方政府制定具体办法。国家《中医药发展战略规划纲要（2016-2030年）》、《关于加强新时代少数民族医药工作的若干意见》等文件均对加强少数民族医药的挖掘、保护与传承提出明确要求。海南省积极响应，出台《关于促进中医药在海南自由贸易港传承创新发展的实施意见》、《海南省中医药健康服务发展“十四五”规划》等政策，明确提出要大力发展黎药，实施黎族医药传承发展工程。本标准的制定，正是将宏观法律政策精神转化为具体、可操作技术规范的关键步骤，是依法依规推动黎族医药事业发展的具体实践。</w:t>
      </w:r>
    </w:p>
    <w:p w14:paraId="70ABCF09">
      <w:pPr>
        <w:pStyle w:val="2"/>
        <w:spacing w:before="7" w:line="359" w:lineRule="auto"/>
        <w:ind w:left="23" w:right="31" w:firstLine="480"/>
        <w:jc w:val="both"/>
        <w:rPr>
          <w:rFonts w:hint="eastAsia" w:eastAsia="宋体"/>
          <w:lang w:eastAsia="zh-CN"/>
        </w:rPr>
      </w:pPr>
      <w:r>
        <w:rPr>
          <w:rFonts w:hint="eastAsia"/>
          <w:lang w:val="en-US" w:eastAsia="zh-CN"/>
        </w:rPr>
        <w:t>编制本标准</w:t>
      </w:r>
      <w:r>
        <w:rPr>
          <w:rFonts w:hint="eastAsia"/>
        </w:rPr>
        <w:t>是填补黎医特色疗法标准化空白、引领行业健康有序发展的内在要求。目前，我国在民族医药标准化方面已取得一定进展，中国民族医药学会等机构发布了多项少数民族医技术操作规范。在《T/CMAML3-L4-2023第二批少数民族医医疗技术操作规范》中已收录了黎医特色熏蒸和藤灸技术，但针对“黎医蜂疗法”的专门标准仍属空白。这种缺失导致该疗法在技术操作、安全性控制、疗效评价等方面缺乏统一依据，各地操作差异大，存在一定的医疗安全隐患，也阻碍了其科学评价、学术交流与规模化推广。制定本标准，旨在建立一套科学、规范、安全的操作流程，改变“凭经验、各师各法”的局面，引领该疗法从传统经验传承向现代标准规范迈进，保障疗效的稳定性和可重复性</w:t>
      </w:r>
      <w:r>
        <w:rPr>
          <w:rFonts w:hint="eastAsia"/>
          <w:lang w:eastAsia="zh-CN"/>
        </w:rPr>
        <w:t>。</w:t>
      </w:r>
    </w:p>
    <w:p w14:paraId="3AAB85E0">
      <w:pPr>
        <w:pStyle w:val="2"/>
        <w:spacing w:before="7" w:line="359" w:lineRule="auto"/>
        <w:ind w:left="23" w:right="31" w:firstLine="480"/>
        <w:jc w:val="both"/>
        <w:rPr>
          <w:rFonts w:hint="eastAsia"/>
        </w:rPr>
      </w:pPr>
      <w:r>
        <w:rPr>
          <w:rFonts w:hint="eastAsia"/>
          <w:lang w:val="en-US" w:eastAsia="zh-CN"/>
        </w:rPr>
        <w:t>黎医</w:t>
      </w:r>
      <w:r>
        <w:rPr>
          <w:rFonts w:hint="eastAsia"/>
        </w:rPr>
        <w:t>蜂疗法作为一种利用蜂针刺激的治疗手段，其操作专业性、安全性要求极高。本标准严格遵循现代医疗安全理念，在“基本要求”中明确人员资质、手卫生、环境消毒等要求，引用GB 15982、WS/T 311、WS/T 313等国家卫生标准；在“操作流程”中强调知情同意、术前评估、术后留观；在“注意事项”和“慎用症”中详细列出可能的不良反应及处理措施。这些规定将黎医传统经验与现代医学安全规范紧密结合，为从业人员提供了清晰的安全操作指南，能最大程度降低过敏反应、感染等医疗风险，切实保障患者生命健康权益，提升该疗法的公信力和可接受度。</w:t>
      </w:r>
    </w:p>
    <w:p w14:paraId="11BE5793">
      <w:pPr>
        <w:pStyle w:val="2"/>
        <w:spacing w:before="7" w:line="359" w:lineRule="auto"/>
        <w:ind w:left="23" w:right="31" w:firstLine="480"/>
        <w:jc w:val="both"/>
      </w:pPr>
      <w:r>
        <w:rPr>
          <w:rFonts w:hint="eastAsia"/>
          <w:lang w:val="en-US" w:eastAsia="zh-CN"/>
        </w:rPr>
        <w:t>编制本标准亦</w:t>
      </w:r>
      <w:r>
        <w:rPr>
          <w:rFonts w:hint="eastAsia"/>
        </w:rPr>
        <w:t>是促进黎医药传承创新与产业发展的重要引擎。黎医蜂疗法是黎族宝贵的非物质文化遗产。通过标准化手段，对其核心技术进行系统梳理和固化，是对其最有效的“活态”保护与传承，有利于增强民族文化自信。同时，标准化是产业化的基石。本标准的制定与实施，将为蜂疗法的技术培训、资格认定、服务提供、质量控制等提供统一依据，有助于培育规范的市场环境，带动相关人才培养、健康服务、甚至文化旅游等产业链发展，使黎医药特色疗法更好地融入海南自由贸易港大健康产业体系，创造独特的经济、社会与文化价值。</w:t>
      </w:r>
    </w:p>
    <w:p w14:paraId="38E2DE5C">
      <w:pPr>
        <w:pStyle w:val="2"/>
        <w:spacing w:before="1" w:line="218" w:lineRule="auto"/>
        <w:ind w:left="511"/>
        <w:outlineLvl w:val="1"/>
      </w:pPr>
      <w:bookmarkStart w:id="3" w:name="_Toc27400"/>
      <w:r>
        <w:rPr>
          <w:b/>
          <w:bCs/>
          <w:spacing w:val="-5"/>
        </w:rPr>
        <w:t>（二）编制过程简介</w:t>
      </w:r>
      <w:bookmarkEnd w:id="3"/>
    </w:p>
    <w:p w14:paraId="7B8C7D2B">
      <w:pPr>
        <w:pStyle w:val="2"/>
        <w:spacing w:before="162" w:line="290" w:lineRule="auto"/>
        <w:ind w:left="26" w:right="76" w:firstLine="474"/>
      </w:pPr>
      <w:r>
        <w:rPr>
          <w:b/>
          <w:bCs/>
          <w:spacing w:val="-4"/>
        </w:rPr>
        <w:t>1.</w:t>
      </w:r>
      <w:r>
        <w:rPr>
          <w:rFonts w:hint="eastAsia"/>
          <w:b w:val="0"/>
          <w:bCs w:val="0"/>
          <w:spacing w:val="-4"/>
          <w:lang w:val="en-US" w:eastAsia="zh-CN"/>
        </w:rPr>
        <w:t>2025年6月13日，收到《海南省市场监督管理局关于2025年度第一批拟立项地方标准项目的公示》。</w:t>
      </w:r>
      <w:r>
        <w:rPr>
          <w:rFonts w:hint="eastAsia" w:ascii="宋体" w:hAnsi="宋体" w:eastAsia="宋体" w:cs="宋体"/>
          <w:snapToGrid w:val="0"/>
          <w:color w:val="000000"/>
          <w:kern w:val="0"/>
          <w:sz w:val="24"/>
          <w:szCs w:val="24"/>
          <w:lang w:val="en-US" w:eastAsia="zh-CN" w:bidi="ar"/>
        </w:rPr>
        <w:t>成立标准编制小组，成员有</w:t>
      </w:r>
      <w:r>
        <w:rPr>
          <w:rFonts w:hint="eastAsia"/>
          <w:highlight w:val="none"/>
        </w:rPr>
        <w:t>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陈星余、王立春</w:t>
      </w:r>
      <w:r>
        <w:rPr>
          <w:rFonts w:hint="eastAsia" w:ascii="宋体" w:hAnsi="宋体" w:eastAsia="宋体" w:cs="宋体"/>
          <w:snapToGrid w:val="0"/>
          <w:color w:val="000000"/>
          <w:kern w:val="0"/>
          <w:sz w:val="24"/>
          <w:szCs w:val="24"/>
          <w:lang w:val="en-US" w:eastAsia="zh-CN" w:bidi="ar"/>
        </w:rPr>
        <w:t>。</w:t>
      </w:r>
    </w:p>
    <w:p w14:paraId="77BA3E74">
      <w:pPr>
        <w:pStyle w:val="2"/>
        <w:numPr>
          <w:ilvl w:val="0"/>
          <w:numId w:val="3"/>
        </w:numPr>
        <w:spacing w:before="12" w:line="362" w:lineRule="auto"/>
        <w:ind w:left="26" w:right="82" w:firstLine="480"/>
        <w:rPr>
          <w:rFonts w:hint="eastAsia"/>
          <w:spacing w:val="-3"/>
        </w:rPr>
      </w:pPr>
      <w:r>
        <w:rPr>
          <w:rFonts w:hint="eastAsia"/>
          <w:b/>
          <w:bCs/>
          <w:spacing w:val="-2"/>
          <w:lang w:val="en-US" w:eastAsia="zh-CN"/>
        </w:rPr>
        <w:t>标准起草过程</w:t>
      </w:r>
      <w:r>
        <w:rPr>
          <w:rFonts w:hint="eastAsia"/>
          <w:b/>
          <w:bCs/>
          <w:spacing w:val="-2"/>
          <w:lang w:eastAsia="zh-CN"/>
        </w:rPr>
        <w:t>：</w:t>
      </w:r>
      <w:r>
        <w:rPr>
          <w:rFonts w:hint="eastAsia"/>
        </w:rPr>
        <w:t>编制组调研了黎医蜂疗法在国内外的标准化现状，确认了专门标准的缺失。总结了起草单位及相关机构在黎医蜂疗法方面的临床应用经验与技术传承情况。在立项后，编制组对专家评审意见进行了汇总分析，并通过线上线下的形式进行讨论采纳，进一步完善标准草案。</w:t>
      </w:r>
      <w:r>
        <w:rPr>
          <w:rFonts w:hint="eastAsia"/>
          <w:spacing w:val="-3"/>
        </w:rPr>
        <w:t>2025年6月</w:t>
      </w:r>
      <w:r>
        <w:rPr>
          <w:rFonts w:hint="eastAsia"/>
          <w:spacing w:val="-3"/>
          <w:lang w:val="en-US" w:eastAsia="zh-CN"/>
        </w:rPr>
        <w:t>-</w:t>
      </w:r>
      <w:r>
        <w:rPr>
          <w:rFonts w:hint="eastAsia"/>
          <w:spacing w:val="-3"/>
        </w:rPr>
        <w:t>12月，项目起草组召开会议明确分工，广泛查阅文献，汇总临床实践经验，起草完成标准初稿。2026年1月</w:t>
      </w:r>
      <w:r>
        <w:rPr>
          <w:rFonts w:hint="eastAsia"/>
          <w:spacing w:val="-3"/>
          <w:lang w:val="en-US" w:eastAsia="zh-CN"/>
        </w:rPr>
        <w:t>-</w:t>
      </w:r>
      <w:r>
        <w:rPr>
          <w:rFonts w:hint="eastAsia"/>
          <w:spacing w:val="-3"/>
        </w:rPr>
        <w:t>2月，经过进一步调研、专家咨询和研讨，对初稿进行修改，形成《黎医疗法操作规范 蜂疗法》（征求意见稿）及本编制说明。</w:t>
      </w:r>
    </w:p>
    <w:p w14:paraId="4E365966">
      <w:pPr>
        <w:pStyle w:val="2"/>
        <w:spacing w:before="12" w:line="362" w:lineRule="auto"/>
        <w:ind w:left="26" w:right="82" w:firstLine="480"/>
      </w:pPr>
      <w:r>
        <w:rPr>
          <w:rFonts w:hint="eastAsia"/>
          <w:spacing w:val="-3"/>
        </w:rPr>
        <w:t>现将此征求意见稿通过网站、公函等方式征求各位专家、企业、协会及相关单位意见。</w:t>
      </w:r>
    </w:p>
    <w:p w14:paraId="1A08D003">
      <w:pPr>
        <w:pStyle w:val="2"/>
        <w:spacing w:before="1" w:line="218" w:lineRule="auto"/>
        <w:ind w:left="511"/>
        <w:outlineLvl w:val="1"/>
      </w:pPr>
      <w:bookmarkStart w:id="4" w:name="_Toc3256"/>
      <w:r>
        <w:rPr>
          <w:b/>
          <w:bCs/>
          <w:spacing w:val="-2"/>
        </w:rPr>
        <w:t>（三）制定标准的原则和依据，与现行法律法</w:t>
      </w:r>
      <w:r>
        <w:rPr>
          <w:b/>
          <w:bCs/>
          <w:spacing w:val="-3"/>
        </w:rPr>
        <w:t>规、标准的关系</w:t>
      </w:r>
      <w:bookmarkEnd w:id="4"/>
    </w:p>
    <w:p w14:paraId="71CBF296">
      <w:pPr>
        <w:pStyle w:val="2"/>
        <w:spacing w:before="181" w:line="233" w:lineRule="auto"/>
        <w:ind w:left="511"/>
        <w:outlineLvl w:val="2"/>
      </w:pPr>
      <w:r>
        <w:rPr>
          <w:rFonts w:ascii="Times New Roman" w:hAnsi="Times New Roman" w:eastAsia="Times New Roman" w:cs="Times New Roman"/>
          <w:b/>
          <w:bCs/>
          <w:spacing w:val="-9"/>
        </w:rPr>
        <w:t>1</w:t>
      </w:r>
      <w:r>
        <w:rPr>
          <w:rFonts w:ascii="Times New Roman" w:hAnsi="Times New Roman" w:eastAsia="Times New Roman" w:cs="Times New Roman"/>
          <w:b/>
          <w:bCs/>
          <w:spacing w:val="-31"/>
        </w:rPr>
        <w:t xml:space="preserve"> </w:t>
      </w:r>
      <w:r>
        <w:rPr>
          <w:b/>
          <w:bCs/>
          <w:spacing w:val="-9"/>
        </w:rPr>
        <w:t>、编制原则</w:t>
      </w:r>
    </w:p>
    <w:p w14:paraId="7A7C2919">
      <w:pPr>
        <w:pStyle w:val="2"/>
        <w:spacing w:before="166" w:line="233" w:lineRule="auto"/>
        <w:ind w:left="511" w:leftChars="0"/>
        <w:outlineLvl w:val="3"/>
      </w:pPr>
      <w:r>
        <w:rPr>
          <w:spacing w:val="-4"/>
        </w:rPr>
        <w:t>（</w:t>
      </w:r>
      <w:r>
        <w:rPr>
          <w:rFonts w:ascii="Times New Roman" w:hAnsi="Times New Roman" w:eastAsia="Times New Roman" w:cs="Times New Roman"/>
          <w:spacing w:val="-4"/>
        </w:rPr>
        <w:t>1</w:t>
      </w:r>
      <w:r>
        <w:rPr>
          <w:spacing w:val="-4"/>
        </w:rPr>
        <w:t>）科学性</w:t>
      </w:r>
    </w:p>
    <w:p w14:paraId="40683C04">
      <w:pPr>
        <w:pStyle w:val="2"/>
        <w:spacing w:before="161" w:line="362" w:lineRule="auto"/>
        <w:ind w:left="41" w:right="86" w:firstLine="464"/>
      </w:pPr>
      <w:r>
        <w:rPr>
          <w:rFonts w:hint="eastAsia"/>
        </w:rPr>
        <w:t>本标准在充分调研和总结临床实践经验的基础上制定，确保技术内容的科学、准确。</w:t>
      </w:r>
    </w:p>
    <w:p w14:paraId="0E5D8362">
      <w:pPr>
        <w:pStyle w:val="2"/>
        <w:spacing w:line="234" w:lineRule="auto"/>
        <w:ind w:left="511" w:leftChars="0"/>
        <w:outlineLvl w:val="3"/>
      </w:pPr>
      <w:r>
        <w:rPr>
          <w:spacing w:val="-4"/>
        </w:rPr>
        <w:t>（</w:t>
      </w:r>
      <w:r>
        <w:rPr>
          <w:rFonts w:ascii="Times New Roman" w:hAnsi="Times New Roman" w:eastAsia="Times New Roman" w:cs="Times New Roman"/>
          <w:spacing w:val="-4"/>
        </w:rPr>
        <w:t>2</w:t>
      </w:r>
      <w:r>
        <w:rPr>
          <w:spacing w:val="-4"/>
        </w:rPr>
        <w:t>）可行性</w:t>
      </w:r>
    </w:p>
    <w:p w14:paraId="19BD6E95">
      <w:pPr>
        <w:pStyle w:val="2"/>
        <w:spacing w:before="163" w:line="360" w:lineRule="auto"/>
        <w:ind w:left="26" w:right="87" w:firstLine="479"/>
      </w:pPr>
      <w:r>
        <w:rPr>
          <w:rFonts w:hint="eastAsia"/>
        </w:rPr>
        <w:t>标准编制兼顾与相关领域标准的协调性，合理引用已有标准，操作流程设计充分考虑现有医疗条件与从业人员技能，确保标准可落地、可操作。</w:t>
      </w:r>
    </w:p>
    <w:p w14:paraId="1CEF5149">
      <w:pPr>
        <w:pStyle w:val="2"/>
        <w:numPr>
          <w:ilvl w:val="0"/>
          <w:numId w:val="4"/>
        </w:numPr>
        <w:spacing w:before="1" w:line="234" w:lineRule="auto"/>
        <w:ind w:left="511" w:leftChars="0"/>
        <w:outlineLvl w:val="3"/>
        <w:rPr>
          <w:spacing w:val="-4"/>
        </w:rPr>
      </w:pPr>
      <w:r>
        <w:rPr>
          <w:spacing w:val="-4"/>
        </w:rPr>
        <w:t>规范性</w:t>
      </w:r>
    </w:p>
    <w:p w14:paraId="0C80CCD3">
      <w:pPr>
        <w:pStyle w:val="2"/>
        <w:spacing w:before="163" w:line="360" w:lineRule="auto"/>
        <w:ind w:right="87" w:firstLine="480" w:firstLineChars="200"/>
        <w:rPr>
          <w:spacing w:val="-4"/>
        </w:rPr>
      </w:pPr>
      <w:r>
        <w:rPr>
          <w:rFonts w:hint="eastAsia"/>
        </w:rPr>
        <w:t>严格依据GB/T 1.1-2020《标准化工作导则 第1部分：标准化文件的结构和起草规则》及DB46/T 74-2021《地方标准制修订工作规范》进行编写，确保文本结构清晰、表述严谨。</w:t>
      </w:r>
    </w:p>
    <w:p w14:paraId="52CE5323">
      <w:pPr>
        <w:pStyle w:val="2"/>
        <w:spacing w:before="15" w:line="233" w:lineRule="auto"/>
        <w:ind w:left="501"/>
        <w:outlineLvl w:val="2"/>
      </w:pPr>
      <w:r>
        <w:rPr>
          <w:rFonts w:ascii="Times New Roman" w:hAnsi="Times New Roman" w:eastAsia="Times New Roman" w:cs="Times New Roman"/>
          <w:b/>
          <w:bCs/>
          <w:spacing w:val="-4"/>
        </w:rPr>
        <w:t>2</w:t>
      </w:r>
      <w:r>
        <w:rPr>
          <w:rFonts w:ascii="Times New Roman" w:hAnsi="Times New Roman" w:eastAsia="Times New Roman" w:cs="Times New Roman"/>
          <w:b/>
          <w:bCs/>
          <w:spacing w:val="-34"/>
        </w:rPr>
        <w:t xml:space="preserve"> </w:t>
      </w:r>
      <w:r>
        <w:rPr>
          <w:b/>
          <w:bCs/>
          <w:spacing w:val="-4"/>
        </w:rPr>
        <w:t>、确定本标准主要内容的依据</w:t>
      </w:r>
    </w:p>
    <w:p w14:paraId="0AE13315">
      <w:pPr>
        <w:pStyle w:val="2"/>
        <w:spacing w:before="189" w:line="213" w:lineRule="auto"/>
        <w:ind w:left="514"/>
        <w:rPr>
          <w:rFonts w:hint="eastAsia"/>
        </w:rPr>
      </w:pPr>
      <w:r>
        <w:rPr>
          <w:rFonts w:hint="eastAsia"/>
          <w:lang w:val="en-US" w:eastAsia="zh-CN"/>
        </w:rPr>
        <w:t>[1]</w:t>
      </w:r>
      <w:r>
        <w:rPr>
          <w:rFonts w:hint="eastAsia"/>
        </w:rPr>
        <w:t xml:space="preserve">GB 15982 医院消毒卫生标准 </w:t>
      </w:r>
    </w:p>
    <w:p w14:paraId="70BB65D0">
      <w:pPr>
        <w:pStyle w:val="2"/>
        <w:spacing w:before="189" w:line="213" w:lineRule="auto"/>
        <w:ind w:left="514"/>
        <w:rPr>
          <w:rFonts w:hint="eastAsia"/>
        </w:rPr>
      </w:pPr>
      <w:r>
        <w:rPr>
          <w:rFonts w:hint="eastAsia"/>
          <w:lang w:val="en-US" w:eastAsia="zh-CN"/>
        </w:rPr>
        <w:t>[2]</w:t>
      </w:r>
      <w:r>
        <w:rPr>
          <w:rFonts w:hint="eastAsia"/>
        </w:rPr>
        <w:t xml:space="preserve">WS/T 311 医院隔离技术规范 </w:t>
      </w:r>
    </w:p>
    <w:p w14:paraId="1C2ABB1D">
      <w:pPr>
        <w:pStyle w:val="2"/>
        <w:spacing w:before="189" w:line="213" w:lineRule="auto"/>
        <w:ind w:left="514"/>
        <w:rPr>
          <w:rFonts w:hint="eastAsia"/>
        </w:rPr>
      </w:pPr>
      <w:r>
        <w:rPr>
          <w:rFonts w:hint="eastAsia"/>
          <w:lang w:val="en-US" w:eastAsia="zh-CN"/>
        </w:rPr>
        <w:t>[3]</w:t>
      </w:r>
      <w:r>
        <w:rPr>
          <w:rFonts w:hint="eastAsia"/>
        </w:rPr>
        <w:t>WS/T 313 医务人员手卫生规范</w:t>
      </w:r>
    </w:p>
    <w:p w14:paraId="47B84B56">
      <w:pPr>
        <w:pStyle w:val="2"/>
        <w:spacing w:before="189" w:line="213" w:lineRule="auto"/>
        <w:ind w:left="514"/>
      </w:pPr>
      <w:r>
        <w:rPr>
          <w:rFonts w:hint="eastAsia"/>
          <w:lang w:val="en-US" w:eastAsia="zh-CN"/>
        </w:rPr>
        <w:t>[4]</w:t>
      </w:r>
      <w:r>
        <w:rPr>
          <w:rFonts w:hint="eastAsia"/>
        </w:rPr>
        <w:t>GB/T 12346 经穴名称与定位</w:t>
      </w:r>
    </w:p>
    <w:p w14:paraId="10B64CE6">
      <w:pPr>
        <w:pStyle w:val="2"/>
        <w:spacing w:before="194" w:line="233" w:lineRule="auto"/>
        <w:ind w:left="499"/>
        <w:outlineLvl w:val="2"/>
      </w:pPr>
      <w:r>
        <w:rPr>
          <w:rFonts w:ascii="Times New Roman" w:hAnsi="Times New Roman" w:eastAsia="Times New Roman" w:cs="Times New Roman"/>
          <w:b/>
          <w:bCs/>
          <w:spacing w:val="-4"/>
        </w:rPr>
        <w:t>3</w:t>
      </w:r>
      <w:r>
        <w:rPr>
          <w:rFonts w:ascii="Times New Roman" w:hAnsi="Times New Roman" w:eastAsia="Times New Roman" w:cs="Times New Roman"/>
          <w:b/>
          <w:bCs/>
          <w:spacing w:val="-26"/>
        </w:rPr>
        <w:t xml:space="preserve"> </w:t>
      </w:r>
      <w:r>
        <w:rPr>
          <w:b/>
          <w:bCs/>
          <w:spacing w:val="-4"/>
        </w:rPr>
        <w:t>、与现行法律法规、标准的关系</w:t>
      </w:r>
    </w:p>
    <w:p w14:paraId="0793B511">
      <w:pPr>
        <w:pStyle w:val="2"/>
        <w:spacing w:before="163" w:line="360" w:lineRule="auto"/>
        <w:ind w:left="26" w:right="258" w:firstLine="479"/>
        <w:jc w:val="both"/>
      </w:pPr>
      <w:r>
        <w:rPr>
          <w:rFonts w:hint="eastAsia"/>
        </w:rPr>
        <w:t>本标准符合我国现行法律要求，遵守《中华人民共和国标准化法》、《中华人民共和国中医药法》等相关法律，遵守《中华人民共和国标准化法实施条例》、《国家标准管理办法》等相关法规，与现行的法规和强制性标准无相悖之处。</w:t>
      </w:r>
    </w:p>
    <w:p w14:paraId="732CF7A0">
      <w:pPr>
        <w:pStyle w:val="2"/>
        <w:spacing w:before="1" w:line="219" w:lineRule="auto"/>
        <w:ind w:left="511"/>
        <w:outlineLvl w:val="1"/>
      </w:pPr>
      <w:bookmarkStart w:id="5" w:name="_Toc1545"/>
      <w:r>
        <w:rPr>
          <w:b/>
          <w:bCs/>
          <w:spacing w:val="-3"/>
        </w:rPr>
        <w:t>（四）主要条款的说明，主要技术指标、参数、试验验证的论述</w:t>
      </w:r>
      <w:bookmarkEnd w:id="5"/>
    </w:p>
    <w:p w14:paraId="04A2D855">
      <w:pPr>
        <w:pStyle w:val="2"/>
        <w:spacing w:before="185" w:line="233" w:lineRule="auto"/>
        <w:ind w:left="511"/>
        <w:outlineLvl w:val="2"/>
      </w:pPr>
      <w:r>
        <w:rPr>
          <w:rFonts w:ascii="Times New Roman" w:hAnsi="Times New Roman" w:eastAsia="Times New Roman" w:cs="Times New Roman"/>
          <w:b/>
          <w:bCs/>
          <w:spacing w:val="-6"/>
        </w:rPr>
        <w:t>1</w:t>
      </w:r>
      <w:r>
        <w:rPr>
          <w:b/>
          <w:bCs/>
          <w:spacing w:val="-6"/>
        </w:rPr>
        <w:t>、主要条款</w:t>
      </w:r>
    </w:p>
    <w:p w14:paraId="1E7113DB">
      <w:pPr>
        <w:pStyle w:val="2"/>
        <w:spacing w:before="164" w:line="360" w:lineRule="auto"/>
        <w:ind w:left="7" w:firstLine="497"/>
      </w:pPr>
      <w:r>
        <w:rPr>
          <w:rFonts w:hint="eastAsia"/>
        </w:rPr>
        <w:t>本标准的章节由范围、规范性引用文件、术语和定义、基本要求、适应症</w:t>
      </w:r>
      <w:r>
        <w:rPr>
          <w:rFonts w:hint="eastAsia"/>
          <w:lang w:eastAsia="zh-CN"/>
        </w:rPr>
        <w:t>、</w:t>
      </w:r>
      <w:r>
        <w:rPr>
          <w:rFonts w:hint="eastAsia"/>
        </w:rPr>
        <w:t>禁忌症</w:t>
      </w:r>
      <w:r>
        <w:rPr>
          <w:rFonts w:hint="eastAsia"/>
          <w:lang w:eastAsia="zh-CN"/>
        </w:rPr>
        <w:t>、</w:t>
      </w:r>
      <w:r>
        <w:rPr>
          <w:rFonts w:hint="eastAsia"/>
          <w:lang w:val="en-US" w:eastAsia="zh-CN"/>
        </w:rPr>
        <w:t>慎用症</w:t>
      </w:r>
      <w:r>
        <w:rPr>
          <w:rFonts w:hint="eastAsia"/>
        </w:rPr>
        <w:t>、操作流程、注意事项组成。其中“基本要求”、“适应症</w:t>
      </w:r>
      <w:r>
        <w:rPr>
          <w:rFonts w:hint="eastAsia"/>
          <w:lang w:eastAsia="zh-CN"/>
        </w:rPr>
        <w:t>、</w:t>
      </w:r>
      <w:r>
        <w:rPr>
          <w:rFonts w:hint="eastAsia"/>
        </w:rPr>
        <w:t>禁忌症</w:t>
      </w:r>
      <w:r>
        <w:rPr>
          <w:rFonts w:hint="eastAsia"/>
          <w:lang w:eastAsia="zh-CN"/>
        </w:rPr>
        <w:t>、</w:t>
      </w:r>
      <w:r>
        <w:rPr>
          <w:rFonts w:hint="eastAsia"/>
          <w:lang w:val="en-US" w:eastAsia="zh-CN"/>
        </w:rPr>
        <w:t>慎用症</w:t>
      </w:r>
      <w:r>
        <w:rPr>
          <w:rFonts w:hint="eastAsia"/>
        </w:rPr>
        <w:t>”、“操作流程”</w:t>
      </w:r>
      <w:r>
        <w:rPr>
          <w:rFonts w:hint="eastAsia"/>
          <w:lang w:eastAsia="zh-CN"/>
        </w:rPr>
        <w:t>、“</w:t>
      </w:r>
      <w:r>
        <w:rPr>
          <w:rFonts w:hint="eastAsia"/>
          <w:lang w:val="en-US" w:eastAsia="zh-CN"/>
        </w:rPr>
        <w:t>注意事项</w:t>
      </w:r>
      <w:r>
        <w:rPr>
          <w:rFonts w:hint="eastAsia"/>
          <w:lang w:eastAsia="zh-CN"/>
        </w:rPr>
        <w:t>”</w:t>
      </w:r>
      <w:r>
        <w:rPr>
          <w:rFonts w:hint="eastAsia"/>
        </w:rPr>
        <w:t>是本标准的主要技术内容。</w:t>
      </w:r>
    </w:p>
    <w:p w14:paraId="2D809697">
      <w:pPr>
        <w:pStyle w:val="2"/>
        <w:spacing w:line="233" w:lineRule="auto"/>
        <w:ind w:left="501"/>
        <w:outlineLvl w:val="2"/>
        <w:rPr>
          <w:rFonts w:hint="eastAsia"/>
        </w:rPr>
      </w:pPr>
      <w:r>
        <w:rPr>
          <w:rFonts w:ascii="Times New Roman" w:hAnsi="Times New Roman" w:eastAsia="Times New Roman" w:cs="Times New Roman"/>
          <w:b/>
          <w:bCs/>
          <w:spacing w:val="-3"/>
        </w:rPr>
        <w:t>2</w:t>
      </w:r>
      <w:r>
        <w:rPr>
          <w:b/>
          <w:bCs/>
          <w:spacing w:val="-3"/>
        </w:rPr>
        <w:t>、主要技术指标、参数</w:t>
      </w:r>
    </w:p>
    <w:p w14:paraId="5DAB36CE">
      <w:pPr>
        <w:pStyle w:val="2"/>
        <w:spacing w:before="179" w:line="291" w:lineRule="auto"/>
        <w:ind w:left="23" w:right="87" w:firstLine="487"/>
        <w:rPr>
          <w:rFonts w:hint="eastAsia"/>
        </w:rPr>
      </w:pPr>
      <w:r>
        <w:rPr>
          <w:rFonts w:hint="eastAsia"/>
        </w:rPr>
        <w:t xml:space="preserve">（1）标准名称：《黎医疗法操作规范 </w:t>
      </w:r>
      <w:r>
        <w:rPr>
          <w:rFonts w:hint="eastAsia"/>
          <w:lang w:val="en-US" w:eastAsia="zh-CN"/>
        </w:rPr>
        <w:t>蜂</w:t>
      </w:r>
      <w:r>
        <w:rPr>
          <w:rFonts w:hint="eastAsia"/>
        </w:rPr>
        <w:t>疗法》旨在用于指导开展黎医</w:t>
      </w:r>
      <w:r>
        <w:rPr>
          <w:rFonts w:hint="eastAsia"/>
          <w:lang w:val="en-US" w:eastAsia="zh-CN"/>
        </w:rPr>
        <w:t>蜂</w:t>
      </w:r>
      <w:r>
        <w:rPr>
          <w:rFonts w:hint="eastAsia"/>
        </w:rPr>
        <w:t>疗法的规范化操作，为</w:t>
      </w:r>
      <w:r>
        <w:rPr>
          <w:rFonts w:hint="eastAsia"/>
          <w:lang w:val="en-US" w:eastAsia="zh-CN"/>
        </w:rPr>
        <w:t>蜂</w:t>
      </w:r>
      <w:r>
        <w:rPr>
          <w:rFonts w:hint="eastAsia"/>
        </w:rPr>
        <w:t xml:space="preserve">疗法的技术实施、临床应用、质量管控提供科学依据与实操指引，形成一套安全、规范、可复制的黎医特色疗法操作流程。综合相关医疗机构、传承单位及民族医药专家意见，将“黎医疗法操作规范 </w:t>
      </w:r>
      <w:r>
        <w:rPr>
          <w:rFonts w:hint="eastAsia"/>
          <w:lang w:val="en-US" w:eastAsia="zh-CN"/>
        </w:rPr>
        <w:t>蜂</w:t>
      </w:r>
      <w:r>
        <w:rPr>
          <w:rFonts w:hint="eastAsia"/>
        </w:rPr>
        <w:t>疗法</w:t>
      </w:r>
      <w:r>
        <w:rPr>
          <w:rFonts w:hint="eastAsia"/>
          <w:lang w:eastAsia="zh-CN"/>
        </w:rPr>
        <w:t>”</w:t>
      </w:r>
      <w:r>
        <w:rPr>
          <w:rFonts w:hint="eastAsia"/>
        </w:rPr>
        <w:t xml:space="preserve"> 作为本文件的名称。</w:t>
      </w:r>
    </w:p>
    <w:p w14:paraId="20E151F7">
      <w:pPr>
        <w:pStyle w:val="2"/>
        <w:spacing w:before="179" w:line="291" w:lineRule="auto"/>
        <w:ind w:left="23" w:right="87" w:firstLine="487"/>
        <w:rPr>
          <w:rFonts w:hint="eastAsia"/>
        </w:rPr>
      </w:pPr>
      <w:r>
        <w:rPr>
          <w:rFonts w:hint="eastAsia"/>
          <w:lang w:eastAsia="zh-CN"/>
        </w:rPr>
        <w:t>（</w:t>
      </w:r>
      <w:r>
        <w:rPr>
          <w:rFonts w:hint="eastAsia"/>
          <w:lang w:val="en-US" w:eastAsia="zh-CN"/>
        </w:rPr>
        <w:t>2</w:t>
      </w:r>
      <w:r>
        <w:rPr>
          <w:rFonts w:hint="eastAsia"/>
          <w:lang w:eastAsia="zh-CN"/>
        </w:rPr>
        <w:t>）</w:t>
      </w:r>
      <w:r>
        <w:rPr>
          <w:rFonts w:hint="eastAsia"/>
        </w:rPr>
        <w:t>术语和定义</w:t>
      </w:r>
      <w:r>
        <w:rPr>
          <w:rFonts w:hint="eastAsia"/>
          <w:lang w:eastAsia="zh-CN"/>
        </w:rPr>
        <w:t>：</w:t>
      </w:r>
      <w:r>
        <w:rPr>
          <w:rFonts w:hint="eastAsia"/>
        </w:rPr>
        <w:t>蜂疗法</w:t>
      </w:r>
      <w:r>
        <w:rPr>
          <w:rFonts w:hint="eastAsia"/>
          <w:lang w:eastAsia="zh-CN"/>
        </w:rPr>
        <w:t>（</w:t>
      </w:r>
      <w:r>
        <w:rPr>
          <w:rFonts w:hint="eastAsia"/>
        </w:rPr>
        <w:t>apitherapy</w:t>
      </w:r>
      <w:r>
        <w:rPr>
          <w:rFonts w:hint="eastAsia"/>
          <w:lang w:eastAsia="zh-CN"/>
        </w:rPr>
        <w:t>）</w:t>
      </w:r>
      <w:r>
        <w:rPr>
          <w:rFonts w:hint="eastAsia"/>
          <w:lang w:val="en-US" w:eastAsia="zh-CN"/>
        </w:rPr>
        <w:t>是</w:t>
      </w:r>
      <w:r>
        <w:rPr>
          <w:rFonts w:hint="eastAsia"/>
        </w:rPr>
        <w:t>医者通过蜜蜂尾部的蛰针刺激人体经络腧穴，促使蜂囊多种活性物质释放入体内，减缓炎症发生进程，起到调节阴阳平衡、散寒除湿、活血消肿、消炎止痛、免疫调节等作用的黎医外治法。</w:t>
      </w:r>
    </w:p>
    <w:p w14:paraId="21A7516B">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rPr>
        <w:t>基本要求</w:t>
      </w:r>
      <w:r>
        <w:rPr>
          <w:rFonts w:hint="eastAsia"/>
          <w:lang w:eastAsia="zh-CN"/>
        </w:rPr>
        <w:t>：</w:t>
      </w:r>
      <w:r>
        <w:rPr>
          <w:rFonts w:hint="eastAsia"/>
          <w:lang w:val="en-US" w:eastAsia="zh-CN"/>
        </w:rPr>
        <w:t>在人员资质、操作人员、环境要求三方面进行了相关要求规定。</w:t>
      </w:r>
    </w:p>
    <w:p w14:paraId="63B3D25A">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rPr>
        <w:t>适应症</w:t>
      </w:r>
      <w:r>
        <w:rPr>
          <w:rFonts w:hint="eastAsia"/>
          <w:lang w:eastAsia="zh-CN"/>
        </w:rPr>
        <w:t>、</w:t>
      </w:r>
      <w:r>
        <w:rPr>
          <w:rFonts w:hint="eastAsia"/>
        </w:rPr>
        <w:t>禁忌症</w:t>
      </w:r>
      <w:r>
        <w:rPr>
          <w:rFonts w:hint="eastAsia"/>
          <w:lang w:eastAsia="zh-CN"/>
        </w:rPr>
        <w:t>、</w:t>
      </w:r>
      <w:r>
        <w:rPr>
          <w:rFonts w:hint="eastAsia"/>
          <w:lang w:val="en-US" w:eastAsia="zh-CN"/>
        </w:rPr>
        <w:t>慎用症：</w:t>
      </w:r>
    </w:p>
    <w:p w14:paraId="289F963A">
      <w:pPr>
        <w:pStyle w:val="2"/>
        <w:spacing w:before="179" w:line="291" w:lineRule="auto"/>
        <w:ind w:left="23" w:right="87" w:firstLine="487"/>
        <w:rPr>
          <w:rFonts w:hint="eastAsia"/>
          <w:highlight w:val="none"/>
        </w:rPr>
      </w:pPr>
      <w:r>
        <w:rPr>
          <w:rFonts w:hint="eastAsia"/>
          <w:lang w:val="en-US" w:eastAsia="zh-CN"/>
        </w:rPr>
        <w:t>1）</w:t>
      </w:r>
      <w:r>
        <w:rPr>
          <w:rFonts w:hint="eastAsia"/>
        </w:rPr>
        <w:t>适应症</w:t>
      </w:r>
      <w:r>
        <w:rPr>
          <w:rFonts w:hint="eastAsia"/>
          <w:lang w:eastAsia="zh-CN"/>
        </w:rPr>
        <w:t>：</w:t>
      </w:r>
      <w:r>
        <w:rPr>
          <w:rFonts w:hint="eastAsia"/>
          <w:highlight w:val="none"/>
        </w:rPr>
        <w:t>主要适用于疼痛类疾病，如风湿性关节炎、神经痛、腰椎病等</w:t>
      </w:r>
      <w:r>
        <w:rPr>
          <w:rFonts w:hint="eastAsia"/>
          <w:highlight w:val="none"/>
          <w:lang w:eastAsia="zh-CN"/>
        </w:rPr>
        <w:t>；</w:t>
      </w:r>
      <w:r>
        <w:rPr>
          <w:rFonts w:hint="eastAsia"/>
          <w:highlight w:val="none"/>
        </w:rPr>
        <w:t>免疫调节类疾病，如强直性脊柱炎、硬皮病、多发性硬化症等。</w:t>
      </w:r>
    </w:p>
    <w:p w14:paraId="673D53D3">
      <w:pPr>
        <w:pStyle w:val="2"/>
        <w:spacing w:before="179" w:line="291" w:lineRule="auto"/>
        <w:ind w:left="23" w:right="87" w:firstLine="487"/>
        <w:rPr>
          <w:rFonts w:hint="eastAsia"/>
          <w:lang w:eastAsia="zh-CN"/>
        </w:rPr>
      </w:pPr>
      <w:r>
        <w:rPr>
          <w:rFonts w:hint="eastAsia"/>
          <w:lang w:val="en-US" w:eastAsia="zh-CN"/>
        </w:rPr>
        <w:t>2）</w:t>
      </w:r>
      <w:r>
        <w:rPr>
          <w:rFonts w:hint="eastAsia"/>
        </w:rPr>
        <w:t>禁忌症</w:t>
      </w:r>
      <w:r>
        <w:rPr>
          <w:rFonts w:hint="eastAsia"/>
          <w:lang w:eastAsia="zh-CN"/>
        </w:rPr>
        <w:t>：过敏体质；孕妇；10岁以下的幼童；荨麻疹患者；脑部创伤；各种出血倾向的疾病；各种器质性疾病；内脏肿瘤。</w:t>
      </w:r>
    </w:p>
    <w:p w14:paraId="690DD4CC">
      <w:pPr>
        <w:pStyle w:val="2"/>
        <w:spacing w:before="179" w:line="291" w:lineRule="auto"/>
        <w:ind w:left="23" w:right="87" w:firstLine="487"/>
        <w:rPr>
          <w:rFonts w:hint="eastAsia"/>
          <w:lang w:val="en-US" w:eastAsia="zh-CN"/>
        </w:rPr>
      </w:pPr>
      <w:r>
        <w:rPr>
          <w:rFonts w:hint="eastAsia"/>
          <w:lang w:val="en-US" w:eastAsia="zh-CN"/>
        </w:rPr>
        <w:t>3）慎用症：对蜜蜂恐惧者；糖尿病合并并发症者；大量饮酒和严重肝病者；皮肤严重过敏者；体质较虚弱者；妇女经期；婴幼儿；长期服用抗凝药物者。</w:t>
      </w:r>
    </w:p>
    <w:p w14:paraId="159F0651">
      <w:pPr>
        <w:pStyle w:val="2"/>
        <w:spacing w:before="179" w:line="291" w:lineRule="auto"/>
        <w:ind w:left="23" w:right="87" w:firstLine="487"/>
        <w:rPr>
          <w:rFonts w:hint="eastAsia"/>
        </w:rPr>
      </w:pPr>
      <w:r>
        <w:rPr>
          <w:rFonts w:hint="eastAsia"/>
          <w:lang w:eastAsia="zh-CN"/>
        </w:rPr>
        <w:t>（</w:t>
      </w:r>
      <w:r>
        <w:rPr>
          <w:rFonts w:hint="eastAsia"/>
          <w:lang w:val="en-US" w:eastAsia="zh-CN"/>
        </w:rPr>
        <w:t>5</w:t>
      </w:r>
      <w:r>
        <w:rPr>
          <w:rFonts w:hint="eastAsia"/>
          <w:lang w:eastAsia="zh-CN"/>
        </w:rPr>
        <w:t>）</w:t>
      </w:r>
      <w:r>
        <w:rPr>
          <w:rFonts w:hint="eastAsia"/>
        </w:rPr>
        <w:t>操作流程</w:t>
      </w:r>
    </w:p>
    <w:p w14:paraId="7DE72052">
      <w:pPr>
        <w:pStyle w:val="2"/>
        <w:spacing w:before="179" w:line="291" w:lineRule="auto"/>
        <w:ind w:right="87" w:firstLine="480" w:firstLineChars="200"/>
        <w:rPr>
          <w:rFonts w:hint="eastAsia"/>
          <w:lang w:val="en-US" w:eastAsia="zh-CN"/>
        </w:rPr>
      </w:pPr>
      <w:r>
        <w:rPr>
          <w:rFonts w:hint="eastAsia"/>
          <w:lang w:val="en-US" w:eastAsia="zh-CN"/>
        </w:rPr>
        <w:t>1）</w:t>
      </w:r>
      <w:r>
        <w:rPr>
          <w:rFonts w:hint="eastAsia"/>
        </w:rPr>
        <w:t>签署知情同意书</w:t>
      </w:r>
      <w:r>
        <w:rPr>
          <w:rFonts w:hint="eastAsia"/>
          <w:lang w:eastAsia="zh-CN"/>
        </w:rPr>
        <w:t>：</w:t>
      </w:r>
      <w:r>
        <w:rPr>
          <w:rFonts w:hint="eastAsia"/>
        </w:rPr>
        <w:t>诊疗前，对患者进行适应症、禁忌症评估。应获得患者同意，并取得患者或家属签署的诊疗知情同意书。</w:t>
      </w:r>
    </w:p>
    <w:p w14:paraId="21A4A67A">
      <w:pPr>
        <w:pStyle w:val="2"/>
        <w:spacing w:before="179" w:line="291" w:lineRule="auto"/>
        <w:ind w:left="23" w:right="87" w:firstLine="487"/>
        <w:rPr>
          <w:rFonts w:hint="eastAsia"/>
          <w:lang w:val="en-US" w:eastAsia="zh-CN"/>
        </w:rPr>
      </w:pPr>
      <w:r>
        <w:rPr>
          <w:rFonts w:hint="eastAsia"/>
          <w:lang w:val="en-US" w:eastAsia="zh-CN"/>
        </w:rPr>
        <w:t>2）蜜蜂准备</w:t>
      </w:r>
    </w:p>
    <w:p w14:paraId="4F1A6972">
      <w:pPr>
        <w:pStyle w:val="2"/>
        <w:spacing w:before="179" w:line="291" w:lineRule="auto"/>
        <w:ind w:left="23" w:right="87" w:firstLine="487"/>
        <w:rPr>
          <w:rFonts w:hint="eastAsia"/>
          <w:lang w:val="en-US" w:eastAsia="zh-CN"/>
        </w:rPr>
      </w:pPr>
      <w:r>
        <w:rPr>
          <w:rFonts w:hint="eastAsia"/>
          <w:lang w:val="en-US" w:eastAsia="zh-CN"/>
        </w:rPr>
        <w:t>应选取10日龄以上的健康的中华胡蜂。</w:t>
      </w:r>
    </w:p>
    <w:p w14:paraId="115E65EA">
      <w:pPr>
        <w:pStyle w:val="2"/>
        <w:spacing w:before="179" w:line="291" w:lineRule="auto"/>
        <w:ind w:left="23" w:right="87" w:firstLine="487"/>
        <w:rPr>
          <w:rFonts w:hint="eastAsia"/>
          <w:lang w:val="en-US" w:eastAsia="zh-CN"/>
        </w:rPr>
      </w:pPr>
      <w:r>
        <w:rPr>
          <w:rFonts w:hint="eastAsia"/>
          <w:lang w:val="en-US" w:eastAsia="zh-CN"/>
        </w:rPr>
        <w:t>3）体位选择</w:t>
      </w:r>
    </w:p>
    <w:p w14:paraId="0439EF19">
      <w:pPr>
        <w:pStyle w:val="2"/>
        <w:spacing w:before="179" w:line="291" w:lineRule="auto"/>
        <w:ind w:left="23" w:right="87" w:firstLine="487"/>
        <w:rPr>
          <w:rFonts w:hint="eastAsia"/>
          <w:lang w:val="en-US" w:eastAsia="zh-CN"/>
        </w:rPr>
      </w:pPr>
      <w:r>
        <w:rPr>
          <w:rFonts w:hint="eastAsia"/>
          <w:lang w:val="en-US" w:eastAsia="zh-CN"/>
        </w:rPr>
        <w:t>以患者舒适并能较长时间保持体位为原则。可选择坐位、仰卧位、俯卧位或其它体位。</w:t>
      </w:r>
    </w:p>
    <w:p w14:paraId="429E922A">
      <w:pPr>
        <w:pStyle w:val="2"/>
        <w:spacing w:before="179" w:line="291" w:lineRule="auto"/>
        <w:ind w:left="23" w:right="87" w:firstLine="487"/>
        <w:rPr>
          <w:rFonts w:hint="eastAsia"/>
          <w:lang w:val="en-US" w:eastAsia="zh-CN"/>
        </w:rPr>
      </w:pPr>
      <w:r>
        <w:rPr>
          <w:rFonts w:hint="eastAsia"/>
          <w:lang w:val="en-US" w:eastAsia="zh-CN"/>
        </w:rPr>
        <w:t>4）操作步骤</w:t>
      </w:r>
    </w:p>
    <w:p w14:paraId="4E315CE5">
      <w:pPr>
        <w:pStyle w:val="2"/>
        <w:spacing w:before="179" w:line="291" w:lineRule="auto"/>
        <w:ind w:left="23" w:right="87" w:firstLine="487"/>
        <w:rPr>
          <w:rFonts w:hint="eastAsia"/>
          <w:lang w:val="en-US" w:eastAsia="zh-CN"/>
        </w:rPr>
      </w:pPr>
      <w:r>
        <w:rPr>
          <w:rFonts w:hint="eastAsia"/>
          <w:lang w:val="en-US" w:eastAsia="zh-CN"/>
        </w:rPr>
        <w:t>①操作者准备：消毒洗手，戴口罩，了解病情，用物准备，患者准备，核对解释，询问过敏史。</w:t>
      </w:r>
    </w:p>
    <w:p w14:paraId="3B051045">
      <w:pPr>
        <w:pStyle w:val="2"/>
        <w:spacing w:before="179" w:line="291" w:lineRule="auto"/>
        <w:ind w:left="23" w:right="87" w:firstLine="487"/>
        <w:rPr>
          <w:rFonts w:hint="eastAsia"/>
          <w:lang w:val="en-US" w:eastAsia="zh-CN"/>
        </w:rPr>
      </w:pPr>
      <w:r>
        <w:rPr>
          <w:rFonts w:hint="eastAsia"/>
          <w:lang w:val="en-US" w:eastAsia="zh-CN"/>
        </w:rPr>
        <w:t>②取舒适体位，暴露受蛰部位，并用75%酒精擦拭消毒。</w:t>
      </w:r>
    </w:p>
    <w:p w14:paraId="1AF85AF1">
      <w:pPr>
        <w:pStyle w:val="2"/>
        <w:spacing w:before="179" w:line="291" w:lineRule="auto"/>
        <w:ind w:left="23" w:right="87" w:firstLine="487"/>
        <w:rPr>
          <w:rFonts w:hint="eastAsia"/>
          <w:lang w:val="en-US" w:eastAsia="zh-CN"/>
        </w:rPr>
      </w:pPr>
      <w:r>
        <w:rPr>
          <w:rFonts w:hint="eastAsia"/>
          <w:lang w:val="en-US" w:eastAsia="zh-CN"/>
        </w:rPr>
        <w:t>③操作者使用镊子夹取蜜蜂的头部，将蜜蜂尾部置于选定的皮肤位置上，待蜂针刺入皮肤后，轻提蜜蜂身体，使蜜蜂身体与蜂针脱离；</w:t>
      </w:r>
    </w:p>
    <w:p w14:paraId="0836A8EE">
      <w:pPr>
        <w:pStyle w:val="2"/>
        <w:spacing w:before="179" w:line="291" w:lineRule="auto"/>
        <w:ind w:left="23" w:right="87" w:firstLine="487"/>
        <w:rPr>
          <w:rFonts w:hint="eastAsia"/>
          <w:lang w:val="en-US" w:eastAsia="zh-CN"/>
        </w:rPr>
      </w:pPr>
      <w:r>
        <w:rPr>
          <w:rFonts w:hint="eastAsia"/>
          <w:lang w:val="en-US" w:eastAsia="zh-CN"/>
        </w:rPr>
        <w:t>④静待15-30分钟后，操作者使用镊子取出蜇针。</w:t>
      </w:r>
    </w:p>
    <w:p w14:paraId="5F2F87B5">
      <w:pPr>
        <w:pStyle w:val="2"/>
        <w:spacing w:before="179" w:line="291" w:lineRule="auto"/>
        <w:ind w:left="23" w:right="87" w:firstLine="487"/>
        <w:rPr>
          <w:rFonts w:hint="eastAsia"/>
          <w:lang w:val="en-US" w:eastAsia="zh-CN"/>
        </w:rPr>
      </w:pPr>
      <w:r>
        <w:rPr>
          <w:rFonts w:hint="eastAsia"/>
          <w:lang w:val="en-US" w:eastAsia="zh-CN"/>
        </w:rPr>
        <w:t>⑤患者治疗结束后，应至少留观10分钟，观察患者有无异常反应。</w:t>
      </w:r>
    </w:p>
    <w:p w14:paraId="2E988681">
      <w:pPr>
        <w:pStyle w:val="2"/>
        <w:spacing w:before="179" w:line="291" w:lineRule="auto"/>
        <w:ind w:left="23" w:right="87" w:firstLine="487"/>
        <w:rPr>
          <w:rFonts w:hint="eastAsia"/>
        </w:rPr>
      </w:pPr>
      <w:r>
        <w:rPr>
          <w:rFonts w:hint="eastAsia"/>
          <w:lang w:eastAsia="zh-CN"/>
        </w:rPr>
        <w:t>（</w:t>
      </w:r>
      <w:r>
        <w:rPr>
          <w:rFonts w:hint="eastAsia"/>
          <w:lang w:val="en-US" w:eastAsia="zh-CN"/>
        </w:rPr>
        <w:t>6</w:t>
      </w:r>
      <w:r>
        <w:rPr>
          <w:rFonts w:hint="eastAsia"/>
          <w:lang w:eastAsia="zh-CN"/>
        </w:rPr>
        <w:t>）</w:t>
      </w:r>
      <w:r>
        <w:rPr>
          <w:rFonts w:hint="eastAsia"/>
        </w:rPr>
        <w:t>注意事项</w:t>
      </w:r>
    </w:p>
    <w:p w14:paraId="4D4A9585">
      <w:pPr>
        <w:pStyle w:val="2"/>
        <w:spacing w:before="179" w:line="291" w:lineRule="auto"/>
        <w:ind w:left="23" w:right="87" w:firstLine="487"/>
        <w:rPr>
          <w:rFonts w:hint="default"/>
          <w:lang w:val="en-US" w:eastAsia="zh-CN"/>
        </w:rPr>
      </w:pPr>
      <w:r>
        <w:rPr>
          <w:rFonts w:hint="eastAsia"/>
          <w:lang w:val="en-US" w:eastAsia="zh-CN"/>
        </w:rPr>
        <w:t>1）</w:t>
      </w:r>
      <w:r>
        <w:rPr>
          <w:rFonts w:hint="default"/>
          <w:lang w:val="en-US" w:eastAsia="zh-CN"/>
        </w:rPr>
        <w:t>初次接受蜂针的患者，在治疗点或身体的某些部位产生较轻的疼痛、局部红肿、痒和淋巴结肿大等现象，这是蜂针（毒）温经通络的正常效应，无须用药处理，在治疗的过程中会逐步减少和消失。</w:t>
      </w:r>
    </w:p>
    <w:p w14:paraId="1CDB247C">
      <w:pPr>
        <w:pStyle w:val="2"/>
        <w:spacing w:before="179" w:line="291" w:lineRule="auto"/>
        <w:ind w:left="23" w:right="87" w:firstLine="487"/>
        <w:rPr>
          <w:rFonts w:hint="default"/>
          <w:lang w:val="en-US" w:eastAsia="zh-CN"/>
        </w:rPr>
      </w:pPr>
      <w:r>
        <w:rPr>
          <w:rFonts w:hint="eastAsia"/>
          <w:lang w:val="en-US" w:eastAsia="zh-CN"/>
        </w:rPr>
        <w:t>2）</w:t>
      </w:r>
      <w:r>
        <w:rPr>
          <w:rFonts w:hint="default"/>
          <w:lang w:val="en-US" w:eastAsia="zh-CN"/>
        </w:rPr>
        <w:t>治疗前不宜过饱，治疗期间不宜饮用含有酒精的饮料。</w:t>
      </w:r>
    </w:p>
    <w:p w14:paraId="1E5461C6">
      <w:pPr>
        <w:pStyle w:val="2"/>
        <w:spacing w:before="179" w:line="291" w:lineRule="auto"/>
        <w:ind w:left="23" w:right="87" w:firstLine="487"/>
        <w:rPr>
          <w:rFonts w:hint="default"/>
          <w:lang w:val="en-US" w:eastAsia="zh-CN"/>
        </w:rPr>
      </w:pPr>
      <w:r>
        <w:rPr>
          <w:rFonts w:hint="eastAsia"/>
          <w:lang w:val="en-US" w:eastAsia="zh-CN"/>
        </w:rPr>
        <w:t>3）</w:t>
      </w:r>
      <w:r>
        <w:rPr>
          <w:rFonts w:hint="default"/>
          <w:lang w:val="en-US" w:eastAsia="zh-CN"/>
        </w:rPr>
        <w:t>如出现发烧、恶心、呕吐、惊慌出汗者，可应用镇静剂，如肌肉注射25毫克异丙嗪即可缓解其毒副作用。</w:t>
      </w:r>
    </w:p>
    <w:p w14:paraId="77623BE0">
      <w:pPr>
        <w:pStyle w:val="2"/>
        <w:spacing w:before="179" w:line="291" w:lineRule="auto"/>
        <w:ind w:left="23" w:right="87" w:firstLine="487"/>
        <w:rPr>
          <w:rFonts w:hint="default"/>
          <w:lang w:val="en-US" w:eastAsia="zh-CN"/>
        </w:rPr>
      </w:pPr>
      <w:r>
        <w:rPr>
          <w:rFonts w:hint="eastAsia"/>
          <w:lang w:val="en-US" w:eastAsia="zh-CN"/>
        </w:rPr>
        <w:t>4）</w:t>
      </w:r>
      <w:r>
        <w:rPr>
          <w:rFonts w:hint="default"/>
          <w:lang w:val="en-US" w:eastAsia="zh-CN"/>
        </w:rPr>
        <w:t>蜂疗法结束后，换着应休息10分钟以上，不宜治疗后立即进行活动。</w:t>
      </w:r>
    </w:p>
    <w:p w14:paraId="4B7CF512">
      <w:pPr>
        <w:pStyle w:val="2"/>
        <w:spacing w:before="179" w:line="235" w:lineRule="auto"/>
        <w:ind w:left="499"/>
        <w:outlineLvl w:val="2"/>
        <w:rPr>
          <w:b/>
          <w:bCs/>
          <w:spacing w:val="-3"/>
        </w:rPr>
      </w:pPr>
      <w:r>
        <w:rPr>
          <w:rFonts w:ascii="Times New Roman" w:hAnsi="Times New Roman" w:eastAsia="Times New Roman" w:cs="Times New Roman"/>
          <w:b/>
          <w:bCs/>
          <w:spacing w:val="-3"/>
        </w:rPr>
        <w:t>3</w:t>
      </w:r>
      <w:r>
        <w:rPr>
          <w:b/>
          <w:bCs/>
          <w:spacing w:val="-3"/>
        </w:rPr>
        <w:t>、试验验证的论述</w:t>
      </w:r>
    </w:p>
    <w:p w14:paraId="4FCDE1AC">
      <w:pPr>
        <w:pStyle w:val="2"/>
        <w:spacing w:before="179" w:line="291" w:lineRule="auto"/>
        <w:ind w:left="23" w:right="87" w:firstLine="487"/>
        <w:rPr>
          <w:rFonts w:hint="default"/>
          <w:lang w:val="en-US" w:eastAsia="zh-CN"/>
        </w:rPr>
      </w:pPr>
      <w:r>
        <w:rPr>
          <w:rFonts w:hint="eastAsia"/>
          <w:lang w:val="en-US" w:eastAsia="zh-CN"/>
        </w:rPr>
        <w:t>标准中规定的适应症、禁忌慎用症、操作方法及技术参数，主要基于黎医传统理论、起草单位及相关医疗机构长期的临床应用实践和经验总结。蜂疗法在海南地区对于特定病症的应用已积累了一定的实践基础，其疗效和安全性在特定范围内得到了验证。本标准将这些实践经验进行系统总结和规范，为其进一步的安全应用和临床研究提供了基础框架。</w:t>
      </w:r>
    </w:p>
    <w:p w14:paraId="1B32C14C">
      <w:pPr>
        <w:pStyle w:val="2"/>
        <w:spacing w:line="219" w:lineRule="auto"/>
        <w:ind w:left="511"/>
        <w:outlineLvl w:val="1"/>
      </w:pPr>
      <w:bookmarkStart w:id="6" w:name="_Toc3751"/>
      <w:r>
        <w:rPr>
          <w:b/>
          <w:bCs/>
          <w:spacing w:val="-3"/>
        </w:rPr>
        <w:t>（五）标准中如果涉及专利，应有明确的知识产权说明</w:t>
      </w:r>
      <w:bookmarkEnd w:id="6"/>
    </w:p>
    <w:p w14:paraId="4318D41E">
      <w:pPr>
        <w:pStyle w:val="2"/>
        <w:spacing w:before="185" w:line="220" w:lineRule="auto"/>
        <w:ind w:left="508"/>
        <w:rPr>
          <w:rFonts w:hint="default" w:eastAsia="宋体"/>
          <w:lang w:val="en-US" w:eastAsia="zh-CN"/>
        </w:rPr>
      </w:pPr>
      <w:r>
        <w:rPr>
          <w:rFonts w:hint="eastAsia"/>
          <w:lang w:val="en-US" w:eastAsia="zh-CN"/>
        </w:rPr>
        <w:t>未涉及专利。</w:t>
      </w:r>
    </w:p>
    <w:p w14:paraId="47FD331C">
      <w:pPr>
        <w:pStyle w:val="2"/>
        <w:spacing w:before="177" w:line="291" w:lineRule="auto"/>
        <w:ind w:left="25" w:right="121" w:firstLine="485"/>
        <w:outlineLvl w:val="1"/>
      </w:pPr>
      <w:bookmarkStart w:id="7" w:name="_Toc10255"/>
      <w:r>
        <w:rPr>
          <w:b/>
          <w:bCs/>
          <w:spacing w:val="1"/>
        </w:rPr>
        <w:t>（六）采用国际标准或国外先进标准的，说明采标程度，以及国内外同类</w:t>
      </w:r>
      <w:r>
        <w:rPr>
          <w:b/>
          <w:bCs/>
          <w:spacing w:val="-3"/>
        </w:rPr>
        <w:t>标准水平的对比情况</w:t>
      </w:r>
      <w:bookmarkEnd w:id="7"/>
    </w:p>
    <w:p w14:paraId="427769AE">
      <w:pPr>
        <w:pStyle w:val="2"/>
        <w:spacing w:before="183" w:line="360" w:lineRule="auto"/>
        <w:ind w:left="24" w:firstLine="503"/>
        <w:rPr>
          <w:rFonts w:hint="eastAsia"/>
          <w:lang w:val="en-US" w:eastAsia="zh-CN"/>
        </w:rPr>
      </w:pPr>
      <w:r>
        <w:rPr>
          <w:rFonts w:hint="eastAsia"/>
          <w:lang w:val="en-US" w:eastAsia="zh-CN"/>
        </w:rPr>
        <w:t>未采用国际标准或国外先进标准。</w:t>
      </w:r>
    </w:p>
    <w:p w14:paraId="5176E768">
      <w:pPr>
        <w:pStyle w:val="2"/>
        <w:spacing w:before="183" w:line="360" w:lineRule="auto"/>
        <w:ind w:left="24" w:firstLine="503"/>
      </w:pPr>
      <w:r>
        <w:rPr>
          <w:rFonts w:hint="eastAsia"/>
          <w:lang w:val="en-US" w:eastAsia="zh-CN"/>
        </w:rPr>
        <w:t>国内同类标准主要为《蜂针疗法技术操作规范》（SCM-C 0016-2019），本标准研制在理论基础、蜜蜂制备、技术细节及适用范围与其有明显差异。</w:t>
      </w:r>
    </w:p>
    <w:p w14:paraId="25D43ACA">
      <w:pPr>
        <w:pStyle w:val="2"/>
        <w:spacing w:before="1" w:line="218" w:lineRule="auto"/>
        <w:ind w:left="511"/>
        <w:outlineLvl w:val="1"/>
      </w:pPr>
      <w:bookmarkStart w:id="8" w:name="_Toc20291"/>
      <w:r>
        <w:rPr>
          <w:b/>
          <w:bCs/>
          <w:spacing w:val="-4"/>
        </w:rPr>
        <w:t>（七）重大分歧意见的处理依据和结果</w:t>
      </w:r>
      <w:bookmarkEnd w:id="8"/>
    </w:p>
    <w:p w14:paraId="17B18262">
      <w:pPr>
        <w:pStyle w:val="2"/>
        <w:spacing w:before="181" w:line="220" w:lineRule="auto"/>
        <w:ind w:left="506"/>
        <w:rPr>
          <w:rFonts w:hint="eastAsia" w:eastAsia="宋体"/>
          <w:lang w:eastAsia="zh-CN"/>
        </w:rPr>
      </w:pPr>
      <w:r>
        <w:t>无</w:t>
      </w:r>
      <w:r>
        <w:rPr>
          <w:rFonts w:hint="eastAsia"/>
          <w:lang w:eastAsia="zh-CN"/>
        </w:rPr>
        <w:t>。</w:t>
      </w:r>
    </w:p>
    <w:p w14:paraId="171DDA42">
      <w:pPr>
        <w:pStyle w:val="2"/>
        <w:numPr>
          <w:ilvl w:val="0"/>
          <w:numId w:val="5"/>
        </w:numPr>
        <w:spacing w:before="183" w:line="291" w:lineRule="auto"/>
        <w:ind w:left="30" w:right="27" w:firstLine="480"/>
        <w:outlineLvl w:val="1"/>
        <w:rPr>
          <w:b/>
          <w:bCs/>
          <w:spacing w:val="-7"/>
        </w:rPr>
      </w:pPr>
      <w:bookmarkStart w:id="9" w:name="_Toc6101"/>
      <w:r>
        <w:rPr>
          <w:b/>
          <w:bCs/>
          <w:spacing w:val="-3"/>
        </w:rPr>
        <w:t>贯彻标准的要求和措施建议（包括组织措</w:t>
      </w:r>
      <w:r>
        <w:rPr>
          <w:b/>
          <w:bCs/>
          <w:spacing w:val="-4"/>
        </w:rPr>
        <w:t>施、技术措施、过渡办法、</w:t>
      </w:r>
      <w:r>
        <w:rPr>
          <w:b/>
          <w:bCs/>
          <w:spacing w:val="-7"/>
        </w:rPr>
        <w:t>实施日期等）</w:t>
      </w:r>
      <w:bookmarkEnd w:id="9"/>
    </w:p>
    <w:p w14:paraId="061F7F00">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1.</w:t>
      </w:r>
      <w:r>
        <w:rPr>
          <w:rFonts w:hint="eastAsia"/>
          <w:b w:val="0"/>
          <w:bCs w:val="0"/>
          <w:spacing w:val="-7"/>
        </w:rPr>
        <w:t>组织措施：</w:t>
      </w:r>
      <w:r>
        <w:rPr>
          <w:rFonts w:hint="eastAsia"/>
          <w:b w:val="0"/>
          <w:bCs w:val="0"/>
          <w:spacing w:val="-7"/>
          <w:lang w:val="en-US" w:eastAsia="zh-CN"/>
        </w:rPr>
        <w:t>标准颁布后，广东省中医院海南医院负责推广和贯标工作，</w:t>
      </w:r>
      <w:r>
        <w:rPr>
          <w:rFonts w:hint="eastAsia"/>
          <w:b w:val="0"/>
          <w:bCs w:val="0"/>
          <w:spacing w:val="-7"/>
        </w:rPr>
        <w:t>成立推广领导小组，</w:t>
      </w:r>
      <w:r>
        <w:rPr>
          <w:rFonts w:hint="eastAsia"/>
          <w:b w:val="0"/>
          <w:bCs w:val="0"/>
          <w:spacing w:val="-7"/>
          <w:lang w:val="en-US" w:eastAsia="zh-CN"/>
        </w:rPr>
        <w:t>依托行业主管部门，联合省内中医医疗机构及医药高校，在海南省卫生健康委员会的指导下，组织相关的宣传、培训推广等工作，培训的对象主要为医护人员；培训方式灵活多样，可以为现场培训、视频会议等方式。培训频次和时间可根据卫健委要求进行调整</w:t>
      </w:r>
      <w:r>
        <w:rPr>
          <w:rFonts w:hint="eastAsia"/>
          <w:b w:val="0"/>
          <w:bCs w:val="0"/>
          <w:spacing w:val="-7"/>
        </w:rPr>
        <w:t>。</w:t>
      </w:r>
    </w:p>
    <w:p w14:paraId="6F9A0FDA">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2.</w:t>
      </w:r>
      <w:r>
        <w:rPr>
          <w:rFonts w:hint="eastAsia"/>
          <w:b w:val="0"/>
          <w:bCs w:val="0"/>
          <w:spacing w:val="-7"/>
        </w:rPr>
        <w:t>技术措施：依托广东省中医院海南医院等单位成立技术指导中心，通过现场指导、技术咨询、学术交流等方式提供技术支持。</w:t>
      </w:r>
    </w:p>
    <w:p w14:paraId="4681170F">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lang w:val="en-US" w:eastAsia="zh-CN"/>
        </w:rPr>
        <w:t>3.</w:t>
      </w:r>
      <w:r>
        <w:rPr>
          <w:rFonts w:hint="eastAsia"/>
          <w:b w:val="0"/>
          <w:bCs w:val="0"/>
          <w:spacing w:val="-7"/>
        </w:rPr>
        <w:t>监督检查：由省级相关部门成立监督检查小组，通过定期检查、随机抽查、数据分析评估等方式，对标准的实施情况进行监督。</w:t>
      </w:r>
    </w:p>
    <w:p w14:paraId="240675F1">
      <w:pPr>
        <w:pStyle w:val="2"/>
        <w:spacing w:before="183" w:line="360" w:lineRule="auto"/>
        <w:ind w:left="24" w:firstLine="503"/>
        <w:rPr>
          <w:rFonts w:hint="eastAsia"/>
          <w:lang w:val="en-US" w:eastAsia="zh-CN"/>
        </w:rPr>
      </w:pPr>
      <w:r>
        <w:rPr>
          <w:rFonts w:hint="eastAsia"/>
          <w:b w:val="0"/>
          <w:bCs w:val="0"/>
          <w:spacing w:val="-7"/>
          <w:lang w:val="en-US" w:eastAsia="zh-CN"/>
        </w:rPr>
        <w:t>4.</w:t>
      </w:r>
      <w:r>
        <w:rPr>
          <w:rFonts w:hint="eastAsia"/>
          <w:b w:val="0"/>
          <w:bCs w:val="0"/>
          <w:spacing w:val="-7"/>
        </w:rPr>
        <w:t>实施日期：建议自标准发布之日起</w:t>
      </w:r>
      <w:r>
        <w:rPr>
          <w:rFonts w:hint="eastAsia"/>
          <w:b w:val="0"/>
          <w:bCs w:val="0"/>
          <w:spacing w:val="-7"/>
          <w:lang w:val="en-US" w:eastAsia="zh-CN"/>
        </w:rPr>
        <w:t>实施</w:t>
      </w:r>
      <w:r>
        <w:rPr>
          <w:rFonts w:hint="eastAsia"/>
          <w:b w:val="0"/>
          <w:bCs w:val="0"/>
          <w:spacing w:val="-7"/>
          <w:lang w:eastAsia="zh-CN"/>
        </w:rPr>
        <w:t>，</w:t>
      </w:r>
      <w:r>
        <w:rPr>
          <w:rFonts w:hint="eastAsia"/>
          <w:b w:val="0"/>
          <w:bCs w:val="0"/>
          <w:spacing w:val="-7"/>
          <w:lang w:val="en-US" w:eastAsia="zh-CN"/>
        </w:rPr>
        <w:t>最终由海南省卫生健康委员会及相关主管部门商议决定</w:t>
      </w:r>
      <w:r>
        <w:rPr>
          <w:rFonts w:hint="eastAsia"/>
          <w:lang w:val="en-US" w:eastAsia="zh-CN"/>
        </w:rPr>
        <w:t>。</w:t>
      </w:r>
    </w:p>
    <w:p w14:paraId="7DFAC062">
      <w:pPr>
        <w:pStyle w:val="2"/>
        <w:numPr>
          <w:ilvl w:val="0"/>
          <w:numId w:val="5"/>
        </w:numPr>
        <w:spacing w:before="1" w:line="220" w:lineRule="auto"/>
        <w:ind w:left="30" w:leftChars="0" w:firstLine="480" w:firstLineChars="0"/>
        <w:outlineLvl w:val="1"/>
        <w:rPr>
          <w:b/>
          <w:bCs/>
          <w:spacing w:val="-7"/>
        </w:rPr>
      </w:pPr>
      <w:bookmarkStart w:id="10" w:name="_Toc31301"/>
      <w:r>
        <w:rPr>
          <w:b/>
          <w:bCs/>
          <w:spacing w:val="-7"/>
        </w:rPr>
        <w:t>预期效果</w:t>
      </w:r>
      <w:bookmarkEnd w:id="10"/>
    </w:p>
    <w:p w14:paraId="483177DF">
      <w:pPr>
        <w:pStyle w:val="2"/>
        <w:spacing w:before="183" w:line="360" w:lineRule="auto"/>
        <w:ind w:left="24" w:firstLine="503"/>
        <w:rPr>
          <w:rFonts w:hint="eastAsia"/>
          <w:lang w:val="en-US" w:eastAsia="zh-CN"/>
        </w:rPr>
      </w:pPr>
      <w:r>
        <w:rPr>
          <w:rFonts w:hint="eastAsia"/>
          <w:lang w:val="en-US" w:eastAsia="zh-CN"/>
        </w:rPr>
        <w:t>本规范可统一和规范海南省内黎医蜂疗法的技术操作，提升服务安全性与质量；明确禁忌症、慎用症及注意事项，最大限度保障患者安全、减少不良反应；同时为黎医蜂疗法的传承、人才培养和学术研究提供规范依据，带动相关技术培训与健康服务发展，并作为黎族医药文化载体，增强民族文化自信。</w:t>
      </w:r>
    </w:p>
    <w:p w14:paraId="3A581053">
      <w:pPr>
        <w:pStyle w:val="2"/>
        <w:spacing w:before="122" w:line="220" w:lineRule="auto"/>
        <w:ind w:left="511"/>
        <w:outlineLvl w:val="1"/>
      </w:pPr>
      <w:bookmarkStart w:id="11" w:name="_Toc31345"/>
      <w:r>
        <w:rPr>
          <w:b/>
          <w:bCs/>
          <w:spacing w:val="-5"/>
        </w:rPr>
        <w:t>（十）其他应予说明的事项</w:t>
      </w:r>
      <w:bookmarkEnd w:id="11"/>
    </w:p>
    <w:p w14:paraId="3F9932EC">
      <w:pPr>
        <w:pStyle w:val="2"/>
        <w:spacing w:before="184" w:line="220" w:lineRule="auto"/>
        <w:ind w:left="506"/>
        <w:rPr>
          <w:rFonts w:hint="eastAsia" w:eastAsia="宋体"/>
          <w:lang w:val="en-US" w:eastAsia="zh-CN"/>
        </w:rPr>
      </w:pPr>
      <w:r>
        <w:rPr>
          <w:rFonts w:hint="eastAsia"/>
          <w:lang w:val="en-US" w:eastAsia="zh-CN"/>
        </w:rPr>
        <w:t>无。</w:t>
      </w:r>
    </w:p>
    <w:sectPr>
      <w:footerReference r:id="rId7" w:type="default"/>
      <w:pgSz w:w="11905" w:h="16840"/>
      <w:pgMar w:top="1431" w:right="1785" w:bottom="1255" w:left="1785" w:header="0" w:footer="10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35F5F5-964D-4A9F-97A4-84563ABF7D39}"/>
  </w:font>
  <w:font w:name="黑体">
    <w:panose1 w:val="02010609060101010101"/>
    <w:charset w:val="86"/>
    <w:family w:val="auto"/>
    <w:pitch w:val="default"/>
    <w:sig w:usb0="800002BF" w:usb1="38CF7CFA" w:usb2="00000016" w:usb3="00000000" w:csb0="00040001" w:csb1="00000000"/>
    <w:embedRegular r:id="rId2" w:fontKey="{F9355FF5-1274-4718-8CB7-CF7A956249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97F76095-F186-48FE-8AE7-445DA0AA97F7}"/>
  </w:font>
  <w:font w:name="方正小标宋简体">
    <w:panose1 w:val="02000000000000000000"/>
    <w:charset w:val="86"/>
    <w:family w:val="script"/>
    <w:pitch w:val="default"/>
    <w:sig w:usb0="00000001" w:usb1="08000000" w:usb2="00000000" w:usb3="00000000" w:csb0="00040000" w:csb1="00000000"/>
    <w:embedRegular r:id="rId4" w:fontKey="{1A1872AA-9F5D-41FD-B96A-014B34DC9EFF}"/>
  </w:font>
  <w:font w:name="方正公文小标宋">
    <w:panose1 w:val="02000500000000000000"/>
    <w:charset w:val="86"/>
    <w:family w:val="auto"/>
    <w:pitch w:val="default"/>
    <w:sig w:usb0="A00002BF" w:usb1="38CF7CFA" w:usb2="00000016" w:usb3="00000000" w:csb0="00040001" w:csb1="00000000"/>
    <w:embedRegular r:id="rId5" w:fontKey="{61F179C3-48BB-4A42-9F2D-67F772A6C2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71838">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51002">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351002">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BB5B">
    <w:pPr>
      <w:spacing w:line="220" w:lineRule="auto"/>
      <w:ind w:left="4314"/>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92E7">
    <w:pPr>
      <w:spacing w:line="223" w:lineRule="auto"/>
      <w:ind w:left="4282"/>
      <w:rPr>
        <w:rFonts w:ascii="Times New Roman" w:hAnsi="Times New Roman" w:eastAsia="Times New Roman" w:cs="Times New Roman"/>
        <w:sz w:val="18"/>
        <w:szCs w:val="18"/>
      </w:rPr>
    </w:pPr>
    <w:bookmarkStart w:id="12" w:name="_GoBack"/>
    <w:bookmarkEnd w:id="12"/>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C2208F">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1FC2208F">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EC430"/>
    <w:multiLevelType w:val="singleLevel"/>
    <w:tmpl w:val="A9DEC430"/>
    <w:lvl w:ilvl="0" w:tentative="0">
      <w:start w:val="2"/>
      <w:numFmt w:val="decimal"/>
      <w:suff w:val="nothing"/>
      <w:lvlText w:val="%1."/>
      <w:lvlJc w:val="left"/>
      <w:rPr>
        <w:rFonts w:hint="default"/>
        <w:b/>
        <w:bCs/>
      </w:rPr>
    </w:lvl>
  </w:abstractNum>
  <w:abstractNum w:abstractNumId="1">
    <w:nsid w:val="1F810F9A"/>
    <w:multiLevelType w:val="singleLevel"/>
    <w:tmpl w:val="1F810F9A"/>
    <w:lvl w:ilvl="0" w:tentative="0">
      <w:start w:val="3"/>
      <w:numFmt w:val="decimal"/>
      <w:suff w:val="nothing"/>
      <w:lvlText w:val="（%1）"/>
      <w:lvlJc w:val="left"/>
    </w:lvl>
  </w:abstractNum>
  <w:abstractNum w:abstractNumId="2">
    <w:nsid w:val="2C5917C3"/>
    <w:multiLevelType w:val="multilevel"/>
    <w:tmpl w:val="2C5917C3"/>
    <w:lvl w:ilvl="0" w:tentative="0">
      <w:start w:val="1"/>
      <w:numFmt w:val="none"/>
      <w:pStyle w:val="13"/>
      <w:lvlText w:val="%1——"/>
      <w:lvlJc w:val="left"/>
      <w:pPr>
        <w:tabs>
          <w:tab w:val="left" w:pos="851"/>
        </w:tabs>
        <w:ind w:left="851"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
    <w:nsid w:val="5E7FD17E"/>
    <w:multiLevelType w:val="singleLevel"/>
    <w:tmpl w:val="5E7FD17E"/>
    <w:lvl w:ilvl="0" w:tentative="0">
      <w:start w:val="8"/>
      <w:numFmt w:val="chineseCounting"/>
      <w:suff w:val="nothing"/>
      <w:lvlText w:val="（%1）"/>
      <w:lvlJc w:val="left"/>
      <w:rPr>
        <w:rFonts w:hint="eastAsia"/>
      </w:r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7"/>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C85F20"/>
    <w:rsid w:val="00F75B29"/>
    <w:rsid w:val="06304CF3"/>
    <w:rsid w:val="09E346C7"/>
    <w:rsid w:val="09F12627"/>
    <w:rsid w:val="0D25158E"/>
    <w:rsid w:val="11BF0972"/>
    <w:rsid w:val="21746591"/>
    <w:rsid w:val="24213E4F"/>
    <w:rsid w:val="29362263"/>
    <w:rsid w:val="31F14A27"/>
    <w:rsid w:val="3986059E"/>
    <w:rsid w:val="43693FD7"/>
    <w:rsid w:val="44F512D3"/>
    <w:rsid w:val="4D7C79ED"/>
    <w:rsid w:val="65A457F8"/>
    <w:rsid w:val="74EE7C94"/>
    <w:rsid w:val="78EF36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1"/>
    <w:basedOn w:val="1"/>
    <w:next w:val="1"/>
    <w:qFormat/>
    <w:uiPriority w:val="0"/>
  </w:style>
  <w:style w:type="paragraph" w:styleId="6">
    <w:name w:val="toc 4"/>
    <w:basedOn w:val="1"/>
    <w:next w:val="1"/>
    <w:qFormat/>
    <w:uiPriority w:val="0"/>
    <w:pPr>
      <w:ind w:left="1260" w:leftChars="600"/>
    </w:pPr>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paragraph" w:customStyle="1" w:styleId="1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标准文件_一级项"/>
    <w:qFormat/>
    <w:uiPriority w:val="0"/>
    <w:pPr>
      <w:numPr>
        <w:ilvl w:val="0"/>
        <w:numId w:val="1"/>
      </w:numPr>
    </w:pPr>
    <w:rPr>
      <w:rFonts w:ascii="宋体" w:hAnsi="Times New Roman" w:eastAsia="宋体" w:cs="Times New Roman"/>
      <w:sz w:val="21"/>
      <w:lang w:val="en-US" w:eastAsia="zh-CN" w:bidi="ar-SA"/>
    </w:rPr>
  </w:style>
  <w:style w:type="paragraph" w:customStyle="1" w:styleId="14">
    <w:name w:val="标准文件_一级条标题"/>
    <w:basedOn w:val="15"/>
    <w:next w:val="12"/>
    <w:qFormat/>
    <w:uiPriority w:val="0"/>
    <w:pPr>
      <w:numPr>
        <w:ilvl w:val="2"/>
      </w:numPr>
      <w:spacing w:before="50" w:beforeLines="50" w:after="50" w:afterLines="50"/>
      <w:outlineLvl w:val="1"/>
    </w:pPr>
  </w:style>
  <w:style w:type="paragraph" w:customStyle="1" w:styleId="15">
    <w:name w:val="标准文件_章标题"/>
    <w:next w:val="12"/>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二级无标题"/>
    <w:basedOn w:val="17"/>
    <w:qFormat/>
    <w:uiPriority w:val="0"/>
    <w:pPr>
      <w:spacing w:before="0" w:beforeLines="0" w:after="0" w:afterLines="0"/>
      <w:outlineLvl w:val="9"/>
    </w:pPr>
    <w:rPr>
      <w:rFonts w:ascii="宋体" w:eastAsia="宋体"/>
    </w:rPr>
  </w:style>
  <w:style w:type="paragraph" w:customStyle="1" w:styleId="17">
    <w:name w:val="标准文件_二级条标题"/>
    <w:next w:val="12"/>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4790</Words>
  <Characters>5129</Characters>
  <TotalTime>0</TotalTime>
  <ScaleCrop>false</ScaleCrop>
  <LinksUpToDate>false</LinksUpToDate>
  <CharactersWithSpaces>5195</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2026-02-25T08:35:00Z</dcterms:created>
  <dc:creator>aaa</dc:creator>
  <cp:lastModifiedBy>JoJo ke</cp:lastModifiedBy>
  <dcterms:modified xsi:type="dcterms:W3CDTF">2026-02-28T04:09:22Z</dcterms:modified>
  <dc:title>《自动气象站场室防雷技术规范》编制说明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2026-02-27T02:20:15Z</vt:filetime>
  </property>
  <property fmtid="{D5CDD505-2E9C-101B-9397-08002B2CF9AE}" pid="4" name="KSOTemplateDocerSaveRecord">
    <vt:lpwstr>eyJoZGlkIjoiYzYzMjI3MDczMTE2NDQ3YTFmYTYwMmMwOWMwMGRhZDciLCJ1c2VySWQiOiIyNzk2ODUxMTEifQ==</vt:lpwstr>
  </property>
  <property fmtid="{D5CDD505-2E9C-101B-9397-08002B2CF9AE}" pid="5" name="KSOProductBuildVer">
    <vt:lpwstr>2052-12.1.0.25225</vt:lpwstr>
  </property>
  <property fmtid="{D5CDD505-2E9C-101B-9397-08002B2CF9AE}" pid="6" name="ICV">
    <vt:lpwstr>96C9BD968B74487088A1ACFB60F42043_12</vt:lpwstr>
  </property>
</Properties>
</file>