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2DAE9">
      <w:pPr>
        <w:spacing w:line="480" w:lineRule="auto"/>
        <w:jc w:val="center"/>
        <w:rPr>
          <w:rFonts w:ascii="仿宋" w:hAnsi="仿宋" w:eastAsia="仿宋"/>
          <w:b/>
          <w:sz w:val="32"/>
          <w:szCs w:val="32"/>
        </w:rPr>
      </w:pPr>
    </w:p>
    <w:p w14:paraId="5A2E0519">
      <w:pPr>
        <w:spacing w:line="480" w:lineRule="auto"/>
        <w:jc w:val="center"/>
        <w:rPr>
          <w:rFonts w:hint="eastAsia" w:ascii="方正小标宋简体" w:eastAsia="方正小标宋简体"/>
          <w:b/>
          <w:sz w:val="52"/>
          <w:szCs w:val="52"/>
        </w:rPr>
      </w:pPr>
    </w:p>
    <w:p w14:paraId="31337490">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8EEDC71">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26B7BFC">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海南省地方标准</w:t>
      </w:r>
    </w:p>
    <w:p w14:paraId="7C276058">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w:t>
      </w:r>
      <w:r>
        <w:rPr>
          <w:rFonts w:hint="eastAsia" w:ascii="方正小标宋简体" w:hAnsi="方正小标宋简体" w:eastAsia="方正小标宋简体" w:cs="方正小标宋简体"/>
          <w:spacing w:val="-2"/>
          <w:sz w:val="52"/>
          <w:szCs w:val="52"/>
          <w:lang w:val="en-US" w:eastAsia="zh-CN"/>
        </w:rPr>
        <w:t>黎医疗法操作规范  熏蒸疗法</w:t>
      </w:r>
      <w:r>
        <w:rPr>
          <w:rFonts w:hint="eastAsia" w:ascii="方正小标宋简体" w:hAnsi="方正小标宋简体" w:eastAsia="方正小标宋简体" w:cs="方正小标宋简体"/>
          <w:spacing w:val="-2"/>
          <w:sz w:val="52"/>
          <w:szCs w:val="52"/>
        </w:rPr>
        <w:t>》</w:t>
      </w:r>
    </w:p>
    <w:p w14:paraId="2508F89D">
      <w:pPr>
        <w:spacing w:before="55" w:line="239" w:lineRule="auto"/>
        <w:ind w:left="3715" w:right="659" w:hanging="3079"/>
        <w:jc w:val="center"/>
        <w:rPr>
          <w:rFonts w:hint="eastAsia" w:ascii="方正公文小标宋" w:hAnsi="方正公文小标宋" w:eastAsia="方正公文小标宋" w:cs="方正公文小标宋"/>
          <w:spacing w:val="-2"/>
          <w:sz w:val="44"/>
          <w:szCs w:val="44"/>
        </w:rPr>
      </w:pPr>
      <w:r>
        <w:rPr>
          <w:rFonts w:hint="eastAsia" w:ascii="方正小标宋简体" w:hAnsi="方正小标宋简体" w:eastAsia="方正小标宋简体" w:cs="方正小标宋简体"/>
          <w:spacing w:val="-2"/>
          <w:sz w:val="52"/>
          <w:szCs w:val="52"/>
        </w:rPr>
        <w:t>编制说明</w:t>
      </w:r>
    </w:p>
    <w:p w14:paraId="4639CBF1">
      <w:pPr>
        <w:spacing w:line="480" w:lineRule="auto"/>
        <w:jc w:val="center"/>
        <w:rPr>
          <w:rFonts w:ascii="仿宋" w:hAnsi="仿宋" w:eastAsia="仿宋"/>
          <w:b/>
          <w:sz w:val="32"/>
          <w:szCs w:val="32"/>
        </w:rPr>
      </w:pPr>
    </w:p>
    <w:p w14:paraId="38B33E9D">
      <w:pPr>
        <w:spacing w:line="480" w:lineRule="auto"/>
        <w:jc w:val="center"/>
        <w:rPr>
          <w:rFonts w:ascii="仿宋" w:hAnsi="仿宋" w:eastAsia="仿宋"/>
          <w:b/>
          <w:sz w:val="32"/>
          <w:szCs w:val="32"/>
        </w:rPr>
      </w:pPr>
    </w:p>
    <w:p w14:paraId="7F524A1E">
      <w:pPr>
        <w:spacing w:line="480" w:lineRule="auto"/>
        <w:jc w:val="center"/>
        <w:rPr>
          <w:rFonts w:ascii="仿宋" w:hAnsi="仿宋" w:eastAsia="仿宋"/>
          <w:b/>
          <w:sz w:val="32"/>
          <w:szCs w:val="32"/>
        </w:rPr>
      </w:pPr>
    </w:p>
    <w:p w14:paraId="6CC9F858">
      <w:pPr>
        <w:spacing w:line="480" w:lineRule="auto"/>
        <w:jc w:val="center"/>
        <w:rPr>
          <w:rFonts w:ascii="仿宋" w:hAnsi="仿宋" w:eastAsia="仿宋"/>
          <w:b/>
          <w:sz w:val="32"/>
          <w:szCs w:val="32"/>
        </w:rPr>
      </w:pPr>
    </w:p>
    <w:p w14:paraId="551BD8B9">
      <w:pPr>
        <w:spacing w:line="480" w:lineRule="auto"/>
        <w:jc w:val="center"/>
        <w:rPr>
          <w:rFonts w:hint="eastAsia" w:ascii="仿宋" w:hAnsi="仿宋" w:eastAsia="仿宋"/>
          <w:b/>
          <w:sz w:val="32"/>
          <w:szCs w:val="32"/>
        </w:rPr>
      </w:pPr>
    </w:p>
    <w:p w14:paraId="6E15ED4B">
      <w:pPr>
        <w:spacing w:line="480" w:lineRule="auto"/>
        <w:rPr>
          <w:rFonts w:hint="eastAsia" w:ascii="仿宋" w:hAnsi="仿宋" w:eastAsia="仿宋"/>
          <w:b/>
          <w:sz w:val="32"/>
          <w:szCs w:val="32"/>
        </w:rPr>
      </w:pPr>
    </w:p>
    <w:p w14:paraId="67D60C78">
      <w:pPr>
        <w:spacing w:line="480" w:lineRule="auto"/>
        <w:rPr>
          <w:rFonts w:hint="eastAsia" w:ascii="仿宋" w:hAnsi="仿宋" w:eastAsia="仿宋"/>
          <w:b/>
          <w:sz w:val="32"/>
          <w:szCs w:val="32"/>
        </w:rPr>
      </w:pPr>
    </w:p>
    <w:p w14:paraId="28B69057">
      <w:pPr>
        <w:spacing w:line="480" w:lineRule="auto"/>
        <w:rPr>
          <w:rFonts w:hint="eastAsia" w:ascii="仿宋" w:hAnsi="仿宋" w:eastAsia="仿宋"/>
          <w:b/>
          <w:sz w:val="32"/>
          <w:szCs w:val="32"/>
        </w:rPr>
      </w:pPr>
    </w:p>
    <w:p w14:paraId="2ED1A156">
      <w:pPr>
        <w:spacing w:line="480" w:lineRule="auto"/>
        <w:jc w:val="center"/>
        <w:rPr>
          <w:rFonts w:hint="eastAsia" w:ascii="方正小标宋简体" w:hAnsi="方正小标宋简体" w:eastAsia="方正小标宋简体" w:cs="方正小标宋简体"/>
          <w:b w:val="0"/>
          <w:bCs/>
          <w:sz w:val="44"/>
          <w:szCs w:val="44"/>
        </w:rPr>
        <w:sectPr>
          <w:footerReference r:id="rId5" w:type="default"/>
          <w:pgSz w:w="11906" w:h="16838"/>
          <w:pgMar w:top="720" w:right="720" w:bottom="720" w:left="720" w:header="851" w:footer="992" w:gutter="0"/>
          <w:cols w:space="720" w:num="1"/>
          <w:docGrid w:type="lines" w:linePitch="312" w:charSpace="0"/>
        </w:sectPr>
      </w:pPr>
      <w:r>
        <w:rPr>
          <w:rFonts w:hint="eastAsia" w:ascii="方正小标宋简体" w:hAnsi="方正小标宋简体" w:eastAsia="方正小标宋简体" w:cs="方正小标宋简体"/>
          <w:b w:val="0"/>
          <w:bCs/>
          <w:sz w:val="44"/>
          <w:szCs w:val="44"/>
        </w:rPr>
        <w:t>2026年1月</w:t>
      </w:r>
    </w:p>
    <w:sdt>
      <w:sdtPr>
        <w:rPr>
          <w:rFonts w:ascii="宋体" w:hAnsi="宋体" w:eastAsia="宋体" w:cs="Arial"/>
          <w:snapToGrid w:val="0"/>
          <w:color w:val="000000"/>
          <w:kern w:val="0"/>
          <w:sz w:val="21"/>
          <w:szCs w:val="21"/>
          <w:lang w:val="en-US" w:eastAsia="en-US" w:bidi="ar-SA"/>
        </w:rPr>
        <w:id w:val="147458302"/>
        <w15:color w:val="DBDBDB"/>
        <w:docPartObj>
          <w:docPartGallery w:val="Table of Contents"/>
          <w:docPartUnique/>
        </w:docPartObj>
      </w:sdtPr>
      <w:sdtEndPr>
        <w:rPr>
          <w:rFonts w:ascii="黑体" w:hAnsi="黑体" w:eastAsia="黑体" w:cs="黑体"/>
          <w:snapToGrid w:val="0"/>
          <w:color w:val="000000"/>
          <w:spacing w:val="-2"/>
          <w:kern w:val="0"/>
          <w:sz w:val="21"/>
          <w:szCs w:val="28"/>
          <w:lang w:val="en-US" w:eastAsia="en-US" w:bidi="ar-SA"/>
        </w:rPr>
      </w:sdtEndPr>
      <w:sdtContent>
        <w:p w14:paraId="189C6F98">
          <w:pPr>
            <w:spacing w:before="0" w:beforeLines="0" w:after="0" w:afterLines="0" w:line="360" w:lineRule="auto"/>
            <w:ind w:left="0" w:leftChars="0" w:right="0" w:rightChars="0" w:firstLine="0" w:firstLineChars="0"/>
            <w:jc w:val="center"/>
            <w:rPr>
              <w:rFonts w:hint="eastAsia" w:ascii="黑体" w:hAnsi="黑体" w:eastAsia="黑体" w:cs="黑体"/>
              <w:sz w:val="30"/>
              <w:szCs w:val="30"/>
            </w:rPr>
          </w:pPr>
          <w:r>
            <w:rPr>
              <w:rFonts w:hint="eastAsia" w:ascii="方正小标宋简体" w:hAnsi="方正小标宋简体" w:eastAsia="方正小标宋简体" w:cs="方正小标宋简体"/>
              <w:spacing w:val="-2"/>
              <w:sz w:val="52"/>
              <w:szCs w:val="52"/>
            </w:rPr>
            <w:t>目录</w:t>
          </w:r>
        </w:p>
        <w:p w14:paraId="218A80E6">
          <w:pPr>
            <w:pStyle w:val="5"/>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color w:val="000000"/>
              <w:spacing w:val="-2"/>
              <w:kern w:val="0"/>
              <w:sz w:val="30"/>
              <w:szCs w:val="30"/>
              <w:lang w:val="en-US" w:eastAsia="en-US" w:bidi="ar-SA"/>
            </w:rPr>
            <w:instrText xml:space="preserve">TOC \o "1-2" \h \u </w:instrText>
          </w:r>
          <w:r>
            <w:rPr>
              <w:rFonts w:hint="eastAsia" w:ascii="黑体" w:hAnsi="黑体" w:eastAsia="黑体" w:cs="黑体"/>
              <w:snapToGrid w:val="0"/>
              <w:color w:val="000000"/>
              <w:spacing w:val="-2"/>
              <w:kern w:val="0"/>
              <w:sz w:val="30"/>
              <w:szCs w:val="30"/>
              <w:lang w:val="en-US" w:eastAsia="en-US" w:bidi="ar-SA"/>
            </w:rPr>
            <w:fldChar w:fldCharType="separate"/>
          </w: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_Toc10979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spacing w:val="-1"/>
              <w:sz w:val="30"/>
              <w:szCs w:val="30"/>
            </w:rPr>
            <w:t>一、项目简况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_Toc10979 \h </w:instrText>
          </w:r>
          <w:r>
            <w:rPr>
              <w:rFonts w:hint="eastAsia" w:ascii="黑体" w:hAnsi="黑体" w:eastAsia="黑体" w:cs="黑体"/>
              <w:sz w:val="30"/>
              <w:szCs w:val="30"/>
            </w:rPr>
            <w:fldChar w:fldCharType="separate"/>
          </w:r>
          <w:r>
            <w:rPr>
              <w:rFonts w:hint="eastAsia" w:ascii="黑体" w:hAnsi="黑体" w:eastAsia="黑体" w:cs="黑体"/>
              <w:sz w:val="30"/>
              <w:szCs w:val="30"/>
            </w:rPr>
            <w:t>4</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3EFC09EA">
          <w:pPr>
            <w:pStyle w:val="5"/>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_Toc22367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spacing w:val="-1"/>
              <w:sz w:val="30"/>
              <w:szCs w:val="30"/>
            </w:rPr>
            <w:t>二、编制情况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_Toc22367 \h </w:instrText>
          </w:r>
          <w:r>
            <w:rPr>
              <w:rFonts w:hint="eastAsia" w:ascii="黑体" w:hAnsi="黑体" w:eastAsia="黑体" w:cs="黑体"/>
              <w:sz w:val="30"/>
              <w:szCs w:val="30"/>
            </w:rPr>
            <w:fldChar w:fldCharType="separate"/>
          </w:r>
          <w:r>
            <w:rPr>
              <w:rFonts w:hint="eastAsia" w:ascii="黑体" w:hAnsi="黑体" w:eastAsia="黑体" w:cs="黑体"/>
              <w:sz w:val="30"/>
              <w:szCs w:val="30"/>
            </w:rPr>
            <w:t>5</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739F2848">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_Toc23091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4"/>
              <w:sz w:val="30"/>
              <w:szCs w:val="30"/>
            </w:rPr>
            <w:t>（一）编制标准的必要性和意义及背景</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_Toc23091 \h </w:instrText>
          </w:r>
          <w:r>
            <w:rPr>
              <w:rFonts w:hint="eastAsia" w:ascii="黑体" w:hAnsi="黑体" w:eastAsia="黑体" w:cs="黑体"/>
              <w:sz w:val="30"/>
              <w:szCs w:val="30"/>
            </w:rPr>
            <w:fldChar w:fldCharType="separate"/>
          </w:r>
          <w:r>
            <w:rPr>
              <w:rFonts w:hint="eastAsia" w:ascii="黑体" w:hAnsi="黑体" w:eastAsia="黑体" w:cs="黑体"/>
              <w:sz w:val="30"/>
              <w:szCs w:val="30"/>
            </w:rPr>
            <w:t>5</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42436749">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_Toc32141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5"/>
              <w:sz w:val="30"/>
              <w:szCs w:val="30"/>
            </w:rPr>
            <w:t>（二）编制过程简介</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_Toc32141 \h </w:instrText>
          </w:r>
          <w:r>
            <w:rPr>
              <w:rFonts w:hint="eastAsia" w:ascii="黑体" w:hAnsi="黑体" w:eastAsia="黑体" w:cs="黑体"/>
              <w:sz w:val="30"/>
              <w:szCs w:val="30"/>
            </w:rPr>
            <w:fldChar w:fldCharType="separate"/>
          </w:r>
          <w:r>
            <w:rPr>
              <w:rFonts w:hint="eastAsia" w:ascii="黑体" w:hAnsi="黑体" w:eastAsia="黑体" w:cs="黑体"/>
              <w:sz w:val="30"/>
              <w:szCs w:val="30"/>
            </w:rPr>
            <w:t>6</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057A4F04">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_Toc498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2"/>
              <w:sz w:val="30"/>
              <w:szCs w:val="30"/>
            </w:rPr>
            <w:t>（三）制定标准的原则和依据，与现行法律法</w:t>
          </w:r>
          <w:r>
            <w:rPr>
              <w:rFonts w:hint="eastAsia" w:ascii="黑体" w:hAnsi="黑体" w:eastAsia="黑体" w:cs="黑体"/>
              <w:bCs/>
              <w:spacing w:val="-3"/>
              <w:sz w:val="30"/>
              <w:szCs w:val="30"/>
            </w:rPr>
            <w:t>规、标准的关系</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_Toc498 \h </w:instrText>
          </w:r>
          <w:r>
            <w:rPr>
              <w:rFonts w:hint="eastAsia" w:ascii="黑体" w:hAnsi="黑体" w:eastAsia="黑体" w:cs="黑体"/>
              <w:sz w:val="30"/>
              <w:szCs w:val="30"/>
            </w:rPr>
            <w:fldChar w:fldCharType="separate"/>
          </w:r>
          <w:r>
            <w:rPr>
              <w:rFonts w:hint="eastAsia" w:ascii="黑体" w:hAnsi="黑体" w:eastAsia="黑体" w:cs="黑体"/>
              <w:sz w:val="30"/>
              <w:szCs w:val="30"/>
            </w:rPr>
            <w:t>7</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5AFAD7E7">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_Toc5013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3"/>
              <w:sz w:val="30"/>
              <w:szCs w:val="30"/>
            </w:rPr>
            <w:t>（四）主要条款的说明，主要技术指标、参数、试验验证的论述</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_Toc5013 \h </w:instrText>
          </w:r>
          <w:r>
            <w:rPr>
              <w:rFonts w:hint="eastAsia" w:ascii="黑体" w:hAnsi="黑体" w:eastAsia="黑体" w:cs="黑体"/>
              <w:sz w:val="30"/>
              <w:szCs w:val="30"/>
            </w:rPr>
            <w:fldChar w:fldCharType="separate"/>
          </w:r>
          <w:r>
            <w:rPr>
              <w:rFonts w:hint="eastAsia" w:ascii="黑体" w:hAnsi="黑体" w:eastAsia="黑体" w:cs="黑体"/>
              <w:sz w:val="30"/>
              <w:szCs w:val="30"/>
            </w:rPr>
            <w:t>7</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17AB55A4">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_Toc936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3"/>
              <w:sz w:val="30"/>
              <w:szCs w:val="30"/>
            </w:rPr>
            <w:t>（五）标准中如果涉及专利，应有明确的知识产权说明</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_Toc936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6427943C">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_Toc46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1"/>
              <w:sz w:val="30"/>
              <w:szCs w:val="30"/>
            </w:rPr>
            <w:t>（六）采用国际标准或国外先进标准的，说明采标程度，以及国内外同类</w:t>
          </w:r>
          <w:r>
            <w:rPr>
              <w:rFonts w:hint="eastAsia" w:ascii="黑体" w:hAnsi="黑体" w:eastAsia="黑体" w:cs="黑体"/>
              <w:bCs/>
              <w:spacing w:val="-3"/>
              <w:sz w:val="30"/>
              <w:szCs w:val="30"/>
            </w:rPr>
            <w:t>标准水平的对比情况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_Toc46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0CF6BE3B">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_Toc12624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4"/>
              <w:sz w:val="30"/>
              <w:szCs w:val="30"/>
            </w:rPr>
            <w:t>（七）重大分歧意见的处理依据和结果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_Toc12624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17F90529">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_Toc17148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7"/>
              <w:sz w:val="30"/>
              <w:szCs w:val="30"/>
            </w:rPr>
            <w:t>（八）</w:t>
          </w:r>
          <w:r>
            <w:rPr>
              <w:rFonts w:hint="eastAsia" w:ascii="黑体" w:hAnsi="黑体" w:eastAsia="黑体" w:cs="黑体"/>
              <w:bCs/>
              <w:spacing w:val="-3"/>
              <w:sz w:val="30"/>
              <w:szCs w:val="30"/>
            </w:rPr>
            <w:t>贯彻标准的要求和措施建议</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_Toc17148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305CD6BA">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_Toc4912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7"/>
              <w:sz w:val="30"/>
              <w:szCs w:val="30"/>
            </w:rPr>
            <w:t>（九）预期效果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_Toc4912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573F8C1B">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_Toc30105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5"/>
              <w:sz w:val="30"/>
              <w:szCs w:val="30"/>
            </w:rPr>
            <w:t>（十）其他应予说明的事项</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_Toc30105 \h </w:instrText>
          </w:r>
          <w:r>
            <w:rPr>
              <w:rFonts w:hint="eastAsia" w:ascii="黑体" w:hAnsi="黑体" w:eastAsia="黑体" w:cs="黑体"/>
              <w:sz w:val="30"/>
              <w:szCs w:val="30"/>
            </w:rPr>
            <w:fldChar w:fldCharType="separate"/>
          </w:r>
          <w:r>
            <w:rPr>
              <w:rFonts w:hint="eastAsia" w:ascii="黑体" w:hAnsi="黑体" w:eastAsia="黑体" w:cs="黑体"/>
              <w:sz w:val="30"/>
              <w:szCs w:val="30"/>
            </w:rPr>
            <w:t>11</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23FCF2C7">
          <w:pPr>
            <w:spacing w:before="55" w:line="360" w:lineRule="auto"/>
            <w:ind w:left="3715" w:right="659" w:hanging="3079"/>
            <w:jc w:val="center"/>
            <w:rPr>
              <w:rFonts w:ascii="黑体" w:hAnsi="黑体" w:eastAsia="黑体" w:cs="黑体"/>
              <w:snapToGrid w:val="0"/>
              <w:color w:val="000000"/>
              <w:spacing w:val="-2"/>
              <w:kern w:val="0"/>
              <w:sz w:val="21"/>
              <w:szCs w:val="28"/>
              <w:lang w:val="en-US" w:eastAsia="en-US" w:bidi="ar-SA"/>
            </w:rPr>
          </w:pPr>
          <w:r>
            <w:rPr>
              <w:rFonts w:hint="eastAsia" w:ascii="黑体" w:hAnsi="黑体" w:eastAsia="黑体" w:cs="黑体"/>
              <w:snapToGrid w:val="0"/>
              <w:color w:val="000000"/>
              <w:spacing w:val="-2"/>
              <w:kern w:val="0"/>
              <w:sz w:val="30"/>
              <w:szCs w:val="30"/>
              <w:lang w:val="en-US" w:eastAsia="en-US" w:bidi="ar-SA"/>
            </w:rPr>
            <w:fldChar w:fldCharType="end"/>
          </w:r>
        </w:p>
      </w:sdtContent>
    </w:sdt>
    <w:p w14:paraId="3CA31F62">
      <w:pPr>
        <w:spacing w:before="55" w:line="239" w:lineRule="auto"/>
        <w:ind w:left="3715" w:right="659" w:hanging="3079"/>
        <w:jc w:val="center"/>
        <w:rPr>
          <w:rFonts w:ascii="黑体" w:hAnsi="黑体" w:eastAsia="黑体" w:cs="黑体"/>
          <w:snapToGrid w:val="0"/>
          <w:color w:val="000000"/>
          <w:spacing w:val="-2"/>
          <w:kern w:val="0"/>
          <w:sz w:val="21"/>
          <w:szCs w:val="28"/>
          <w:lang w:val="en-US" w:eastAsia="en-US" w:bidi="ar-SA"/>
        </w:rPr>
        <w:sectPr>
          <w:footerReference r:id="rId6" w:type="default"/>
          <w:pgSz w:w="11905" w:h="16840"/>
          <w:pgMar w:top="1431" w:right="1785" w:bottom="1255" w:left="1785" w:header="0" w:footer="1052" w:gutter="0"/>
          <w:pgNumType w:start="1"/>
          <w:cols w:space="720" w:num="1"/>
        </w:sectPr>
      </w:pPr>
    </w:p>
    <w:p w14:paraId="2EAEF743">
      <w:pPr>
        <w:spacing w:before="55" w:line="239" w:lineRule="auto"/>
        <w:ind w:left="3715" w:right="659" w:hanging="3079"/>
        <w:jc w:val="center"/>
        <w:rPr>
          <w:rFonts w:ascii="黑体" w:hAnsi="黑体" w:eastAsia="黑体" w:cs="黑体"/>
          <w:spacing w:val="-2"/>
          <w:sz w:val="28"/>
          <w:szCs w:val="28"/>
        </w:rPr>
      </w:pPr>
      <w:r>
        <w:rPr>
          <w:rFonts w:ascii="黑体" w:hAnsi="黑体" w:eastAsia="黑体" w:cs="黑体"/>
          <w:spacing w:val="-2"/>
          <w:sz w:val="28"/>
          <w:szCs w:val="28"/>
        </w:rPr>
        <w:t>海南省地方标准《</w:t>
      </w:r>
      <w:r>
        <w:rPr>
          <w:rFonts w:hint="eastAsia" w:ascii="黑体" w:hAnsi="黑体" w:eastAsia="黑体" w:cs="黑体"/>
          <w:spacing w:val="-2"/>
          <w:sz w:val="28"/>
          <w:szCs w:val="28"/>
        </w:rPr>
        <w:t>黎医疗法操作规范 熏蒸疗法</w:t>
      </w:r>
      <w:r>
        <w:rPr>
          <w:rFonts w:ascii="黑体" w:hAnsi="黑体" w:eastAsia="黑体" w:cs="黑体"/>
          <w:spacing w:val="-2"/>
          <w:sz w:val="28"/>
          <w:szCs w:val="28"/>
        </w:rPr>
        <w:t>》</w:t>
      </w:r>
    </w:p>
    <w:p w14:paraId="0EB3A245">
      <w:pPr>
        <w:spacing w:before="55" w:line="239" w:lineRule="auto"/>
        <w:ind w:left="3715" w:right="659" w:hanging="3079"/>
        <w:jc w:val="center"/>
        <w:rPr>
          <w:rFonts w:ascii="黑体" w:hAnsi="黑体" w:eastAsia="黑体" w:cs="黑体"/>
          <w:sz w:val="28"/>
          <w:szCs w:val="28"/>
        </w:rPr>
      </w:pPr>
      <w:r>
        <w:rPr>
          <w:rFonts w:ascii="黑体" w:hAnsi="黑体" w:eastAsia="黑体" w:cs="黑体"/>
          <w:spacing w:val="-2"/>
          <w:sz w:val="28"/>
          <w:szCs w:val="28"/>
        </w:rPr>
        <w:t>（征求意见稿）编制说明</w:t>
      </w:r>
    </w:p>
    <w:p w14:paraId="3942A2DC">
      <w:pPr>
        <w:spacing w:line="330" w:lineRule="auto"/>
        <w:rPr>
          <w:rFonts w:ascii="Arial"/>
          <w:sz w:val="21"/>
        </w:rPr>
      </w:pPr>
    </w:p>
    <w:p w14:paraId="5D137D29">
      <w:pPr>
        <w:spacing w:line="330" w:lineRule="auto"/>
        <w:rPr>
          <w:rFonts w:ascii="Arial"/>
          <w:sz w:val="21"/>
        </w:rPr>
      </w:pPr>
    </w:p>
    <w:p w14:paraId="3B8D9B7B">
      <w:pPr>
        <w:spacing w:before="91" w:line="219" w:lineRule="auto"/>
        <w:ind w:left="130"/>
        <w:outlineLvl w:val="0"/>
        <w:rPr>
          <w:rFonts w:ascii="黑体" w:hAnsi="黑体" w:eastAsia="黑体" w:cs="黑体"/>
          <w:sz w:val="28"/>
          <w:szCs w:val="28"/>
        </w:rPr>
      </w:pPr>
      <w:bookmarkStart w:id="0" w:name="_Toc10979"/>
      <w:r>
        <w:rPr>
          <w:rFonts w:ascii="黑体" w:hAnsi="黑体" w:eastAsia="黑体" w:cs="黑体"/>
          <w:spacing w:val="-1"/>
          <w:sz w:val="28"/>
          <w:szCs w:val="28"/>
        </w:rPr>
        <w:t>一、项目简况</w:t>
      </w:r>
      <w:bookmarkEnd w:id="0"/>
    </w:p>
    <w:p w14:paraId="1C915C8A">
      <w:pPr>
        <w:pStyle w:val="2"/>
        <w:spacing w:before="232" w:line="218" w:lineRule="auto"/>
        <w:ind w:left="611" w:leftChars="0"/>
        <w:outlineLvl w:val="9"/>
      </w:pPr>
      <w:r>
        <w:rPr>
          <w:b/>
          <w:bCs/>
          <w:spacing w:val="-3"/>
        </w:rPr>
        <w:t>（一）标准名称：</w:t>
      </w:r>
      <w:r>
        <w:rPr>
          <w:rFonts w:hint="eastAsia"/>
          <w:b/>
          <w:bCs/>
          <w:spacing w:val="-3"/>
        </w:rPr>
        <w:t>黎医疗法操作规范 熏蒸疗法</w:t>
      </w:r>
    </w:p>
    <w:p w14:paraId="5DDA34D7">
      <w:pPr>
        <w:pStyle w:val="2"/>
        <w:spacing w:before="181" w:line="233" w:lineRule="auto"/>
        <w:ind w:left="611" w:leftChars="0"/>
        <w:outlineLvl w:val="9"/>
        <w:rPr>
          <w:rFonts w:hint="default" w:ascii="Times New Roman" w:hAnsi="Times New Roman" w:eastAsia="宋体" w:cs="Times New Roman"/>
          <w:lang w:val="en-US" w:eastAsia="zh-CN"/>
        </w:rPr>
      </w:pPr>
      <w:r>
        <w:rPr>
          <w:b/>
          <w:bCs/>
          <w:spacing w:val="-3"/>
        </w:rPr>
        <w:t>（二）任务来源（项目计划号</w:t>
      </w:r>
      <w:r>
        <w:rPr>
          <w:b/>
          <w:bCs/>
          <w:spacing w:val="-44"/>
        </w:rPr>
        <w:t>）：</w:t>
      </w:r>
      <w:r>
        <w:rPr>
          <w:rFonts w:hint="eastAsia"/>
          <w:b/>
          <w:bCs/>
          <w:spacing w:val="-44"/>
          <w:lang w:val="en-US" w:eastAsia="zh-CN"/>
        </w:rPr>
        <w:t>2025-Z86</w:t>
      </w:r>
    </w:p>
    <w:p w14:paraId="2FEE5EAE">
      <w:pPr>
        <w:pStyle w:val="2"/>
        <w:spacing w:before="167" w:line="219" w:lineRule="auto"/>
        <w:ind w:left="611" w:leftChars="0"/>
        <w:outlineLvl w:val="9"/>
      </w:pPr>
      <w:r>
        <w:rPr>
          <w:b/>
          <w:bCs/>
          <w:spacing w:val="-2"/>
        </w:rPr>
        <w:t>（三）起草单位：</w:t>
      </w:r>
      <w:r>
        <w:rPr>
          <w:rFonts w:hint="eastAsia"/>
          <w:b/>
          <w:bCs/>
          <w:spacing w:val="-2"/>
        </w:rPr>
        <w:t>广东省中医院海南医院</w:t>
      </w:r>
    </w:p>
    <w:p w14:paraId="2091CFEF">
      <w:pPr>
        <w:pStyle w:val="2"/>
        <w:spacing w:before="185" w:line="233" w:lineRule="auto"/>
        <w:ind w:left="611" w:leftChars="0"/>
        <w:outlineLvl w:val="9"/>
      </w:pPr>
      <w:r>
        <w:rPr>
          <w:b/>
          <w:bCs/>
          <w:spacing w:val="-3"/>
        </w:rPr>
        <w:t>（四）单位地址：</w:t>
      </w:r>
      <w:r>
        <w:rPr>
          <w:rFonts w:hint="eastAsia"/>
          <w:b/>
          <w:bCs/>
          <w:spacing w:val="-3"/>
        </w:rPr>
        <w:t>海南省海口市椰海大道东19号</w:t>
      </w:r>
    </w:p>
    <w:p w14:paraId="0096DF03">
      <w:pPr>
        <w:pStyle w:val="2"/>
        <w:spacing w:before="162" w:line="220" w:lineRule="auto"/>
        <w:ind w:left="611" w:leftChars="0"/>
        <w:outlineLvl w:val="9"/>
      </w:pPr>
      <w:r>
        <w:rPr>
          <w:b/>
          <w:bCs/>
          <w:spacing w:val="-5"/>
        </w:rPr>
        <w:t>（五）参与起草单位：</w:t>
      </w:r>
      <w:r>
        <w:rPr>
          <w:rFonts w:hint="eastAsia"/>
          <w:b/>
          <w:bCs/>
          <w:spacing w:val="-5"/>
        </w:rPr>
        <w:t>海南医科大学、白沙黎族自治县人民医院、澄迈县人民医院</w:t>
      </w:r>
    </w:p>
    <w:p w14:paraId="67E5B58C">
      <w:pPr>
        <w:pStyle w:val="2"/>
        <w:spacing w:before="185" w:line="220" w:lineRule="auto"/>
        <w:ind w:left="611" w:leftChars="0"/>
        <w:outlineLvl w:val="9"/>
      </w:pPr>
      <w:r>
        <w:rPr>
          <w:b/>
          <w:bCs/>
          <w:spacing w:val="-8"/>
        </w:rPr>
        <w:t>（六）标准起草人：</w:t>
      </w:r>
    </w:p>
    <w:p w14:paraId="49BC8202">
      <w:pPr>
        <w:spacing w:before="179" w:line="220" w:lineRule="auto"/>
        <w:ind w:left="3409"/>
        <w:rPr>
          <w:rFonts w:ascii="黑体" w:hAnsi="黑体" w:eastAsia="黑体" w:cs="黑体"/>
          <w:sz w:val="24"/>
          <w:szCs w:val="24"/>
        </w:rPr>
      </w:pPr>
      <w:r>
        <w:rPr>
          <w:rFonts w:ascii="黑体" w:hAnsi="黑体" w:eastAsia="黑体" w:cs="黑体"/>
          <w:spacing w:val="-5"/>
          <w:sz w:val="24"/>
          <w:szCs w:val="24"/>
        </w:rPr>
        <w:t>表</w:t>
      </w:r>
      <w:r>
        <w:rPr>
          <w:rFonts w:ascii="黑体" w:hAnsi="黑体" w:eastAsia="黑体" w:cs="黑体"/>
          <w:spacing w:val="-33"/>
          <w:sz w:val="24"/>
          <w:szCs w:val="24"/>
        </w:rPr>
        <w:t xml:space="preserve"> </w:t>
      </w:r>
      <w:r>
        <w:rPr>
          <w:rFonts w:ascii="黑体" w:hAnsi="黑体" w:eastAsia="黑体" w:cs="黑体"/>
          <w:spacing w:val="-5"/>
          <w:sz w:val="24"/>
          <w:szCs w:val="24"/>
        </w:rPr>
        <w:t>1 标准起草人</w:t>
      </w:r>
    </w:p>
    <w:p w14:paraId="66077120">
      <w:pPr>
        <w:spacing w:line="70" w:lineRule="exact"/>
      </w:pPr>
    </w:p>
    <w:tbl>
      <w:tblPr>
        <w:tblStyle w:val="10"/>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855"/>
        <w:gridCol w:w="1079"/>
        <w:gridCol w:w="774"/>
        <w:gridCol w:w="1244"/>
        <w:gridCol w:w="2523"/>
        <w:gridCol w:w="1374"/>
      </w:tblGrid>
      <w:tr w14:paraId="6AEF3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0" w:type="dxa"/>
            <w:vAlign w:val="center"/>
          </w:tcPr>
          <w:p w14:paraId="18D571B8">
            <w:pPr>
              <w:pStyle w:val="11"/>
              <w:spacing w:before="49" w:line="221" w:lineRule="auto"/>
              <w:ind w:left="112"/>
              <w:jc w:val="center"/>
            </w:pPr>
            <w:r>
              <w:rPr>
                <w:spacing w:val="-2"/>
              </w:rPr>
              <w:t>序号</w:t>
            </w:r>
          </w:p>
        </w:tc>
        <w:tc>
          <w:tcPr>
            <w:tcW w:w="855" w:type="dxa"/>
            <w:vAlign w:val="center"/>
          </w:tcPr>
          <w:p w14:paraId="41BE2B5A">
            <w:pPr>
              <w:pStyle w:val="11"/>
              <w:spacing w:before="49" w:line="220" w:lineRule="auto"/>
              <w:ind w:left="108"/>
              <w:jc w:val="center"/>
            </w:pPr>
            <w:r>
              <w:rPr>
                <w:spacing w:val="-3"/>
              </w:rPr>
              <w:t>姓名</w:t>
            </w:r>
          </w:p>
        </w:tc>
        <w:tc>
          <w:tcPr>
            <w:tcW w:w="1079" w:type="dxa"/>
            <w:vAlign w:val="center"/>
          </w:tcPr>
          <w:p w14:paraId="06607436">
            <w:pPr>
              <w:pStyle w:val="11"/>
              <w:spacing w:before="49" w:line="220" w:lineRule="auto"/>
              <w:ind w:left="105"/>
              <w:jc w:val="center"/>
            </w:pPr>
            <w:r>
              <w:rPr>
                <w:spacing w:val="-3"/>
              </w:rPr>
              <w:t>单位</w:t>
            </w:r>
          </w:p>
        </w:tc>
        <w:tc>
          <w:tcPr>
            <w:tcW w:w="774" w:type="dxa"/>
            <w:vAlign w:val="center"/>
          </w:tcPr>
          <w:p w14:paraId="73D4DFAF">
            <w:pPr>
              <w:pStyle w:val="11"/>
              <w:spacing w:before="49" w:line="220" w:lineRule="auto"/>
              <w:ind w:left="111"/>
              <w:jc w:val="center"/>
            </w:pPr>
            <w:r>
              <w:rPr>
                <w:spacing w:val="-3"/>
              </w:rPr>
              <w:t>职务</w:t>
            </w:r>
          </w:p>
        </w:tc>
        <w:tc>
          <w:tcPr>
            <w:tcW w:w="1244" w:type="dxa"/>
            <w:vAlign w:val="center"/>
          </w:tcPr>
          <w:p w14:paraId="65FC95F8">
            <w:pPr>
              <w:pStyle w:val="11"/>
              <w:spacing w:before="49" w:line="222" w:lineRule="auto"/>
              <w:ind w:left="107"/>
              <w:jc w:val="center"/>
            </w:pPr>
            <w:r>
              <w:rPr>
                <w:spacing w:val="-3"/>
              </w:rPr>
              <w:t>职称</w:t>
            </w:r>
          </w:p>
        </w:tc>
        <w:tc>
          <w:tcPr>
            <w:tcW w:w="2523" w:type="dxa"/>
            <w:vAlign w:val="center"/>
          </w:tcPr>
          <w:p w14:paraId="0E49F17F">
            <w:pPr>
              <w:pStyle w:val="11"/>
              <w:spacing w:before="49" w:line="220" w:lineRule="auto"/>
              <w:ind w:left="112"/>
              <w:jc w:val="center"/>
            </w:pPr>
            <w:r>
              <w:rPr>
                <w:spacing w:val="-2"/>
              </w:rPr>
              <w:t>任务分工</w:t>
            </w:r>
          </w:p>
        </w:tc>
        <w:tc>
          <w:tcPr>
            <w:tcW w:w="1374" w:type="dxa"/>
            <w:vAlign w:val="center"/>
          </w:tcPr>
          <w:p w14:paraId="2EFF1AB3">
            <w:pPr>
              <w:pStyle w:val="11"/>
              <w:spacing w:before="49" w:line="221" w:lineRule="auto"/>
              <w:ind w:left="112"/>
              <w:jc w:val="center"/>
            </w:pPr>
            <w:r>
              <w:rPr>
                <w:spacing w:val="-2"/>
              </w:rPr>
              <w:t>联系方式</w:t>
            </w:r>
          </w:p>
        </w:tc>
      </w:tr>
      <w:tr w14:paraId="1C118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0" w:type="dxa"/>
            <w:shd w:val="clear" w:color="auto" w:fill="auto"/>
            <w:vAlign w:val="center"/>
          </w:tcPr>
          <w:p w14:paraId="3790CE7A">
            <w:pPr>
              <w:spacing w:before="60" w:line="235" w:lineRule="auto"/>
              <w:ind w:left="109"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w:t>
            </w:r>
          </w:p>
        </w:tc>
        <w:tc>
          <w:tcPr>
            <w:tcW w:w="855" w:type="dxa"/>
            <w:vAlign w:val="center"/>
          </w:tcPr>
          <w:p w14:paraId="225D9375">
            <w:pPr>
              <w:pStyle w:val="11"/>
              <w:spacing w:before="49" w:line="220" w:lineRule="auto"/>
              <w:ind w:left="108"/>
              <w:jc w:val="center"/>
              <w:rPr>
                <w:rFonts w:hint="eastAsia" w:eastAsia="宋体"/>
                <w:spacing w:val="-3"/>
                <w:lang w:val="en-US" w:eastAsia="zh-CN"/>
              </w:rPr>
            </w:pPr>
            <w:r>
              <w:rPr>
                <w:rFonts w:hint="eastAsia"/>
                <w:spacing w:val="-3"/>
                <w:lang w:val="en-US" w:eastAsia="zh-CN"/>
              </w:rPr>
              <w:t>林天东</w:t>
            </w:r>
          </w:p>
        </w:tc>
        <w:tc>
          <w:tcPr>
            <w:tcW w:w="1079" w:type="dxa"/>
            <w:vAlign w:val="center"/>
          </w:tcPr>
          <w:p w14:paraId="187CB83E">
            <w:pPr>
              <w:pStyle w:val="11"/>
              <w:spacing w:before="60" w:line="219" w:lineRule="auto"/>
              <w:ind w:left="103" w:leftChars="0"/>
              <w:jc w:val="center"/>
              <w:rPr>
                <w:spacing w:val="-3"/>
              </w:rPr>
            </w:pPr>
            <w:r>
              <w:rPr>
                <w:rFonts w:hint="eastAsia"/>
                <w:lang w:val="en-US" w:eastAsia="zh-CN"/>
              </w:rPr>
              <w:t>广东省中医院海南医院</w:t>
            </w:r>
          </w:p>
        </w:tc>
        <w:tc>
          <w:tcPr>
            <w:tcW w:w="774" w:type="dxa"/>
            <w:vAlign w:val="center"/>
          </w:tcPr>
          <w:p w14:paraId="6A7879AD">
            <w:pPr>
              <w:pStyle w:val="11"/>
              <w:spacing w:before="68" w:line="219" w:lineRule="auto"/>
              <w:ind w:left="109" w:leftChars="0"/>
              <w:jc w:val="center"/>
              <w:rPr>
                <w:spacing w:val="-3"/>
              </w:rPr>
            </w:pPr>
            <w:r>
              <w:rPr>
                <w:rFonts w:hint="eastAsia"/>
                <w:lang w:val="en-US" w:eastAsia="zh-CN"/>
              </w:rPr>
              <w:t>/</w:t>
            </w:r>
          </w:p>
        </w:tc>
        <w:tc>
          <w:tcPr>
            <w:tcW w:w="1244" w:type="dxa"/>
            <w:vAlign w:val="center"/>
          </w:tcPr>
          <w:p w14:paraId="5529613A">
            <w:pPr>
              <w:jc w:val="center"/>
              <w:rPr>
                <w:spacing w:val="-3"/>
              </w:rPr>
            </w:pPr>
            <w:r>
              <w:rPr>
                <w:rFonts w:hint="eastAsia" w:eastAsia="宋体"/>
                <w:sz w:val="21"/>
                <w:lang w:val="en-US" w:eastAsia="zh-CN"/>
              </w:rPr>
              <w:t>主任医师</w:t>
            </w:r>
          </w:p>
        </w:tc>
        <w:tc>
          <w:tcPr>
            <w:tcW w:w="2523" w:type="dxa"/>
            <w:vAlign w:val="center"/>
          </w:tcPr>
          <w:p w14:paraId="08F5B43E">
            <w:pPr>
              <w:pStyle w:val="11"/>
              <w:spacing w:before="68" w:line="220" w:lineRule="auto"/>
              <w:ind w:left="114" w:leftChars="0"/>
              <w:jc w:val="center"/>
              <w:rPr>
                <w:spacing w:val="-2"/>
              </w:rPr>
            </w:pPr>
            <w:r>
              <w:rPr>
                <w:rFonts w:hint="eastAsia"/>
                <w:lang w:val="en-US" w:eastAsia="zh-CN"/>
              </w:rPr>
              <w:t>标准编写方案技术指导</w:t>
            </w:r>
          </w:p>
        </w:tc>
        <w:tc>
          <w:tcPr>
            <w:tcW w:w="1374" w:type="dxa"/>
            <w:vAlign w:val="center"/>
          </w:tcPr>
          <w:p w14:paraId="0826F9A2">
            <w:pPr>
              <w:pStyle w:val="11"/>
              <w:spacing w:before="49" w:line="221" w:lineRule="auto"/>
              <w:ind w:left="112"/>
              <w:jc w:val="center"/>
              <w:rPr>
                <w:spacing w:val="-2"/>
              </w:rPr>
            </w:pPr>
            <w:r>
              <w:rPr>
                <w:rFonts w:hint="eastAsia"/>
                <w:spacing w:val="-2"/>
              </w:rPr>
              <w:t>18689920201</w:t>
            </w:r>
          </w:p>
        </w:tc>
      </w:tr>
      <w:tr w14:paraId="27842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680" w:type="dxa"/>
            <w:shd w:val="clear" w:color="auto" w:fill="auto"/>
            <w:vAlign w:val="center"/>
          </w:tcPr>
          <w:p w14:paraId="6B9FD944">
            <w:pPr>
              <w:spacing w:before="240" w:line="232" w:lineRule="auto"/>
              <w:ind w:left="114"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2</w:t>
            </w:r>
          </w:p>
        </w:tc>
        <w:tc>
          <w:tcPr>
            <w:tcW w:w="855" w:type="dxa"/>
            <w:vAlign w:val="center"/>
          </w:tcPr>
          <w:p w14:paraId="0610A9F4">
            <w:pPr>
              <w:pStyle w:val="11"/>
              <w:spacing w:before="68" w:line="220" w:lineRule="auto"/>
              <w:ind w:left="109"/>
              <w:jc w:val="center"/>
            </w:pPr>
            <w:r>
              <w:rPr>
                <w:rFonts w:hint="eastAsia"/>
                <w:highlight w:val="none"/>
              </w:rPr>
              <w:t>蔡敏</w:t>
            </w:r>
          </w:p>
        </w:tc>
        <w:tc>
          <w:tcPr>
            <w:tcW w:w="1079" w:type="dxa"/>
            <w:vAlign w:val="center"/>
          </w:tcPr>
          <w:p w14:paraId="4B81A464">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75B13E0B">
            <w:pPr>
              <w:pStyle w:val="11"/>
              <w:spacing w:before="68" w:line="219" w:lineRule="auto"/>
              <w:ind w:left="109" w:leftChars="0"/>
              <w:jc w:val="center"/>
              <w:rPr>
                <w:rFonts w:hint="default" w:eastAsia="宋体"/>
                <w:lang w:val="en-US" w:eastAsia="zh-CN"/>
              </w:rPr>
            </w:pPr>
            <w:r>
              <w:rPr>
                <w:rFonts w:hint="eastAsia"/>
                <w:lang w:val="en-US" w:eastAsia="zh-CN"/>
              </w:rPr>
              <w:t>党委书记</w:t>
            </w:r>
          </w:p>
        </w:tc>
        <w:tc>
          <w:tcPr>
            <w:tcW w:w="1244" w:type="dxa"/>
            <w:vAlign w:val="center"/>
          </w:tcPr>
          <w:p w14:paraId="54FDE97B">
            <w:pPr>
              <w:jc w:val="center"/>
              <w:rPr>
                <w:rFonts w:ascii="Arial"/>
                <w:sz w:val="21"/>
              </w:rPr>
            </w:pPr>
            <w:r>
              <w:rPr>
                <w:rFonts w:hint="eastAsia" w:eastAsia="宋体"/>
                <w:sz w:val="21"/>
                <w:lang w:val="en-US" w:eastAsia="zh-CN"/>
              </w:rPr>
              <w:t>主任医师</w:t>
            </w:r>
          </w:p>
        </w:tc>
        <w:tc>
          <w:tcPr>
            <w:tcW w:w="2523" w:type="dxa"/>
            <w:vAlign w:val="center"/>
          </w:tcPr>
          <w:p w14:paraId="25F65A54">
            <w:pPr>
              <w:pStyle w:val="11"/>
              <w:spacing w:before="68" w:line="220" w:lineRule="auto"/>
              <w:ind w:left="114" w:leftChars="0"/>
              <w:jc w:val="center"/>
            </w:pPr>
            <w:r>
              <w:rPr>
                <w:rFonts w:hint="eastAsia"/>
                <w:lang w:val="en-US" w:eastAsia="zh-CN"/>
              </w:rPr>
              <w:t>标准编写方案技术指导</w:t>
            </w:r>
          </w:p>
        </w:tc>
        <w:tc>
          <w:tcPr>
            <w:tcW w:w="1374" w:type="dxa"/>
            <w:vAlign w:val="center"/>
          </w:tcPr>
          <w:p w14:paraId="58D5071D">
            <w:pPr>
              <w:spacing w:before="60" w:line="232" w:lineRule="auto"/>
              <w:ind w:left="128"/>
              <w:jc w:val="center"/>
              <w:rPr>
                <w:rFonts w:ascii="Times New Roman" w:hAnsi="Times New Roman" w:eastAsia="Times New Roman" w:cs="Times New Roman"/>
                <w:sz w:val="21"/>
                <w:szCs w:val="21"/>
              </w:rPr>
            </w:pPr>
            <w:r>
              <w:rPr>
                <w:rFonts w:hint="eastAsia" w:ascii="Times New Roman" w:hAnsi="Times New Roman" w:eastAsia="Times New Roman" w:cs="Times New Roman"/>
                <w:sz w:val="21"/>
                <w:szCs w:val="21"/>
              </w:rPr>
              <w:t>13807666333</w:t>
            </w:r>
          </w:p>
        </w:tc>
      </w:tr>
      <w:tr w14:paraId="566BF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80" w:type="dxa"/>
            <w:shd w:val="clear" w:color="auto" w:fill="auto"/>
            <w:vAlign w:val="center"/>
          </w:tcPr>
          <w:p w14:paraId="0BF7DF3C">
            <w:pPr>
              <w:spacing w:before="241" w:line="232" w:lineRule="auto"/>
              <w:ind w:left="115"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3</w:t>
            </w:r>
          </w:p>
        </w:tc>
        <w:tc>
          <w:tcPr>
            <w:tcW w:w="855" w:type="dxa"/>
            <w:vAlign w:val="center"/>
          </w:tcPr>
          <w:p w14:paraId="6ECAA664">
            <w:pPr>
              <w:pStyle w:val="11"/>
              <w:spacing w:before="204" w:line="220" w:lineRule="auto"/>
              <w:ind w:left="113"/>
              <w:jc w:val="center"/>
            </w:pPr>
            <w:r>
              <w:rPr>
                <w:rFonts w:hint="eastAsia"/>
                <w:highlight w:val="none"/>
              </w:rPr>
              <w:t>钟捷东</w:t>
            </w:r>
          </w:p>
        </w:tc>
        <w:tc>
          <w:tcPr>
            <w:tcW w:w="1079" w:type="dxa"/>
            <w:vAlign w:val="center"/>
          </w:tcPr>
          <w:p w14:paraId="1E8404B7">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7025782E">
            <w:pPr>
              <w:pStyle w:val="11"/>
              <w:spacing w:before="68" w:line="219" w:lineRule="auto"/>
              <w:ind w:left="109" w:leftChars="0"/>
              <w:jc w:val="center"/>
              <w:rPr>
                <w:rFonts w:hint="default" w:ascii="Arial" w:eastAsia="宋体"/>
                <w:sz w:val="21"/>
                <w:lang w:val="en-US" w:eastAsia="zh-CN"/>
              </w:rPr>
            </w:pPr>
            <w:r>
              <w:rPr>
                <w:rFonts w:hint="eastAsia" w:ascii="Arial"/>
                <w:sz w:val="21"/>
                <w:lang w:val="en-US" w:eastAsia="zh-CN"/>
              </w:rPr>
              <w:t>黎族医药示范体验中心主任</w:t>
            </w:r>
          </w:p>
        </w:tc>
        <w:tc>
          <w:tcPr>
            <w:tcW w:w="1244" w:type="dxa"/>
            <w:vAlign w:val="center"/>
          </w:tcPr>
          <w:p w14:paraId="50854351">
            <w:pPr>
              <w:jc w:val="center"/>
            </w:pPr>
            <w:r>
              <w:rPr>
                <w:rFonts w:hint="eastAsia" w:eastAsia="宋体"/>
                <w:sz w:val="21"/>
                <w:lang w:val="en-US" w:eastAsia="zh-CN"/>
              </w:rPr>
              <w:t>副主任医师</w:t>
            </w:r>
          </w:p>
        </w:tc>
        <w:tc>
          <w:tcPr>
            <w:tcW w:w="2523" w:type="dxa"/>
            <w:vAlign w:val="center"/>
          </w:tcPr>
          <w:p w14:paraId="7252AF09">
            <w:pPr>
              <w:pStyle w:val="11"/>
              <w:spacing w:before="68" w:line="220" w:lineRule="auto"/>
              <w:ind w:left="114" w:leftChars="0"/>
              <w:jc w:val="center"/>
              <w:rPr>
                <w:rFonts w:hint="default"/>
                <w:lang w:val="en-US"/>
              </w:rPr>
            </w:pPr>
            <w:r>
              <w:rPr>
                <w:rFonts w:hint="eastAsia"/>
                <w:lang w:val="en-US" w:eastAsia="zh-CN"/>
              </w:rPr>
              <w:t>标准编写方案设计</w:t>
            </w:r>
          </w:p>
        </w:tc>
        <w:tc>
          <w:tcPr>
            <w:tcW w:w="1374" w:type="dxa"/>
            <w:vAlign w:val="center"/>
          </w:tcPr>
          <w:p w14:paraId="644E6DD9">
            <w:pPr>
              <w:spacing w:before="239"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13976570016</w:t>
            </w:r>
          </w:p>
        </w:tc>
      </w:tr>
      <w:tr w14:paraId="7C357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0" w:type="dxa"/>
            <w:shd w:val="clear" w:color="auto" w:fill="auto"/>
            <w:vAlign w:val="center"/>
          </w:tcPr>
          <w:p w14:paraId="6141E9CC">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4</w:t>
            </w:r>
          </w:p>
        </w:tc>
        <w:tc>
          <w:tcPr>
            <w:tcW w:w="855" w:type="dxa"/>
            <w:vAlign w:val="center"/>
          </w:tcPr>
          <w:p w14:paraId="62E10256">
            <w:pPr>
              <w:pStyle w:val="11"/>
              <w:spacing w:before="206" w:line="222" w:lineRule="auto"/>
              <w:ind w:left="113"/>
              <w:jc w:val="center"/>
            </w:pPr>
            <w:r>
              <w:rPr>
                <w:rFonts w:hint="eastAsia"/>
                <w:highlight w:val="none"/>
                <w:shd w:val="clear"/>
              </w:rPr>
              <w:t>胡学军</w:t>
            </w:r>
          </w:p>
        </w:tc>
        <w:tc>
          <w:tcPr>
            <w:tcW w:w="1079" w:type="dxa"/>
            <w:vAlign w:val="center"/>
          </w:tcPr>
          <w:p w14:paraId="66703374">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01CD2E83">
            <w:pPr>
              <w:pStyle w:val="11"/>
              <w:spacing w:before="68" w:line="219" w:lineRule="auto"/>
              <w:ind w:left="109" w:leftChars="0"/>
              <w:jc w:val="center"/>
              <w:rPr>
                <w:rFonts w:hint="eastAsia" w:eastAsia="宋体"/>
                <w:lang w:val="en-US" w:eastAsia="zh-CN"/>
              </w:rPr>
            </w:pPr>
            <w:r>
              <w:rPr>
                <w:rFonts w:hint="eastAsia"/>
                <w:lang w:val="en-US" w:eastAsia="zh-CN"/>
              </w:rPr>
              <w:t>院长</w:t>
            </w:r>
          </w:p>
        </w:tc>
        <w:tc>
          <w:tcPr>
            <w:tcW w:w="1244" w:type="dxa"/>
            <w:vAlign w:val="center"/>
          </w:tcPr>
          <w:p w14:paraId="2C43CABE">
            <w:pPr>
              <w:jc w:val="center"/>
            </w:pPr>
            <w:r>
              <w:rPr>
                <w:rFonts w:hint="eastAsia" w:eastAsia="宋体"/>
                <w:sz w:val="21"/>
                <w:lang w:val="en-US" w:eastAsia="zh-CN"/>
              </w:rPr>
              <w:t>副主任医师</w:t>
            </w:r>
          </w:p>
        </w:tc>
        <w:tc>
          <w:tcPr>
            <w:tcW w:w="2523" w:type="dxa"/>
            <w:vAlign w:val="center"/>
          </w:tcPr>
          <w:p w14:paraId="093F1FAA">
            <w:pPr>
              <w:pStyle w:val="11"/>
              <w:spacing w:before="68" w:line="220" w:lineRule="auto"/>
              <w:ind w:left="114" w:leftChars="0"/>
              <w:jc w:val="center"/>
            </w:pPr>
            <w:r>
              <w:rPr>
                <w:rFonts w:hint="eastAsia"/>
                <w:lang w:val="en-US" w:eastAsia="zh-CN"/>
              </w:rPr>
              <w:t>标准编写方案设计</w:t>
            </w:r>
          </w:p>
        </w:tc>
        <w:tc>
          <w:tcPr>
            <w:tcW w:w="1374" w:type="dxa"/>
            <w:vAlign w:val="center"/>
          </w:tcPr>
          <w:p w14:paraId="6B77AA78">
            <w:pPr>
              <w:spacing w:before="241"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13826112252</w:t>
            </w:r>
          </w:p>
        </w:tc>
      </w:tr>
      <w:tr w14:paraId="2BC4E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0" w:type="dxa"/>
            <w:shd w:val="clear" w:color="auto" w:fill="auto"/>
            <w:vAlign w:val="center"/>
          </w:tcPr>
          <w:p w14:paraId="5513C00C">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5</w:t>
            </w:r>
          </w:p>
        </w:tc>
        <w:tc>
          <w:tcPr>
            <w:tcW w:w="855" w:type="dxa"/>
            <w:vAlign w:val="center"/>
          </w:tcPr>
          <w:p w14:paraId="60E04B3A">
            <w:pPr>
              <w:pStyle w:val="11"/>
              <w:spacing w:before="208" w:line="219" w:lineRule="auto"/>
              <w:ind w:left="110" w:leftChars="0"/>
              <w:jc w:val="center"/>
              <w:rPr>
                <w:rFonts w:hint="eastAsia"/>
                <w:highlight w:val="none"/>
                <w:shd w:val="clear"/>
              </w:rPr>
            </w:pPr>
            <w:r>
              <w:rPr>
                <w:rFonts w:hint="eastAsia"/>
                <w:highlight w:val="none"/>
              </w:rPr>
              <w:t>柯维华</w:t>
            </w:r>
          </w:p>
        </w:tc>
        <w:tc>
          <w:tcPr>
            <w:tcW w:w="1079" w:type="dxa"/>
            <w:vAlign w:val="center"/>
          </w:tcPr>
          <w:p w14:paraId="08D5A229">
            <w:pPr>
              <w:pStyle w:val="11"/>
              <w:spacing w:before="65" w:line="220" w:lineRule="auto"/>
              <w:ind w:left="105" w:leftChars="0"/>
              <w:jc w:val="center"/>
              <w:rPr>
                <w:rFonts w:hint="eastAsia"/>
                <w:lang w:val="en-US" w:eastAsia="zh-CN"/>
              </w:rPr>
            </w:pPr>
            <w:r>
              <w:rPr>
                <w:rFonts w:hint="eastAsia"/>
                <w:lang w:val="en-US" w:eastAsia="zh-CN"/>
              </w:rPr>
              <w:t>广东省中医药海南医院</w:t>
            </w:r>
          </w:p>
        </w:tc>
        <w:tc>
          <w:tcPr>
            <w:tcW w:w="774" w:type="dxa"/>
            <w:vAlign w:val="center"/>
          </w:tcPr>
          <w:p w14:paraId="743E583D">
            <w:pPr>
              <w:jc w:val="center"/>
              <w:rPr>
                <w:rFonts w:hint="eastAsia"/>
                <w:lang w:val="en-US" w:eastAsia="zh-CN"/>
              </w:rPr>
            </w:pPr>
            <w:r>
              <w:rPr>
                <w:rFonts w:hint="eastAsia" w:eastAsia="宋体"/>
                <w:sz w:val="21"/>
                <w:lang w:val="en-US" w:eastAsia="zh-CN"/>
              </w:rPr>
              <w:t>/</w:t>
            </w:r>
          </w:p>
        </w:tc>
        <w:tc>
          <w:tcPr>
            <w:tcW w:w="1244" w:type="dxa"/>
            <w:vAlign w:val="center"/>
          </w:tcPr>
          <w:p w14:paraId="178216D8">
            <w:pPr>
              <w:pStyle w:val="11"/>
              <w:spacing w:before="208" w:line="220" w:lineRule="auto"/>
              <w:ind w:left="109" w:leftChars="0"/>
              <w:jc w:val="center"/>
              <w:rPr>
                <w:rFonts w:hint="eastAsia" w:eastAsia="宋体"/>
                <w:sz w:val="21"/>
                <w:lang w:val="en-US" w:eastAsia="zh-CN"/>
              </w:rPr>
            </w:pPr>
            <w:r>
              <w:rPr>
                <w:rFonts w:hint="eastAsia"/>
                <w:lang w:val="en-US" w:eastAsia="zh-CN"/>
              </w:rPr>
              <w:t>医师</w:t>
            </w:r>
          </w:p>
        </w:tc>
        <w:tc>
          <w:tcPr>
            <w:tcW w:w="2523" w:type="dxa"/>
            <w:vAlign w:val="center"/>
          </w:tcPr>
          <w:p w14:paraId="4868F66B">
            <w:pPr>
              <w:pStyle w:val="11"/>
              <w:spacing w:before="208" w:line="220" w:lineRule="auto"/>
              <w:ind w:left="115" w:leftChars="0"/>
              <w:jc w:val="center"/>
              <w:rPr>
                <w:rFonts w:hint="eastAsia"/>
                <w:lang w:val="en-US" w:eastAsia="zh-CN"/>
              </w:rPr>
            </w:pPr>
            <w:r>
              <w:rPr>
                <w:rFonts w:hint="eastAsia"/>
                <w:lang w:val="en-US" w:eastAsia="zh-CN"/>
              </w:rPr>
              <w:t>标准文本编写</w:t>
            </w:r>
          </w:p>
        </w:tc>
        <w:tc>
          <w:tcPr>
            <w:tcW w:w="1374" w:type="dxa"/>
            <w:vAlign w:val="center"/>
          </w:tcPr>
          <w:p w14:paraId="7795E0DF">
            <w:pPr>
              <w:spacing w:before="243" w:line="232" w:lineRule="auto"/>
              <w:ind w:left="128" w:left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13379864369</w:t>
            </w:r>
          </w:p>
        </w:tc>
      </w:tr>
      <w:tr w14:paraId="70E71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78679456">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6</w:t>
            </w:r>
          </w:p>
        </w:tc>
        <w:tc>
          <w:tcPr>
            <w:tcW w:w="855" w:type="dxa"/>
            <w:vAlign w:val="center"/>
          </w:tcPr>
          <w:p w14:paraId="5BE12197">
            <w:pPr>
              <w:pStyle w:val="11"/>
              <w:spacing w:before="208" w:line="219" w:lineRule="auto"/>
              <w:ind w:left="110"/>
              <w:jc w:val="center"/>
            </w:pPr>
            <w:r>
              <w:rPr>
                <w:rFonts w:hint="eastAsia"/>
                <w:highlight w:val="none"/>
              </w:rPr>
              <w:t>董秀娟</w:t>
            </w:r>
          </w:p>
        </w:tc>
        <w:tc>
          <w:tcPr>
            <w:tcW w:w="1079" w:type="dxa"/>
            <w:vAlign w:val="center"/>
          </w:tcPr>
          <w:p w14:paraId="0B8A546D">
            <w:pPr>
              <w:pStyle w:val="11"/>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092BD359">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46AF510C">
            <w:pPr>
              <w:pStyle w:val="11"/>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5962FE08">
            <w:pPr>
              <w:pStyle w:val="11"/>
              <w:spacing w:before="208" w:line="220" w:lineRule="auto"/>
              <w:ind w:left="115"/>
              <w:jc w:val="center"/>
              <w:rPr>
                <w:rFonts w:hint="default" w:eastAsia="宋体"/>
                <w:lang w:val="en-US" w:eastAsia="zh-CN"/>
              </w:rPr>
            </w:pPr>
            <w:r>
              <w:rPr>
                <w:rFonts w:hint="eastAsia"/>
                <w:lang w:val="en-US" w:eastAsia="zh-CN"/>
              </w:rPr>
              <w:t>标准文本结构设计</w:t>
            </w:r>
          </w:p>
        </w:tc>
        <w:tc>
          <w:tcPr>
            <w:tcW w:w="1374" w:type="dxa"/>
            <w:vAlign w:val="center"/>
          </w:tcPr>
          <w:p w14:paraId="1F592511">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18976669955</w:t>
            </w:r>
          </w:p>
        </w:tc>
      </w:tr>
      <w:tr w14:paraId="119FF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42D15086">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7</w:t>
            </w:r>
          </w:p>
        </w:tc>
        <w:tc>
          <w:tcPr>
            <w:tcW w:w="855" w:type="dxa"/>
            <w:vAlign w:val="center"/>
          </w:tcPr>
          <w:p w14:paraId="5605DBC6">
            <w:pPr>
              <w:pStyle w:val="11"/>
              <w:spacing w:before="208" w:line="219" w:lineRule="auto"/>
              <w:ind w:left="110"/>
              <w:jc w:val="center"/>
              <w:rPr>
                <w:rFonts w:hint="eastAsia"/>
                <w:highlight w:val="none"/>
              </w:rPr>
            </w:pPr>
            <w:r>
              <w:rPr>
                <w:rFonts w:hint="eastAsia"/>
                <w:highlight w:val="none"/>
                <w:lang w:val="en-US" w:eastAsia="zh-CN"/>
              </w:rPr>
              <w:t>赵帅</w:t>
            </w:r>
          </w:p>
        </w:tc>
        <w:tc>
          <w:tcPr>
            <w:tcW w:w="1079" w:type="dxa"/>
            <w:vAlign w:val="center"/>
          </w:tcPr>
          <w:p w14:paraId="3187B56F">
            <w:pPr>
              <w:pStyle w:val="11"/>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63D01220">
            <w:pPr>
              <w:jc w:val="center"/>
              <w:rPr>
                <w:rFonts w:hint="eastAsia" w:ascii="Arial" w:eastAsia="宋体"/>
                <w:sz w:val="21"/>
                <w:lang w:val="en-US" w:eastAsia="zh-CN"/>
              </w:rPr>
            </w:pPr>
            <w:r>
              <w:rPr>
                <w:rFonts w:hint="eastAsia" w:eastAsia="宋体"/>
                <w:sz w:val="21"/>
                <w:lang w:val="en-US" w:eastAsia="zh-CN"/>
              </w:rPr>
              <w:t>副院长</w:t>
            </w:r>
          </w:p>
        </w:tc>
        <w:tc>
          <w:tcPr>
            <w:tcW w:w="1244" w:type="dxa"/>
            <w:vAlign w:val="center"/>
          </w:tcPr>
          <w:p w14:paraId="33C01306">
            <w:pPr>
              <w:pStyle w:val="11"/>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78DB1554">
            <w:pPr>
              <w:pStyle w:val="11"/>
              <w:spacing w:before="208" w:line="220" w:lineRule="auto"/>
              <w:ind w:left="115"/>
              <w:jc w:val="center"/>
            </w:pPr>
            <w:r>
              <w:rPr>
                <w:rFonts w:hint="eastAsia"/>
                <w:lang w:val="en-US" w:eastAsia="zh-CN"/>
              </w:rPr>
              <w:t>标准文本结构设计</w:t>
            </w:r>
          </w:p>
        </w:tc>
        <w:tc>
          <w:tcPr>
            <w:tcW w:w="1374" w:type="dxa"/>
            <w:vAlign w:val="center"/>
          </w:tcPr>
          <w:p w14:paraId="1AE04BAE">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13829772812</w:t>
            </w:r>
          </w:p>
        </w:tc>
      </w:tr>
      <w:tr w14:paraId="788A2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437B6929">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8</w:t>
            </w:r>
          </w:p>
        </w:tc>
        <w:tc>
          <w:tcPr>
            <w:tcW w:w="855" w:type="dxa"/>
            <w:vAlign w:val="center"/>
          </w:tcPr>
          <w:p w14:paraId="0F7AA64C">
            <w:pPr>
              <w:pStyle w:val="11"/>
              <w:spacing w:before="208" w:line="219" w:lineRule="auto"/>
              <w:ind w:left="110"/>
              <w:jc w:val="center"/>
              <w:rPr>
                <w:rFonts w:hint="eastAsia"/>
                <w:highlight w:val="none"/>
              </w:rPr>
            </w:pPr>
            <w:r>
              <w:rPr>
                <w:rFonts w:hint="eastAsia"/>
                <w:highlight w:val="none"/>
                <w:lang w:val="en-US" w:eastAsia="zh-CN"/>
              </w:rPr>
              <w:t>张达坤</w:t>
            </w:r>
          </w:p>
        </w:tc>
        <w:tc>
          <w:tcPr>
            <w:tcW w:w="1079" w:type="dxa"/>
            <w:vAlign w:val="center"/>
          </w:tcPr>
          <w:p w14:paraId="21339744">
            <w:pPr>
              <w:pStyle w:val="11"/>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7887D8E2">
            <w:pPr>
              <w:jc w:val="center"/>
              <w:rPr>
                <w:rFonts w:hint="default" w:ascii="Arial" w:eastAsia="宋体"/>
                <w:sz w:val="21"/>
                <w:lang w:val="en-US" w:eastAsia="zh-CN"/>
              </w:rPr>
            </w:pPr>
            <w:r>
              <w:rPr>
                <w:rFonts w:hint="eastAsia" w:eastAsia="宋体"/>
                <w:sz w:val="21"/>
                <w:lang w:val="en-US" w:eastAsia="zh-CN"/>
              </w:rPr>
              <w:t>肝病科主任</w:t>
            </w:r>
          </w:p>
        </w:tc>
        <w:tc>
          <w:tcPr>
            <w:tcW w:w="1244" w:type="dxa"/>
            <w:vAlign w:val="center"/>
          </w:tcPr>
          <w:p w14:paraId="24FA3F35">
            <w:pPr>
              <w:pStyle w:val="11"/>
              <w:spacing w:before="208" w:line="220" w:lineRule="auto"/>
              <w:ind w:left="109"/>
              <w:jc w:val="center"/>
              <w:rPr>
                <w:rFonts w:hint="default" w:eastAsia="宋体"/>
                <w:lang w:val="en-US" w:eastAsia="zh-CN"/>
              </w:rPr>
            </w:pPr>
            <w:r>
              <w:rPr>
                <w:rFonts w:hint="eastAsia"/>
                <w:lang w:val="en-US" w:eastAsia="zh-CN"/>
              </w:rPr>
              <w:t>主任医师</w:t>
            </w:r>
          </w:p>
        </w:tc>
        <w:tc>
          <w:tcPr>
            <w:tcW w:w="2523" w:type="dxa"/>
            <w:vAlign w:val="center"/>
          </w:tcPr>
          <w:p w14:paraId="36DE40DD">
            <w:pPr>
              <w:pStyle w:val="11"/>
              <w:spacing w:before="208" w:line="220" w:lineRule="auto"/>
              <w:ind w:left="115"/>
              <w:jc w:val="center"/>
              <w:rPr>
                <w:rFonts w:hint="default" w:eastAsia="宋体"/>
                <w:lang w:val="en-US" w:eastAsia="zh-CN"/>
              </w:rPr>
            </w:pPr>
            <w:r>
              <w:rPr>
                <w:rFonts w:hint="eastAsia"/>
                <w:lang w:val="en-US" w:eastAsia="zh-CN"/>
              </w:rPr>
              <w:t>标准文本编写</w:t>
            </w:r>
          </w:p>
        </w:tc>
        <w:tc>
          <w:tcPr>
            <w:tcW w:w="1374" w:type="dxa"/>
            <w:vAlign w:val="center"/>
          </w:tcPr>
          <w:p w14:paraId="3FF743A9">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18976336670</w:t>
            </w:r>
          </w:p>
        </w:tc>
      </w:tr>
      <w:tr w14:paraId="75433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27018380">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9</w:t>
            </w:r>
          </w:p>
        </w:tc>
        <w:tc>
          <w:tcPr>
            <w:tcW w:w="855" w:type="dxa"/>
            <w:vAlign w:val="center"/>
          </w:tcPr>
          <w:p w14:paraId="4B522648">
            <w:pPr>
              <w:pStyle w:val="11"/>
              <w:spacing w:before="208" w:line="219" w:lineRule="auto"/>
              <w:ind w:left="110"/>
              <w:jc w:val="center"/>
              <w:rPr>
                <w:rFonts w:hint="eastAsia"/>
                <w:highlight w:val="none"/>
                <w:lang w:val="en-US" w:eastAsia="zh-CN"/>
              </w:rPr>
            </w:pPr>
            <w:r>
              <w:rPr>
                <w:rFonts w:hint="eastAsia"/>
                <w:highlight w:val="none"/>
                <w:lang w:val="en-US" w:eastAsia="zh-CN"/>
              </w:rPr>
              <w:t>蔡媛媛</w:t>
            </w:r>
          </w:p>
        </w:tc>
        <w:tc>
          <w:tcPr>
            <w:tcW w:w="1079" w:type="dxa"/>
            <w:vAlign w:val="center"/>
          </w:tcPr>
          <w:p w14:paraId="62E3189C">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364B6DCD">
            <w:pPr>
              <w:jc w:val="center"/>
              <w:rPr>
                <w:rFonts w:hint="eastAsia" w:ascii="Arial" w:eastAsia="宋体"/>
                <w:sz w:val="21"/>
                <w:lang w:val="en-US" w:eastAsia="zh-CN"/>
              </w:rPr>
            </w:pPr>
            <w:r>
              <w:rPr>
                <w:rFonts w:hint="eastAsia" w:eastAsia="宋体"/>
                <w:sz w:val="21"/>
                <w:lang w:val="en-US" w:eastAsia="zh-CN"/>
              </w:rPr>
              <w:t>/</w:t>
            </w:r>
          </w:p>
        </w:tc>
        <w:tc>
          <w:tcPr>
            <w:tcW w:w="1244" w:type="dxa"/>
            <w:vAlign w:val="center"/>
          </w:tcPr>
          <w:p w14:paraId="227B0BD3">
            <w:pPr>
              <w:pStyle w:val="11"/>
              <w:spacing w:before="208" w:line="220" w:lineRule="auto"/>
              <w:ind w:left="109" w:leftChars="0"/>
              <w:jc w:val="center"/>
            </w:pPr>
            <w:r>
              <w:rPr>
                <w:rFonts w:hint="eastAsia"/>
                <w:lang w:val="en-US" w:eastAsia="zh-CN"/>
              </w:rPr>
              <w:t>主任医师</w:t>
            </w:r>
          </w:p>
        </w:tc>
        <w:tc>
          <w:tcPr>
            <w:tcW w:w="2523" w:type="dxa"/>
            <w:vAlign w:val="center"/>
          </w:tcPr>
          <w:p w14:paraId="013B0895">
            <w:pPr>
              <w:pStyle w:val="11"/>
              <w:spacing w:before="208" w:line="220" w:lineRule="auto"/>
              <w:ind w:left="115"/>
              <w:jc w:val="center"/>
            </w:pPr>
            <w:r>
              <w:rPr>
                <w:rFonts w:hint="eastAsia"/>
                <w:lang w:val="en-US" w:eastAsia="zh-CN"/>
              </w:rPr>
              <w:t>标准文本编写</w:t>
            </w:r>
          </w:p>
        </w:tc>
        <w:tc>
          <w:tcPr>
            <w:tcW w:w="1374" w:type="dxa"/>
            <w:vAlign w:val="center"/>
          </w:tcPr>
          <w:p w14:paraId="0BAD004A">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18089855566</w:t>
            </w:r>
          </w:p>
        </w:tc>
      </w:tr>
      <w:tr w14:paraId="7A323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46194395">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10</w:t>
            </w:r>
          </w:p>
        </w:tc>
        <w:tc>
          <w:tcPr>
            <w:tcW w:w="855" w:type="dxa"/>
            <w:vAlign w:val="center"/>
          </w:tcPr>
          <w:p w14:paraId="18E2BA42">
            <w:pPr>
              <w:pStyle w:val="11"/>
              <w:spacing w:before="208" w:line="219" w:lineRule="auto"/>
              <w:ind w:left="110"/>
              <w:jc w:val="center"/>
              <w:rPr>
                <w:rFonts w:hint="eastAsia"/>
                <w:highlight w:val="none"/>
                <w:lang w:val="en-US" w:eastAsia="zh-CN"/>
              </w:rPr>
            </w:pPr>
            <w:r>
              <w:rPr>
                <w:rFonts w:hint="eastAsia"/>
                <w:highlight w:val="none"/>
              </w:rPr>
              <w:t>符照鑫</w:t>
            </w:r>
          </w:p>
        </w:tc>
        <w:tc>
          <w:tcPr>
            <w:tcW w:w="1079" w:type="dxa"/>
            <w:vAlign w:val="center"/>
          </w:tcPr>
          <w:p w14:paraId="53B5F9C7">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3271AF43">
            <w:pPr>
              <w:jc w:val="center"/>
              <w:rPr>
                <w:rFonts w:hint="default" w:ascii="Arial" w:eastAsia="宋体"/>
                <w:sz w:val="21"/>
                <w:lang w:val="en-US" w:eastAsia="zh-CN"/>
              </w:rPr>
            </w:pPr>
            <w:r>
              <w:rPr>
                <w:rFonts w:hint="eastAsia" w:eastAsia="宋体"/>
                <w:sz w:val="21"/>
                <w:lang w:val="en-US" w:eastAsia="zh-CN"/>
              </w:rPr>
              <w:t>药剂科主任</w:t>
            </w:r>
          </w:p>
        </w:tc>
        <w:tc>
          <w:tcPr>
            <w:tcW w:w="1244" w:type="dxa"/>
            <w:vAlign w:val="center"/>
          </w:tcPr>
          <w:p w14:paraId="3CD69795">
            <w:pPr>
              <w:pStyle w:val="11"/>
              <w:spacing w:before="208" w:line="220" w:lineRule="auto"/>
              <w:ind w:left="109" w:leftChars="0"/>
              <w:jc w:val="center"/>
            </w:pPr>
            <w:r>
              <w:rPr>
                <w:rFonts w:hint="eastAsia"/>
                <w:lang w:val="en-US" w:eastAsia="zh-CN"/>
              </w:rPr>
              <w:t>主管药师</w:t>
            </w:r>
          </w:p>
        </w:tc>
        <w:tc>
          <w:tcPr>
            <w:tcW w:w="2523" w:type="dxa"/>
            <w:vAlign w:val="center"/>
          </w:tcPr>
          <w:p w14:paraId="5D9CA423">
            <w:pPr>
              <w:pStyle w:val="11"/>
              <w:spacing w:before="208" w:line="220" w:lineRule="auto"/>
              <w:ind w:left="115" w:leftChars="0"/>
              <w:jc w:val="center"/>
              <w:rPr>
                <w:rFonts w:hint="default"/>
                <w:lang w:val="en-US"/>
              </w:rPr>
            </w:pPr>
            <w:r>
              <w:rPr>
                <w:rFonts w:hint="eastAsia"/>
                <w:lang w:val="en-US" w:eastAsia="zh-CN"/>
              </w:rPr>
              <w:t>文献资料搜集整理</w:t>
            </w:r>
          </w:p>
        </w:tc>
        <w:tc>
          <w:tcPr>
            <w:tcW w:w="1374" w:type="dxa"/>
            <w:vAlign w:val="center"/>
          </w:tcPr>
          <w:p w14:paraId="677B65A0">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18689675067</w:t>
            </w:r>
          </w:p>
        </w:tc>
      </w:tr>
      <w:tr w14:paraId="6AA6E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0C1208D1">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11</w:t>
            </w:r>
          </w:p>
        </w:tc>
        <w:tc>
          <w:tcPr>
            <w:tcW w:w="855" w:type="dxa"/>
            <w:vAlign w:val="center"/>
          </w:tcPr>
          <w:p w14:paraId="3342D005">
            <w:pPr>
              <w:pStyle w:val="11"/>
              <w:spacing w:before="208" w:line="219" w:lineRule="auto"/>
              <w:ind w:left="110"/>
              <w:jc w:val="center"/>
              <w:rPr>
                <w:rFonts w:hint="eastAsia"/>
                <w:highlight w:val="none"/>
                <w:lang w:val="en-US" w:eastAsia="zh-CN"/>
              </w:rPr>
            </w:pPr>
            <w:r>
              <w:rPr>
                <w:rFonts w:hint="eastAsia"/>
                <w:highlight w:val="none"/>
              </w:rPr>
              <w:t>王珊</w:t>
            </w:r>
          </w:p>
        </w:tc>
        <w:tc>
          <w:tcPr>
            <w:tcW w:w="1079" w:type="dxa"/>
            <w:vAlign w:val="center"/>
          </w:tcPr>
          <w:p w14:paraId="4B25EC60">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6881F9D5">
            <w:pPr>
              <w:jc w:val="center"/>
              <w:rPr>
                <w:rFonts w:ascii="Arial"/>
                <w:sz w:val="21"/>
              </w:rPr>
            </w:pPr>
            <w:r>
              <w:rPr>
                <w:rFonts w:hint="eastAsia" w:eastAsia="宋体"/>
                <w:sz w:val="21"/>
                <w:lang w:val="en-US" w:eastAsia="zh-CN"/>
              </w:rPr>
              <w:t>/</w:t>
            </w:r>
          </w:p>
        </w:tc>
        <w:tc>
          <w:tcPr>
            <w:tcW w:w="1244" w:type="dxa"/>
            <w:vAlign w:val="center"/>
          </w:tcPr>
          <w:p w14:paraId="6E210D4E">
            <w:pPr>
              <w:pStyle w:val="11"/>
              <w:spacing w:before="208" w:line="220" w:lineRule="auto"/>
              <w:ind w:left="109" w:leftChars="0"/>
              <w:jc w:val="center"/>
              <w:rPr>
                <w:rFonts w:hint="default"/>
                <w:lang w:val="en-US"/>
              </w:rPr>
            </w:pPr>
            <w:r>
              <w:rPr>
                <w:rFonts w:hint="eastAsia"/>
                <w:lang w:val="en-US" w:eastAsia="zh-CN"/>
              </w:rPr>
              <w:t>主治医师</w:t>
            </w:r>
          </w:p>
        </w:tc>
        <w:tc>
          <w:tcPr>
            <w:tcW w:w="2523" w:type="dxa"/>
            <w:vAlign w:val="center"/>
          </w:tcPr>
          <w:p w14:paraId="3899100C">
            <w:pPr>
              <w:pStyle w:val="11"/>
              <w:spacing w:before="208" w:line="220" w:lineRule="auto"/>
              <w:ind w:left="115" w:leftChars="0"/>
              <w:jc w:val="center"/>
            </w:pPr>
            <w:r>
              <w:rPr>
                <w:rFonts w:hint="eastAsia"/>
                <w:lang w:val="en-US" w:eastAsia="zh-CN"/>
              </w:rPr>
              <w:t>文献资料搜集整理</w:t>
            </w:r>
          </w:p>
        </w:tc>
        <w:tc>
          <w:tcPr>
            <w:tcW w:w="1374" w:type="dxa"/>
            <w:vAlign w:val="center"/>
          </w:tcPr>
          <w:p w14:paraId="1819F113">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15595789299</w:t>
            </w:r>
          </w:p>
        </w:tc>
      </w:tr>
      <w:tr w14:paraId="04B0C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704995D5">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12</w:t>
            </w:r>
          </w:p>
        </w:tc>
        <w:tc>
          <w:tcPr>
            <w:tcW w:w="855" w:type="dxa"/>
            <w:vAlign w:val="center"/>
          </w:tcPr>
          <w:p w14:paraId="742473F0">
            <w:pPr>
              <w:pStyle w:val="11"/>
              <w:spacing w:before="208" w:line="219" w:lineRule="auto"/>
              <w:ind w:left="110"/>
              <w:jc w:val="center"/>
              <w:rPr>
                <w:rFonts w:hint="eastAsia"/>
                <w:highlight w:val="none"/>
              </w:rPr>
            </w:pPr>
            <w:r>
              <w:rPr>
                <w:rFonts w:hint="eastAsia"/>
                <w:highlight w:val="none"/>
              </w:rPr>
              <w:t>伍小丹</w:t>
            </w:r>
          </w:p>
        </w:tc>
        <w:tc>
          <w:tcPr>
            <w:tcW w:w="1079" w:type="dxa"/>
            <w:vAlign w:val="center"/>
          </w:tcPr>
          <w:p w14:paraId="4AF92DC2">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262BA1BD">
            <w:pPr>
              <w:jc w:val="center"/>
              <w:rPr>
                <w:rFonts w:ascii="Arial"/>
                <w:sz w:val="21"/>
              </w:rPr>
            </w:pPr>
            <w:r>
              <w:rPr>
                <w:rFonts w:hint="eastAsia" w:eastAsia="宋体"/>
                <w:sz w:val="21"/>
                <w:lang w:val="en-US" w:eastAsia="zh-CN"/>
              </w:rPr>
              <w:t>/</w:t>
            </w:r>
          </w:p>
        </w:tc>
        <w:tc>
          <w:tcPr>
            <w:tcW w:w="1244" w:type="dxa"/>
            <w:vAlign w:val="center"/>
          </w:tcPr>
          <w:p w14:paraId="3C4D4EEB">
            <w:pPr>
              <w:pStyle w:val="11"/>
              <w:spacing w:before="208" w:line="220" w:lineRule="auto"/>
              <w:ind w:left="109" w:leftChars="0"/>
              <w:jc w:val="center"/>
              <w:rPr>
                <w:rFonts w:hint="eastAsia" w:eastAsia="宋体"/>
                <w:lang w:val="en-US" w:eastAsia="zh-CN"/>
              </w:rPr>
            </w:pPr>
            <w:r>
              <w:rPr>
                <w:rFonts w:hint="eastAsia"/>
                <w:lang w:val="en-US" w:eastAsia="zh-CN"/>
              </w:rPr>
              <w:t>主管护师</w:t>
            </w:r>
          </w:p>
        </w:tc>
        <w:tc>
          <w:tcPr>
            <w:tcW w:w="2523" w:type="dxa"/>
            <w:vAlign w:val="center"/>
          </w:tcPr>
          <w:p w14:paraId="6EBBA642">
            <w:pPr>
              <w:pStyle w:val="11"/>
              <w:spacing w:before="208" w:line="220" w:lineRule="auto"/>
              <w:ind w:left="115" w:leftChars="0"/>
              <w:jc w:val="center"/>
            </w:pPr>
            <w:r>
              <w:rPr>
                <w:rFonts w:hint="eastAsia"/>
                <w:lang w:val="en-US" w:eastAsia="zh-CN"/>
              </w:rPr>
              <w:t>文献资料搜集整理</w:t>
            </w:r>
          </w:p>
        </w:tc>
        <w:tc>
          <w:tcPr>
            <w:tcW w:w="1374" w:type="dxa"/>
            <w:vAlign w:val="center"/>
          </w:tcPr>
          <w:p w14:paraId="312ADECD">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18976972197</w:t>
            </w:r>
          </w:p>
        </w:tc>
      </w:tr>
      <w:tr w14:paraId="3C460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584EF230">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13</w:t>
            </w:r>
          </w:p>
        </w:tc>
        <w:tc>
          <w:tcPr>
            <w:tcW w:w="855" w:type="dxa"/>
            <w:vAlign w:val="center"/>
          </w:tcPr>
          <w:p w14:paraId="14383871">
            <w:pPr>
              <w:pStyle w:val="11"/>
              <w:spacing w:before="208" w:line="219" w:lineRule="auto"/>
              <w:ind w:left="110"/>
              <w:jc w:val="center"/>
              <w:rPr>
                <w:rFonts w:hint="eastAsia"/>
                <w:highlight w:val="none"/>
              </w:rPr>
            </w:pPr>
            <w:r>
              <w:rPr>
                <w:rFonts w:hint="eastAsia"/>
                <w:highlight w:val="none"/>
                <w:shd w:val="clear"/>
              </w:rPr>
              <w:t>赖名殷</w:t>
            </w:r>
          </w:p>
        </w:tc>
        <w:tc>
          <w:tcPr>
            <w:tcW w:w="1079" w:type="dxa"/>
            <w:vAlign w:val="center"/>
          </w:tcPr>
          <w:p w14:paraId="2968086E">
            <w:pPr>
              <w:pStyle w:val="11"/>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29562BE1">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142B729F">
            <w:pPr>
              <w:pStyle w:val="11"/>
              <w:spacing w:before="208" w:line="220" w:lineRule="auto"/>
              <w:ind w:left="109"/>
              <w:jc w:val="center"/>
              <w:rPr>
                <w:rFonts w:hint="default" w:eastAsia="宋体"/>
                <w:lang w:val="en-US" w:eastAsia="zh-CN"/>
              </w:rPr>
            </w:pPr>
            <w:r>
              <w:rPr>
                <w:rFonts w:hint="eastAsia"/>
                <w:lang w:val="en-US" w:eastAsia="zh-CN"/>
              </w:rPr>
              <w:t>讲师</w:t>
            </w:r>
          </w:p>
        </w:tc>
        <w:tc>
          <w:tcPr>
            <w:tcW w:w="2523" w:type="dxa"/>
            <w:vAlign w:val="center"/>
          </w:tcPr>
          <w:p w14:paraId="038AA5FC">
            <w:pPr>
              <w:pStyle w:val="11"/>
              <w:spacing w:before="208" w:line="220" w:lineRule="auto"/>
              <w:ind w:left="115"/>
              <w:jc w:val="center"/>
            </w:pPr>
            <w:r>
              <w:rPr>
                <w:rFonts w:hint="eastAsia"/>
                <w:lang w:val="en-US" w:eastAsia="zh-CN"/>
              </w:rPr>
              <w:t>文献资料搜集整理</w:t>
            </w:r>
          </w:p>
        </w:tc>
        <w:tc>
          <w:tcPr>
            <w:tcW w:w="1374" w:type="dxa"/>
            <w:vAlign w:val="center"/>
          </w:tcPr>
          <w:p w14:paraId="3946FEC3">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13807565666</w:t>
            </w:r>
          </w:p>
        </w:tc>
      </w:tr>
      <w:tr w14:paraId="31918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734D603C">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14</w:t>
            </w:r>
          </w:p>
        </w:tc>
        <w:tc>
          <w:tcPr>
            <w:tcW w:w="855" w:type="dxa"/>
            <w:vAlign w:val="center"/>
          </w:tcPr>
          <w:p w14:paraId="03588586">
            <w:pPr>
              <w:pStyle w:val="11"/>
              <w:spacing w:before="208" w:line="219" w:lineRule="auto"/>
              <w:ind w:left="110"/>
              <w:jc w:val="center"/>
              <w:rPr>
                <w:rFonts w:hint="eastAsia"/>
                <w:highlight w:val="none"/>
              </w:rPr>
            </w:pPr>
            <w:r>
              <w:rPr>
                <w:rFonts w:hint="eastAsia"/>
                <w:highlight w:val="none"/>
              </w:rPr>
              <w:t>王开琼</w:t>
            </w:r>
          </w:p>
        </w:tc>
        <w:tc>
          <w:tcPr>
            <w:tcW w:w="1079" w:type="dxa"/>
            <w:vAlign w:val="center"/>
          </w:tcPr>
          <w:p w14:paraId="5213F61F">
            <w:pPr>
              <w:pStyle w:val="11"/>
              <w:spacing w:before="65" w:line="220" w:lineRule="auto"/>
              <w:ind w:left="105"/>
              <w:jc w:val="center"/>
              <w:rPr>
                <w:rFonts w:hint="default" w:eastAsia="宋体"/>
                <w:lang w:val="en-US" w:eastAsia="zh-CN"/>
              </w:rPr>
            </w:pPr>
            <w:r>
              <w:rPr>
                <w:rFonts w:hint="eastAsia"/>
                <w:lang w:val="en-US" w:eastAsia="zh-CN"/>
              </w:rPr>
              <w:t>白沙县人民医院</w:t>
            </w:r>
          </w:p>
        </w:tc>
        <w:tc>
          <w:tcPr>
            <w:tcW w:w="774" w:type="dxa"/>
            <w:vAlign w:val="center"/>
          </w:tcPr>
          <w:p w14:paraId="724FF795">
            <w:pPr>
              <w:jc w:val="center"/>
              <w:rPr>
                <w:rFonts w:hint="eastAsia" w:ascii="Arial" w:eastAsia="宋体"/>
                <w:sz w:val="21"/>
                <w:lang w:val="en-US" w:eastAsia="zh-CN"/>
              </w:rPr>
            </w:pPr>
            <w:r>
              <w:rPr>
                <w:rFonts w:hint="eastAsia" w:eastAsia="宋体"/>
                <w:sz w:val="21"/>
                <w:lang w:val="en-US" w:eastAsia="zh-CN"/>
              </w:rPr>
              <w:t>院长</w:t>
            </w:r>
          </w:p>
        </w:tc>
        <w:tc>
          <w:tcPr>
            <w:tcW w:w="1244" w:type="dxa"/>
            <w:vAlign w:val="center"/>
          </w:tcPr>
          <w:p w14:paraId="151CA819">
            <w:pPr>
              <w:pStyle w:val="11"/>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5820D787">
            <w:pPr>
              <w:pStyle w:val="11"/>
              <w:spacing w:before="208" w:line="220" w:lineRule="auto"/>
              <w:ind w:left="115"/>
              <w:jc w:val="center"/>
            </w:pPr>
            <w:r>
              <w:rPr>
                <w:rFonts w:hint="eastAsia"/>
                <w:lang w:val="en-US" w:eastAsia="zh-CN"/>
              </w:rPr>
              <w:t>标准文本编写</w:t>
            </w:r>
          </w:p>
        </w:tc>
        <w:tc>
          <w:tcPr>
            <w:tcW w:w="1374" w:type="dxa"/>
            <w:vAlign w:val="center"/>
          </w:tcPr>
          <w:p w14:paraId="0AEC9E64">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13389897337</w:t>
            </w:r>
          </w:p>
        </w:tc>
      </w:tr>
      <w:tr w14:paraId="48A8B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23E34DBF">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15</w:t>
            </w:r>
          </w:p>
        </w:tc>
        <w:tc>
          <w:tcPr>
            <w:tcW w:w="855" w:type="dxa"/>
            <w:vAlign w:val="center"/>
          </w:tcPr>
          <w:p w14:paraId="178D1D2D">
            <w:pPr>
              <w:pStyle w:val="11"/>
              <w:spacing w:before="208" w:line="219" w:lineRule="auto"/>
              <w:ind w:left="110"/>
              <w:jc w:val="center"/>
              <w:rPr>
                <w:rFonts w:hint="eastAsia"/>
                <w:highlight w:val="none"/>
              </w:rPr>
            </w:pPr>
            <w:r>
              <w:rPr>
                <w:rFonts w:hint="eastAsia"/>
                <w:highlight w:val="none"/>
              </w:rPr>
              <w:t>符建人</w:t>
            </w:r>
          </w:p>
        </w:tc>
        <w:tc>
          <w:tcPr>
            <w:tcW w:w="1079" w:type="dxa"/>
            <w:vAlign w:val="center"/>
          </w:tcPr>
          <w:p w14:paraId="5F1BC64F">
            <w:pPr>
              <w:pStyle w:val="11"/>
              <w:spacing w:before="65" w:line="220" w:lineRule="auto"/>
              <w:ind w:left="105"/>
              <w:jc w:val="center"/>
            </w:pPr>
            <w:r>
              <w:rPr>
                <w:rFonts w:hint="eastAsia"/>
                <w:lang w:val="en-US" w:eastAsia="zh-CN"/>
              </w:rPr>
              <w:t>白沙县人民医院</w:t>
            </w:r>
          </w:p>
        </w:tc>
        <w:tc>
          <w:tcPr>
            <w:tcW w:w="774" w:type="dxa"/>
            <w:vAlign w:val="center"/>
          </w:tcPr>
          <w:p w14:paraId="4DEB6AF1">
            <w:pPr>
              <w:jc w:val="center"/>
              <w:rPr>
                <w:rFonts w:hint="default" w:ascii="Arial" w:eastAsia="宋体"/>
                <w:sz w:val="21"/>
                <w:lang w:val="en-US" w:eastAsia="zh-CN"/>
              </w:rPr>
            </w:pPr>
            <w:r>
              <w:rPr>
                <w:rFonts w:hint="eastAsia" w:eastAsia="宋体"/>
                <w:sz w:val="21"/>
                <w:lang w:val="en-US" w:eastAsia="zh-CN"/>
              </w:rPr>
              <w:t>黎族医药示范体验中心负责人</w:t>
            </w:r>
          </w:p>
        </w:tc>
        <w:tc>
          <w:tcPr>
            <w:tcW w:w="1244" w:type="dxa"/>
            <w:vAlign w:val="center"/>
          </w:tcPr>
          <w:p w14:paraId="5F1D5155">
            <w:pPr>
              <w:pStyle w:val="11"/>
              <w:spacing w:before="208" w:line="220" w:lineRule="auto"/>
              <w:ind w:left="109"/>
              <w:jc w:val="center"/>
              <w:rPr>
                <w:rFonts w:hint="eastAsia" w:eastAsia="宋体"/>
                <w:lang w:val="en-US" w:eastAsia="zh-CN"/>
              </w:rPr>
            </w:pPr>
            <w:r>
              <w:rPr>
                <w:rFonts w:hint="eastAsia"/>
                <w:lang w:val="en-US" w:eastAsia="zh-CN"/>
              </w:rPr>
              <w:t>医师</w:t>
            </w:r>
          </w:p>
        </w:tc>
        <w:tc>
          <w:tcPr>
            <w:tcW w:w="2523" w:type="dxa"/>
            <w:vAlign w:val="center"/>
          </w:tcPr>
          <w:p w14:paraId="2C475FE5">
            <w:pPr>
              <w:pStyle w:val="11"/>
              <w:spacing w:before="208" w:line="220" w:lineRule="auto"/>
              <w:ind w:left="115"/>
              <w:jc w:val="center"/>
            </w:pPr>
            <w:r>
              <w:rPr>
                <w:rFonts w:hint="eastAsia"/>
                <w:lang w:val="en-US" w:eastAsia="zh-CN"/>
              </w:rPr>
              <w:t>标准文本编写</w:t>
            </w:r>
          </w:p>
        </w:tc>
        <w:tc>
          <w:tcPr>
            <w:tcW w:w="1374" w:type="dxa"/>
            <w:vAlign w:val="center"/>
          </w:tcPr>
          <w:p w14:paraId="6DF9A940">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13976518963</w:t>
            </w:r>
          </w:p>
        </w:tc>
      </w:tr>
      <w:tr w14:paraId="0CCEA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7CA8B32E">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16</w:t>
            </w:r>
          </w:p>
        </w:tc>
        <w:tc>
          <w:tcPr>
            <w:tcW w:w="855" w:type="dxa"/>
            <w:vAlign w:val="center"/>
          </w:tcPr>
          <w:p w14:paraId="695C5D55">
            <w:pPr>
              <w:pStyle w:val="11"/>
              <w:spacing w:before="208" w:line="219" w:lineRule="auto"/>
              <w:ind w:left="110"/>
              <w:jc w:val="center"/>
              <w:rPr>
                <w:rFonts w:hint="eastAsia"/>
                <w:highlight w:val="none"/>
              </w:rPr>
            </w:pPr>
            <w:r>
              <w:rPr>
                <w:rFonts w:hint="eastAsia"/>
                <w:highlight w:val="none"/>
                <w:lang w:val="en-US" w:eastAsia="zh-CN"/>
              </w:rPr>
              <w:t>陈星余</w:t>
            </w:r>
          </w:p>
        </w:tc>
        <w:tc>
          <w:tcPr>
            <w:tcW w:w="1079" w:type="dxa"/>
            <w:vAlign w:val="center"/>
          </w:tcPr>
          <w:p w14:paraId="2301DA8F">
            <w:pPr>
              <w:pStyle w:val="11"/>
              <w:spacing w:before="65" w:line="220" w:lineRule="auto"/>
              <w:ind w:left="105"/>
              <w:jc w:val="center"/>
              <w:rPr>
                <w:rFonts w:hint="default" w:eastAsia="宋体"/>
                <w:lang w:val="en-US" w:eastAsia="zh-CN"/>
              </w:rPr>
            </w:pPr>
            <w:r>
              <w:rPr>
                <w:rFonts w:hint="eastAsia"/>
                <w:lang w:val="en-US" w:eastAsia="zh-CN"/>
              </w:rPr>
              <w:t>澄迈县人民医院</w:t>
            </w:r>
          </w:p>
        </w:tc>
        <w:tc>
          <w:tcPr>
            <w:tcW w:w="774" w:type="dxa"/>
            <w:vAlign w:val="center"/>
          </w:tcPr>
          <w:p w14:paraId="5946F60C">
            <w:pPr>
              <w:jc w:val="center"/>
              <w:rPr>
                <w:rFonts w:hint="default" w:ascii="Arial" w:eastAsia="宋体"/>
                <w:sz w:val="21"/>
                <w:lang w:val="en-US" w:eastAsia="zh-CN"/>
              </w:rPr>
            </w:pPr>
            <w:r>
              <w:rPr>
                <w:rFonts w:hint="eastAsia" w:eastAsia="宋体"/>
                <w:sz w:val="21"/>
                <w:lang w:val="en-US" w:eastAsia="zh-CN"/>
              </w:rPr>
              <w:t>中医科主任</w:t>
            </w:r>
          </w:p>
        </w:tc>
        <w:tc>
          <w:tcPr>
            <w:tcW w:w="1244" w:type="dxa"/>
            <w:vAlign w:val="center"/>
          </w:tcPr>
          <w:p w14:paraId="141F3094">
            <w:pPr>
              <w:pStyle w:val="11"/>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49693357">
            <w:pPr>
              <w:pStyle w:val="11"/>
              <w:spacing w:before="208" w:line="220" w:lineRule="auto"/>
              <w:ind w:left="115"/>
              <w:jc w:val="center"/>
            </w:pPr>
            <w:r>
              <w:rPr>
                <w:rFonts w:hint="eastAsia"/>
                <w:lang w:val="en-US" w:eastAsia="zh-CN"/>
              </w:rPr>
              <w:t>文献资料搜集整理</w:t>
            </w:r>
          </w:p>
        </w:tc>
        <w:tc>
          <w:tcPr>
            <w:tcW w:w="1374" w:type="dxa"/>
            <w:vAlign w:val="center"/>
          </w:tcPr>
          <w:p w14:paraId="3E0A6824">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18689602512</w:t>
            </w:r>
          </w:p>
        </w:tc>
      </w:tr>
    </w:tbl>
    <w:p w14:paraId="5C63F375">
      <w:pPr>
        <w:spacing w:before="175" w:line="218" w:lineRule="auto"/>
        <w:ind w:left="130"/>
        <w:outlineLvl w:val="0"/>
        <w:rPr>
          <w:rFonts w:ascii="黑体" w:hAnsi="黑体" w:eastAsia="黑体" w:cs="黑体"/>
          <w:sz w:val="28"/>
          <w:szCs w:val="28"/>
        </w:rPr>
      </w:pPr>
      <w:bookmarkStart w:id="1" w:name="_Toc22367"/>
      <w:r>
        <w:rPr>
          <w:rFonts w:ascii="黑体" w:hAnsi="黑体" w:eastAsia="黑体" w:cs="黑体"/>
          <w:spacing w:val="-1"/>
          <w:sz w:val="28"/>
          <w:szCs w:val="28"/>
        </w:rPr>
        <w:t>二、编制情况</w:t>
      </w:r>
      <w:bookmarkEnd w:id="1"/>
    </w:p>
    <w:p w14:paraId="2D051398">
      <w:pPr>
        <w:pStyle w:val="2"/>
        <w:spacing w:before="233" w:line="220" w:lineRule="auto"/>
        <w:outlineLvl w:val="1"/>
        <w:rPr>
          <w:b/>
          <w:bCs/>
          <w:spacing w:val="-4"/>
        </w:rPr>
      </w:pPr>
      <w:bookmarkStart w:id="2" w:name="_Toc23091"/>
      <w:r>
        <w:rPr>
          <w:b/>
          <w:bCs/>
          <w:spacing w:val="-4"/>
        </w:rPr>
        <w:t>（一）编制标准的必要性和意义及背景</w:t>
      </w:r>
      <w:bookmarkEnd w:id="2"/>
    </w:p>
    <w:p w14:paraId="5E32E96A">
      <w:pPr>
        <w:pStyle w:val="2"/>
        <w:spacing w:before="233" w:line="360" w:lineRule="auto"/>
        <w:ind w:firstLine="480" w:firstLineChars="200"/>
        <w:outlineLvl w:val="9"/>
        <w:rPr>
          <w:rFonts w:hint="eastAsia"/>
        </w:rPr>
      </w:pPr>
      <w:r>
        <w:rPr>
          <w:rFonts w:hint="eastAsia"/>
        </w:rPr>
        <w:t>编制《黎医疗法操作规范 熏蒸疗法》海南省地方标准，是系统落实国家与海南省关于促进民族医药传承创新发展系列政策的关键举措，具有重要的现实意义和战略价值。</w:t>
      </w:r>
    </w:p>
    <w:p w14:paraId="57199AE8">
      <w:pPr>
        <w:pStyle w:val="2"/>
        <w:spacing w:before="7" w:line="359" w:lineRule="auto"/>
        <w:ind w:left="23" w:right="31" w:firstLine="480"/>
        <w:jc w:val="both"/>
        <w:rPr>
          <w:rFonts w:hint="eastAsia"/>
        </w:rPr>
      </w:pPr>
      <w:r>
        <w:rPr>
          <w:rFonts w:hint="eastAsia"/>
        </w:rPr>
        <w:t>本标准的制定是法律法规与政策导向下的必然要求。国家层面，《中华人民共和国中医药法》明确要求加强民族医药理论和技术的保护与传承；国务院及国家中医药管理局近年出台的《关于加快中医药特色发展的若干政策措施》、《中医药标准化行动计划（2024—2026年）》等文件，均强调要完善少数民族医药标准体系。海南省积极响应，在《关于促进中医药在海南自由贸易港传承创新发展的实施意见》、《海南省中医药健康服务发展“十四五”规划》中，明确提出要挖掘和保护黎医资源，实施黎族医药传承发展工程。《保亭黎族苗族自治县黎医药苗医药保护与发展条例》等地方法规也支持制定相关标准。因此，制定本标准是将宏观政策转化为具体技术规范，依法依规推进黎医药现代化发展的具体实践。</w:t>
      </w:r>
    </w:p>
    <w:p w14:paraId="77557D98">
      <w:pPr>
        <w:pStyle w:val="2"/>
        <w:spacing w:before="7" w:line="359" w:lineRule="auto"/>
        <w:ind w:left="23" w:right="31" w:firstLine="480"/>
        <w:jc w:val="both"/>
        <w:rPr>
          <w:rFonts w:hint="eastAsia"/>
        </w:rPr>
      </w:pPr>
      <w:r>
        <w:rPr>
          <w:rFonts w:hint="eastAsia"/>
        </w:rPr>
        <w:t>本标准旨在填补黎医特色疗法标准化空白，引领行业规范发展。黎医熏蒸疗法是黎族传统外治法的重要组成部分，在海南民间及部分医疗机构中应用多年，对风湿性关节炎、肩周炎、皮肤病等多种疾患显示出独特疗效。然而，目前该疗法缺乏统一的操作规范、工具要求和疗效评估标准，导致不同地区、不同机构的操作存在差异，影响了治疗效果的一致性、可重复性及安全性，也制约了其科学评价与广泛推广。本标准通过建立一套科学、规范、安全的操作流程，将改变“凭经验、各师各法”的局面，推动该疗法从传统经验传承向现代标准化、规范化应用迈进。</w:t>
      </w:r>
    </w:p>
    <w:p w14:paraId="7129B70E">
      <w:pPr>
        <w:pStyle w:val="2"/>
        <w:spacing w:before="7" w:line="359" w:lineRule="auto"/>
        <w:ind w:left="23" w:right="31" w:firstLine="480"/>
        <w:jc w:val="both"/>
        <w:rPr>
          <w:rFonts w:hint="eastAsia"/>
        </w:rPr>
      </w:pPr>
      <w:r>
        <w:rPr>
          <w:rFonts w:hint="eastAsia"/>
        </w:rPr>
        <w:t>保障医疗安全与患者权益是本标准的核心目标之一。熏蒸疗法涉及药汽温度控制、药物配伍、个体体质差异等多种因素，操作不当可能存在安全风险。本标准严格遵循现代医疗安全理念，在“基本要求”中明确了人员资质、环境消毒规范，并引用了GB 15982、WS/T 311、WS/T 313等国家卫生标准；在“操作流程”和“注意事项”中详细规定了治疗参数（如温度、时间）、禁忌症、慎用症及不良反应观察处理措施。这些规定为从业人员提供了明确的安全操作指南，能最大程度降低风险，切实保障患者安全。</w:t>
      </w:r>
    </w:p>
    <w:p w14:paraId="11BE5793">
      <w:pPr>
        <w:pStyle w:val="2"/>
        <w:spacing w:before="7" w:line="359" w:lineRule="auto"/>
        <w:ind w:left="23" w:right="31" w:firstLine="480"/>
        <w:jc w:val="both"/>
      </w:pPr>
      <w:r>
        <w:rPr>
          <w:rFonts w:hint="eastAsia"/>
        </w:rPr>
        <w:t>此外，本标准也是促进黎医药传承创新与产业发展的重要引擎。通过标准化手段对黎医熏蒸疗法的核心技艺、药物配方进行系统梳理和固化，是对黎族非物质文化遗产进行“活态”保护与传承的有效方式。标准的制定与实施，还将为技术培训、服务提供、质量控制及产业融合（如与康养旅游结合）提供统一依据，有助于培育规范的市场环境，提升黎医药服务的品牌价值，推动其融入海南自由贸易港大健康产业体系，创造经济、社会与文化综合效益。</w:t>
      </w:r>
    </w:p>
    <w:p w14:paraId="38E2DE5C">
      <w:pPr>
        <w:pStyle w:val="2"/>
        <w:spacing w:before="1" w:line="218" w:lineRule="auto"/>
        <w:ind w:left="511"/>
        <w:outlineLvl w:val="1"/>
      </w:pPr>
      <w:bookmarkStart w:id="3" w:name="_Toc32141"/>
      <w:r>
        <w:rPr>
          <w:b/>
          <w:bCs/>
          <w:spacing w:val="-5"/>
        </w:rPr>
        <w:t>（二）编制过程简介</w:t>
      </w:r>
      <w:bookmarkEnd w:id="3"/>
    </w:p>
    <w:p w14:paraId="7B8C7D2B">
      <w:pPr>
        <w:pStyle w:val="2"/>
        <w:spacing w:before="162" w:line="290" w:lineRule="auto"/>
        <w:ind w:left="26" w:right="76" w:firstLine="474"/>
      </w:pPr>
      <w:r>
        <w:rPr>
          <w:b/>
          <w:bCs/>
          <w:spacing w:val="-4"/>
        </w:rPr>
        <w:t>1.</w:t>
      </w:r>
      <w:r>
        <w:rPr>
          <w:rFonts w:hint="eastAsia"/>
          <w:b w:val="0"/>
          <w:bCs w:val="0"/>
          <w:spacing w:val="-4"/>
          <w:lang w:val="en-US" w:eastAsia="zh-CN"/>
        </w:rPr>
        <w:t>2025年6月13日，收到《海南省市场监督管理局关于2025年度第一批拟立项地方标准项目的公示》后。</w:t>
      </w:r>
      <w:r>
        <w:rPr>
          <w:rFonts w:hint="eastAsia" w:ascii="宋体" w:hAnsi="宋体" w:eastAsia="宋体" w:cs="宋体"/>
          <w:snapToGrid w:val="0"/>
          <w:color w:val="000000"/>
          <w:kern w:val="0"/>
          <w:sz w:val="24"/>
          <w:szCs w:val="24"/>
          <w:lang w:val="en-US" w:eastAsia="zh-CN" w:bidi="ar"/>
        </w:rPr>
        <w:t>成立标准编制小组，成员有</w:t>
      </w:r>
      <w:r>
        <w:rPr>
          <w:rFonts w:hint="eastAsia"/>
          <w:highlight w:val="none"/>
        </w:rPr>
        <w:t>林天东、蔡敏、胡学军、钟捷东、柯维华、董秀娟、</w:t>
      </w:r>
      <w:r>
        <w:rPr>
          <w:rFonts w:hint="eastAsia"/>
          <w:highlight w:val="none"/>
          <w:lang w:val="en-US" w:eastAsia="zh-CN"/>
        </w:rPr>
        <w:t>赵帅、张达坤、蔡媛媛、</w:t>
      </w:r>
      <w:r>
        <w:rPr>
          <w:rFonts w:hint="eastAsia"/>
          <w:highlight w:val="none"/>
        </w:rPr>
        <w:t>符照鑫、王珊、伍小丹、赖名殷、王开琼、符建人</w:t>
      </w:r>
      <w:r>
        <w:rPr>
          <w:rFonts w:hint="eastAsia"/>
          <w:highlight w:val="none"/>
          <w:lang w:eastAsia="zh-CN"/>
        </w:rPr>
        <w:t>、</w:t>
      </w:r>
      <w:r>
        <w:rPr>
          <w:rFonts w:hint="eastAsia"/>
          <w:highlight w:val="none"/>
          <w:lang w:val="en-US" w:eastAsia="zh-CN"/>
        </w:rPr>
        <w:t>陈星余</w:t>
      </w:r>
      <w:r>
        <w:rPr>
          <w:rFonts w:hint="eastAsia" w:ascii="宋体" w:hAnsi="宋体" w:eastAsia="宋体" w:cs="宋体"/>
          <w:snapToGrid w:val="0"/>
          <w:color w:val="000000"/>
          <w:kern w:val="0"/>
          <w:sz w:val="24"/>
          <w:szCs w:val="24"/>
          <w:lang w:val="en-US" w:eastAsia="zh-CN" w:bidi="ar"/>
        </w:rPr>
        <w:t>。</w:t>
      </w:r>
    </w:p>
    <w:p w14:paraId="77BA3E74">
      <w:pPr>
        <w:pStyle w:val="2"/>
        <w:numPr>
          <w:ilvl w:val="0"/>
          <w:numId w:val="3"/>
        </w:numPr>
        <w:spacing w:before="12" w:line="362" w:lineRule="auto"/>
        <w:ind w:left="26" w:right="82" w:firstLine="480"/>
        <w:rPr>
          <w:rFonts w:hint="eastAsia"/>
          <w:spacing w:val="-3"/>
        </w:rPr>
      </w:pPr>
      <w:r>
        <w:rPr>
          <w:rFonts w:hint="eastAsia"/>
          <w:b/>
          <w:bCs/>
          <w:spacing w:val="-2"/>
          <w:lang w:val="en-US" w:eastAsia="zh-CN"/>
        </w:rPr>
        <w:t>标准起草过程</w:t>
      </w:r>
      <w:r>
        <w:rPr>
          <w:rFonts w:hint="eastAsia"/>
          <w:b/>
          <w:bCs/>
          <w:spacing w:val="-2"/>
          <w:lang w:eastAsia="zh-CN"/>
        </w:rPr>
        <w:t>：</w:t>
      </w:r>
      <w:r>
        <w:rPr>
          <w:rFonts w:hint="eastAsia"/>
        </w:rPr>
        <w:t>编制组调研了黎医</w:t>
      </w:r>
      <w:r>
        <w:rPr>
          <w:rFonts w:hint="eastAsia"/>
          <w:lang w:val="en-US" w:eastAsia="zh-CN"/>
        </w:rPr>
        <w:t>熏蒸</w:t>
      </w:r>
      <w:r>
        <w:rPr>
          <w:rFonts w:hint="eastAsia"/>
        </w:rPr>
        <w:t>疗法在国内外的标准化现状，确认了</w:t>
      </w:r>
      <w:r>
        <w:rPr>
          <w:rFonts w:hint="eastAsia"/>
          <w:lang w:val="en-US" w:eastAsia="zh-CN"/>
        </w:rPr>
        <w:t>此项疗法</w:t>
      </w:r>
      <w:r>
        <w:rPr>
          <w:rFonts w:hint="eastAsia"/>
        </w:rPr>
        <w:t>标准。总结了起草单位及相关机构在黎医</w:t>
      </w:r>
      <w:r>
        <w:rPr>
          <w:rFonts w:hint="eastAsia"/>
          <w:lang w:val="en-US" w:eastAsia="zh-CN"/>
        </w:rPr>
        <w:t>熏蒸</w:t>
      </w:r>
      <w:r>
        <w:rPr>
          <w:rFonts w:hint="eastAsia"/>
        </w:rPr>
        <w:t>疗法方面的临床应用经验与技术传承情况。在立项后，编制组对专家评审意见进行了汇总分析，并通过线上线下的形式进行讨论采纳，进一步完善标准草案。</w:t>
      </w:r>
      <w:r>
        <w:rPr>
          <w:rFonts w:hint="eastAsia"/>
          <w:spacing w:val="-3"/>
        </w:rPr>
        <w:t>2025年6月</w:t>
      </w:r>
      <w:r>
        <w:rPr>
          <w:rFonts w:hint="eastAsia"/>
          <w:spacing w:val="-3"/>
          <w:lang w:val="en-US" w:eastAsia="zh-CN"/>
        </w:rPr>
        <w:t>-</w:t>
      </w:r>
      <w:r>
        <w:rPr>
          <w:rFonts w:hint="eastAsia"/>
          <w:spacing w:val="-3"/>
        </w:rPr>
        <w:t>12月，项目起草组在广泛查阅文献、汇总临床实践经验的基础上，起草完成标准初稿。2026年1月</w:t>
      </w:r>
      <w:r>
        <w:rPr>
          <w:rFonts w:hint="eastAsia"/>
          <w:spacing w:val="-3"/>
          <w:lang w:val="en-US" w:eastAsia="zh-CN"/>
        </w:rPr>
        <w:t>-</w:t>
      </w:r>
      <w:r>
        <w:rPr>
          <w:rFonts w:hint="eastAsia"/>
          <w:spacing w:val="-3"/>
        </w:rPr>
        <w:t>2月，经过进一步的调研、内部研讨与修改，形成《黎医疗法操作规范 熏蒸疗法》（征求意见稿）草案及本编制说明。</w:t>
      </w:r>
    </w:p>
    <w:p w14:paraId="4D57D404">
      <w:pPr>
        <w:pStyle w:val="2"/>
        <w:spacing w:before="12" w:line="362" w:lineRule="auto"/>
        <w:ind w:left="26" w:right="82" w:firstLine="480"/>
      </w:pPr>
      <w:r>
        <w:rPr>
          <w:rFonts w:hint="eastAsia"/>
          <w:spacing w:val="-3"/>
        </w:rPr>
        <w:t>现将此征求意见稿通过网站、公函等方式征求各位专家、企业、协会及相关单位意见。</w:t>
      </w:r>
    </w:p>
    <w:p w14:paraId="1A08D003">
      <w:pPr>
        <w:pStyle w:val="2"/>
        <w:spacing w:before="1" w:line="218" w:lineRule="auto"/>
        <w:ind w:left="511"/>
        <w:outlineLvl w:val="1"/>
      </w:pPr>
      <w:bookmarkStart w:id="4" w:name="_Toc498"/>
      <w:r>
        <w:rPr>
          <w:b/>
          <w:bCs/>
          <w:spacing w:val="-2"/>
        </w:rPr>
        <w:t>（三）制定标准的原则和依据，与现行法律法</w:t>
      </w:r>
      <w:r>
        <w:rPr>
          <w:b/>
          <w:bCs/>
          <w:spacing w:val="-3"/>
        </w:rPr>
        <w:t>规、标准的关系</w:t>
      </w:r>
      <w:bookmarkEnd w:id="4"/>
    </w:p>
    <w:p w14:paraId="71CBF296">
      <w:pPr>
        <w:pStyle w:val="2"/>
        <w:spacing w:before="181" w:line="233" w:lineRule="auto"/>
        <w:ind w:left="511"/>
        <w:outlineLvl w:val="2"/>
      </w:pPr>
      <w:r>
        <w:rPr>
          <w:rFonts w:ascii="Times New Roman" w:hAnsi="Times New Roman" w:eastAsia="Times New Roman" w:cs="Times New Roman"/>
          <w:b/>
          <w:bCs/>
          <w:spacing w:val="-9"/>
        </w:rPr>
        <w:t>1</w:t>
      </w:r>
      <w:r>
        <w:rPr>
          <w:rFonts w:ascii="Times New Roman" w:hAnsi="Times New Roman" w:eastAsia="Times New Roman" w:cs="Times New Roman"/>
          <w:b/>
          <w:bCs/>
          <w:spacing w:val="-31"/>
        </w:rPr>
        <w:t xml:space="preserve"> </w:t>
      </w:r>
      <w:r>
        <w:rPr>
          <w:b/>
          <w:bCs/>
          <w:spacing w:val="-9"/>
        </w:rPr>
        <w:t>、编制原则</w:t>
      </w:r>
    </w:p>
    <w:p w14:paraId="7A7C2919">
      <w:pPr>
        <w:pStyle w:val="2"/>
        <w:spacing w:before="166" w:line="233" w:lineRule="auto"/>
        <w:ind w:left="511" w:leftChars="0"/>
        <w:outlineLvl w:val="3"/>
      </w:pPr>
      <w:r>
        <w:rPr>
          <w:spacing w:val="-4"/>
        </w:rPr>
        <w:t>（</w:t>
      </w:r>
      <w:r>
        <w:rPr>
          <w:rFonts w:ascii="Times New Roman" w:hAnsi="Times New Roman" w:eastAsia="Times New Roman" w:cs="Times New Roman"/>
          <w:spacing w:val="-4"/>
        </w:rPr>
        <w:t>1</w:t>
      </w:r>
      <w:r>
        <w:rPr>
          <w:spacing w:val="-4"/>
        </w:rPr>
        <w:t>）科学性</w:t>
      </w:r>
    </w:p>
    <w:p w14:paraId="40683C04">
      <w:pPr>
        <w:pStyle w:val="2"/>
        <w:spacing w:before="161" w:line="362" w:lineRule="auto"/>
        <w:ind w:left="41" w:right="86" w:firstLine="464"/>
      </w:pPr>
      <w:r>
        <w:rPr>
          <w:rFonts w:hint="eastAsia"/>
        </w:rPr>
        <w:t>本标准在充分调研和总结临床实践经验的基础上制定，确保技术内容的科学、准确。</w:t>
      </w:r>
    </w:p>
    <w:p w14:paraId="0E5D8362">
      <w:pPr>
        <w:pStyle w:val="2"/>
        <w:spacing w:line="234" w:lineRule="auto"/>
        <w:ind w:left="511" w:leftChars="0"/>
        <w:outlineLvl w:val="3"/>
      </w:pPr>
      <w:r>
        <w:rPr>
          <w:spacing w:val="-4"/>
        </w:rPr>
        <w:t>（</w:t>
      </w:r>
      <w:r>
        <w:rPr>
          <w:rFonts w:ascii="Times New Roman" w:hAnsi="Times New Roman" w:eastAsia="Times New Roman" w:cs="Times New Roman"/>
          <w:spacing w:val="-4"/>
        </w:rPr>
        <w:t>2</w:t>
      </w:r>
      <w:r>
        <w:rPr>
          <w:spacing w:val="-4"/>
        </w:rPr>
        <w:t>）可行性</w:t>
      </w:r>
    </w:p>
    <w:p w14:paraId="19BD6E95">
      <w:pPr>
        <w:pStyle w:val="2"/>
        <w:spacing w:before="163" w:line="360" w:lineRule="auto"/>
        <w:ind w:left="26" w:right="87" w:firstLine="479"/>
      </w:pPr>
      <w:r>
        <w:rPr>
          <w:rFonts w:hint="eastAsia"/>
        </w:rPr>
        <w:t>标准编制兼顾与相关领域标准的协调性，合理引用已有标准，操作流程设计充分考虑现有医疗条件与从业人员技能，确保标准可落地、可操作。</w:t>
      </w:r>
    </w:p>
    <w:p w14:paraId="163DC1B8">
      <w:pPr>
        <w:pStyle w:val="2"/>
        <w:numPr>
          <w:ilvl w:val="0"/>
          <w:numId w:val="4"/>
        </w:numPr>
        <w:spacing w:before="1" w:line="234" w:lineRule="auto"/>
        <w:ind w:left="511" w:leftChars="0"/>
        <w:outlineLvl w:val="3"/>
        <w:rPr>
          <w:spacing w:val="-4"/>
        </w:rPr>
      </w:pPr>
      <w:r>
        <w:rPr>
          <w:spacing w:val="-4"/>
        </w:rPr>
        <w:t>规范性</w:t>
      </w:r>
    </w:p>
    <w:p w14:paraId="1D256398">
      <w:pPr>
        <w:pStyle w:val="2"/>
        <w:spacing w:before="163" w:line="360" w:lineRule="auto"/>
        <w:ind w:right="87" w:firstLine="480" w:firstLineChars="200"/>
        <w:rPr>
          <w:spacing w:val="-4"/>
        </w:rPr>
      </w:pPr>
      <w:r>
        <w:rPr>
          <w:rFonts w:hint="eastAsia"/>
        </w:rPr>
        <w:t>严格依据GB/T 1.1-2020《标准化工作导则 第1部分：标准化文件的结构和起草规则》及DB46/T 74-2021《地方标准制修订工作规范》进行编写，确保文本结构清晰、表述严谨。</w:t>
      </w:r>
    </w:p>
    <w:p w14:paraId="52CE5323">
      <w:pPr>
        <w:pStyle w:val="2"/>
        <w:spacing w:before="15" w:line="233" w:lineRule="auto"/>
        <w:ind w:left="501"/>
        <w:outlineLvl w:val="2"/>
      </w:pPr>
      <w:r>
        <w:rPr>
          <w:rFonts w:ascii="Times New Roman" w:hAnsi="Times New Roman" w:eastAsia="Times New Roman" w:cs="Times New Roman"/>
          <w:b/>
          <w:bCs/>
          <w:spacing w:val="-4"/>
        </w:rPr>
        <w:t>2</w:t>
      </w:r>
      <w:r>
        <w:rPr>
          <w:rFonts w:ascii="Times New Roman" w:hAnsi="Times New Roman" w:eastAsia="Times New Roman" w:cs="Times New Roman"/>
          <w:b/>
          <w:bCs/>
          <w:spacing w:val="-34"/>
        </w:rPr>
        <w:t xml:space="preserve"> </w:t>
      </w:r>
      <w:r>
        <w:rPr>
          <w:b/>
          <w:bCs/>
          <w:spacing w:val="-4"/>
        </w:rPr>
        <w:t>、确定本标准主要内容的依据</w:t>
      </w:r>
    </w:p>
    <w:p w14:paraId="0AE13315">
      <w:pPr>
        <w:pStyle w:val="2"/>
        <w:spacing w:before="189" w:line="213" w:lineRule="auto"/>
        <w:ind w:left="514"/>
        <w:rPr>
          <w:rFonts w:hint="eastAsia"/>
        </w:rPr>
      </w:pPr>
      <w:r>
        <w:rPr>
          <w:rFonts w:hint="eastAsia"/>
          <w:lang w:val="en-US" w:eastAsia="zh-CN"/>
        </w:rPr>
        <w:t>[1]</w:t>
      </w:r>
      <w:r>
        <w:rPr>
          <w:rFonts w:hint="eastAsia"/>
        </w:rPr>
        <w:t xml:space="preserve">GB 15982 医院消毒卫生标准 </w:t>
      </w:r>
    </w:p>
    <w:p w14:paraId="70BB65D0">
      <w:pPr>
        <w:pStyle w:val="2"/>
        <w:spacing w:before="189" w:line="213" w:lineRule="auto"/>
        <w:ind w:left="514"/>
        <w:rPr>
          <w:rFonts w:hint="eastAsia"/>
        </w:rPr>
      </w:pPr>
      <w:r>
        <w:rPr>
          <w:rFonts w:hint="eastAsia"/>
          <w:lang w:val="en-US" w:eastAsia="zh-CN"/>
        </w:rPr>
        <w:t>[2]</w:t>
      </w:r>
      <w:r>
        <w:rPr>
          <w:rFonts w:hint="eastAsia"/>
        </w:rPr>
        <w:t xml:space="preserve">WS/T 311 医院隔离技术规范 </w:t>
      </w:r>
    </w:p>
    <w:p w14:paraId="1C2ABB1D">
      <w:pPr>
        <w:pStyle w:val="2"/>
        <w:spacing w:before="189" w:line="213" w:lineRule="auto"/>
        <w:ind w:left="514"/>
        <w:rPr>
          <w:rFonts w:hint="eastAsia"/>
        </w:rPr>
      </w:pPr>
      <w:r>
        <w:rPr>
          <w:rFonts w:hint="eastAsia"/>
          <w:lang w:val="en-US" w:eastAsia="zh-CN"/>
        </w:rPr>
        <w:t>[3]</w:t>
      </w:r>
      <w:r>
        <w:rPr>
          <w:rFonts w:hint="eastAsia"/>
        </w:rPr>
        <w:t>WS/T 313 医务人员手卫生规范</w:t>
      </w:r>
    </w:p>
    <w:p w14:paraId="44F26789">
      <w:pPr>
        <w:pStyle w:val="2"/>
        <w:spacing w:before="189" w:line="213" w:lineRule="auto"/>
        <w:ind w:left="514"/>
      </w:pPr>
      <w:r>
        <w:rPr>
          <w:rFonts w:hint="eastAsia"/>
          <w:lang w:val="en-US" w:eastAsia="zh-CN"/>
        </w:rPr>
        <w:t>[4]</w:t>
      </w:r>
      <w:r>
        <w:rPr>
          <w:rFonts w:hint="eastAsia"/>
        </w:rPr>
        <w:t>GB/T 12346 经穴名称与定位</w:t>
      </w:r>
    </w:p>
    <w:p w14:paraId="10B64CE6">
      <w:pPr>
        <w:pStyle w:val="2"/>
        <w:spacing w:before="194" w:line="233" w:lineRule="auto"/>
        <w:ind w:left="499"/>
        <w:outlineLvl w:val="2"/>
      </w:pPr>
      <w:r>
        <w:rPr>
          <w:rFonts w:ascii="Times New Roman" w:hAnsi="Times New Roman" w:eastAsia="Times New Roman" w:cs="Times New Roman"/>
          <w:b/>
          <w:bCs/>
          <w:spacing w:val="-4"/>
        </w:rPr>
        <w:t>3</w:t>
      </w:r>
      <w:r>
        <w:rPr>
          <w:rFonts w:ascii="Times New Roman" w:hAnsi="Times New Roman" w:eastAsia="Times New Roman" w:cs="Times New Roman"/>
          <w:b/>
          <w:bCs/>
          <w:spacing w:val="-26"/>
        </w:rPr>
        <w:t xml:space="preserve"> </w:t>
      </w:r>
      <w:r>
        <w:rPr>
          <w:b/>
          <w:bCs/>
          <w:spacing w:val="-4"/>
        </w:rPr>
        <w:t>、与现行法律法规、标准的关系</w:t>
      </w:r>
    </w:p>
    <w:p w14:paraId="0255886A">
      <w:pPr>
        <w:pStyle w:val="2"/>
        <w:spacing w:before="163" w:line="360" w:lineRule="auto"/>
        <w:ind w:left="26" w:right="258" w:firstLine="479"/>
        <w:jc w:val="both"/>
      </w:pPr>
      <w:r>
        <w:rPr>
          <w:rFonts w:hint="eastAsia"/>
        </w:rPr>
        <w:t>本标准符合我国现行法律要求，遵守《中华人民共和国标准化法》、《中华人民共和国中医药法》等相关法律，遵守《中华人民共和国标准化法实施条例》、《国家标准管理办法》等相关法规，与现行的法规和强制性标准无相悖之处。</w:t>
      </w:r>
    </w:p>
    <w:p w14:paraId="732CF7A0">
      <w:pPr>
        <w:pStyle w:val="2"/>
        <w:spacing w:before="1" w:line="219" w:lineRule="auto"/>
        <w:ind w:left="511"/>
        <w:outlineLvl w:val="1"/>
      </w:pPr>
      <w:bookmarkStart w:id="5" w:name="_Toc5013"/>
      <w:r>
        <w:rPr>
          <w:b/>
          <w:bCs/>
          <w:spacing w:val="-3"/>
        </w:rPr>
        <w:t>（四）主要条款的说明，主要技术指标、参数、试验验证的论述</w:t>
      </w:r>
      <w:bookmarkEnd w:id="5"/>
    </w:p>
    <w:p w14:paraId="04A2D855">
      <w:pPr>
        <w:pStyle w:val="2"/>
        <w:spacing w:before="185" w:line="233" w:lineRule="auto"/>
        <w:ind w:left="511"/>
        <w:outlineLvl w:val="2"/>
      </w:pPr>
      <w:r>
        <w:rPr>
          <w:rFonts w:ascii="Times New Roman" w:hAnsi="Times New Roman" w:eastAsia="Times New Roman" w:cs="Times New Roman"/>
          <w:b/>
          <w:bCs/>
          <w:spacing w:val="-6"/>
        </w:rPr>
        <w:t>1</w:t>
      </w:r>
      <w:r>
        <w:rPr>
          <w:b/>
          <w:bCs/>
          <w:spacing w:val="-6"/>
        </w:rPr>
        <w:t>、主要条款</w:t>
      </w:r>
    </w:p>
    <w:p w14:paraId="77C6EF61">
      <w:pPr>
        <w:pStyle w:val="2"/>
        <w:spacing w:before="164" w:line="360" w:lineRule="auto"/>
        <w:ind w:left="7" w:firstLine="497"/>
      </w:pPr>
      <w:r>
        <w:rPr>
          <w:rFonts w:hint="eastAsia"/>
        </w:rPr>
        <w:t>本标准的章节由范围、规范性引用文件、术语和定义、基本要求、适应症</w:t>
      </w:r>
      <w:r>
        <w:rPr>
          <w:rFonts w:hint="eastAsia"/>
          <w:lang w:eastAsia="zh-CN"/>
        </w:rPr>
        <w:t>、</w:t>
      </w:r>
      <w:r>
        <w:rPr>
          <w:rFonts w:hint="eastAsia"/>
        </w:rPr>
        <w:t>禁忌症</w:t>
      </w:r>
      <w:r>
        <w:rPr>
          <w:rFonts w:hint="eastAsia"/>
          <w:lang w:eastAsia="zh-CN"/>
        </w:rPr>
        <w:t>、</w:t>
      </w:r>
      <w:r>
        <w:rPr>
          <w:rFonts w:hint="eastAsia"/>
          <w:lang w:val="en-US" w:eastAsia="zh-CN"/>
        </w:rPr>
        <w:t>慎用症</w:t>
      </w:r>
      <w:r>
        <w:rPr>
          <w:rFonts w:hint="eastAsia"/>
        </w:rPr>
        <w:t>、操作流程、注意事项组成。其中“基本要求”、“适应症</w:t>
      </w:r>
      <w:r>
        <w:rPr>
          <w:rFonts w:hint="eastAsia"/>
          <w:lang w:eastAsia="zh-CN"/>
        </w:rPr>
        <w:t>、</w:t>
      </w:r>
      <w:r>
        <w:rPr>
          <w:rFonts w:hint="eastAsia"/>
        </w:rPr>
        <w:t>禁忌症</w:t>
      </w:r>
      <w:r>
        <w:rPr>
          <w:rFonts w:hint="eastAsia"/>
          <w:lang w:eastAsia="zh-CN"/>
        </w:rPr>
        <w:t>、</w:t>
      </w:r>
      <w:r>
        <w:rPr>
          <w:rFonts w:hint="eastAsia"/>
          <w:lang w:val="en-US" w:eastAsia="zh-CN"/>
        </w:rPr>
        <w:t>慎用症</w:t>
      </w:r>
      <w:r>
        <w:rPr>
          <w:rFonts w:hint="eastAsia"/>
        </w:rPr>
        <w:t>”、“操作流程”</w:t>
      </w:r>
      <w:r>
        <w:rPr>
          <w:rFonts w:hint="eastAsia"/>
          <w:lang w:eastAsia="zh-CN"/>
        </w:rPr>
        <w:t>、“</w:t>
      </w:r>
      <w:r>
        <w:rPr>
          <w:rFonts w:hint="eastAsia"/>
          <w:lang w:val="en-US" w:eastAsia="zh-CN"/>
        </w:rPr>
        <w:t>注意事项</w:t>
      </w:r>
      <w:r>
        <w:rPr>
          <w:rFonts w:hint="eastAsia"/>
          <w:lang w:eastAsia="zh-CN"/>
        </w:rPr>
        <w:t>”</w:t>
      </w:r>
      <w:r>
        <w:rPr>
          <w:rFonts w:hint="eastAsia"/>
        </w:rPr>
        <w:t>是本标准的主要技术内容。</w:t>
      </w:r>
    </w:p>
    <w:p w14:paraId="08DEAB84">
      <w:pPr>
        <w:pStyle w:val="2"/>
        <w:spacing w:line="233" w:lineRule="auto"/>
        <w:ind w:left="501"/>
        <w:outlineLvl w:val="2"/>
      </w:pPr>
      <w:r>
        <w:rPr>
          <w:rFonts w:ascii="Times New Roman" w:hAnsi="Times New Roman" w:eastAsia="Times New Roman" w:cs="Times New Roman"/>
          <w:b/>
          <w:bCs/>
          <w:spacing w:val="-3"/>
        </w:rPr>
        <w:t>2</w:t>
      </w:r>
      <w:r>
        <w:rPr>
          <w:b/>
          <w:bCs/>
          <w:spacing w:val="-3"/>
        </w:rPr>
        <w:t>、主要技术指标、参数</w:t>
      </w:r>
    </w:p>
    <w:p w14:paraId="44AD1969">
      <w:pPr>
        <w:pStyle w:val="2"/>
        <w:spacing w:before="179" w:line="291" w:lineRule="auto"/>
        <w:ind w:left="23" w:right="87" w:firstLine="487"/>
        <w:rPr>
          <w:rFonts w:hint="eastAsia"/>
        </w:rPr>
      </w:pPr>
      <w:r>
        <w:rPr>
          <w:rFonts w:hint="eastAsia"/>
        </w:rPr>
        <w:t xml:space="preserve">（1）标准名称：《黎医疗法操作规范 </w:t>
      </w:r>
      <w:r>
        <w:rPr>
          <w:rFonts w:hint="eastAsia"/>
          <w:lang w:val="en-US" w:eastAsia="zh-CN"/>
        </w:rPr>
        <w:t>熏蒸</w:t>
      </w:r>
      <w:r>
        <w:rPr>
          <w:rFonts w:hint="eastAsia"/>
        </w:rPr>
        <w:t>疗法》旨在用于指导开展黎医</w:t>
      </w:r>
      <w:r>
        <w:rPr>
          <w:rFonts w:hint="eastAsia"/>
          <w:lang w:val="en-US" w:eastAsia="zh-CN"/>
        </w:rPr>
        <w:t>熏蒸</w:t>
      </w:r>
      <w:r>
        <w:rPr>
          <w:rFonts w:hint="eastAsia"/>
        </w:rPr>
        <w:t>疗法的规范化操作，为</w:t>
      </w:r>
      <w:r>
        <w:rPr>
          <w:rFonts w:hint="eastAsia"/>
          <w:lang w:val="en-US" w:eastAsia="zh-CN"/>
        </w:rPr>
        <w:t>熏蒸</w:t>
      </w:r>
      <w:r>
        <w:rPr>
          <w:rFonts w:hint="eastAsia"/>
        </w:rPr>
        <w:t>疗法的技术实施、临床应用、质量管控提供科学依据与实操指引，形成一套安全、规范、可复制的黎医特色疗法操作流程。综合相关医疗机构、传承</w:t>
      </w:r>
      <w:r>
        <w:rPr>
          <w:rFonts w:hint="eastAsia"/>
          <w:lang w:val="en-US" w:eastAsia="zh-CN"/>
        </w:rPr>
        <w:t>人</w:t>
      </w:r>
      <w:r>
        <w:rPr>
          <w:rFonts w:hint="eastAsia"/>
        </w:rPr>
        <w:t xml:space="preserve">及民族医药专家意见，将“黎医疗法操作规范 </w:t>
      </w:r>
      <w:r>
        <w:rPr>
          <w:rFonts w:hint="eastAsia"/>
          <w:lang w:val="en-US" w:eastAsia="zh-CN"/>
        </w:rPr>
        <w:t>熏蒸</w:t>
      </w:r>
      <w:r>
        <w:rPr>
          <w:rFonts w:hint="eastAsia"/>
        </w:rPr>
        <w:t>疗法</w:t>
      </w:r>
      <w:r>
        <w:rPr>
          <w:rFonts w:hint="eastAsia"/>
          <w:lang w:eastAsia="zh-CN"/>
        </w:rPr>
        <w:t>”</w:t>
      </w:r>
      <w:r>
        <w:rPr>
          <w:rFonts w:hint="eastAsia"/>
        </w:rPr>
        <w:t xml:space="preserve"> 作为本文件的名称。</w:t>
      </w:r>
    </w:p>
    <w:p w14:paraId="1B39CE47">
      <w:pPr>
        <w:pStyle w:val="2"/>
        <w:spacing w:before="179" w:line="291" w:lineRule="auto"/>
        <w:ind w:left="23" w:right="87" w:firstLine="487"/>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术语和定义</w:t>
      </w:r>
      <w:r>
        <w:rPr>
          <w:rFonts w:hint="eastAsia"/>
          <w:lang w:eastAsia="zh-CN"/>
        </w:rPr>
        <w:t>：黎医熏蒸疗法（Fumigation and steaming therapy in Li medicine）以黎医理论为指导，运用黎药熏蒸治疗器作用于患部，产生一定刺激，从而起到调整阴阳、调和气血、疏通经络，使人体达到阴阳平衡状态的一种外治法；黎药熏蒸治疗器（The treatment device of fumigation of steaming in Li medicine）是一种结合黎族传统医药特色与现代科技的医疗设备，其核心原理与中药熏蒸治疗仪相似，但采用黎族特色草药配方，通过控温技术将药液转化为蒸汽，作用于人体皮肤或患部，达到治疗和调理目的。</w:t>
      </w:r>
    </w:p>
    <w:p w14:paraId="17FE1364">
      <w:pPr>
        <w:pStyle w:val="2"/>
        <w:spacing w:before="179" w:line="291" w:lineRule="auto"/>
        <w:ind w:left="23" w:right="87" w:firstLine="487"/>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rPr>
        <w:t>基本要求</w:t>
      </w:r>
      <w:r>
        <w:rPr>
          <w:rFonts w:hint="eastAsia"/>
          <w:lang w:eastAsia="zh-CN"/>
        </w:rPr>
        <w:t>：</w:t>
      </w:r>
      <w:r>
        <w:rPr>
          <w:rFonts w:hint="eastAsia"/>
          <w:lang w:val="en-US" w:eastAsia="zh-CN"/>
        </w:rPr>
        <w:t>在人员资质、操作人员、环境要求三方面进行了相关要求规定。</w:t>
      </w:r>
    </w:p>
    <w:p w14:paraId="63B3D25A">
      <w:pPr>
        <w:pStyle w:val="2"/>
        <w:spacing w:before="179" w:line="291" w:lineRule="auto"/>
        <w:ind w:left="23" w:right="87" w:firstLine="487"/>
        <w:rPr>
          <w:rFonts w:hint="eastAsia"/>
          <w:lang w:val="en-US" w:eastAsia="zh-CN"/>
        </w:rPr>
      </w:pPr>
      <w:r>
        <w:rPr>
          <w:rFonts w:hint="eastAsia"/>
          <w:lang w:eastAsia="zh-CN"/>
        </w:rPr>
        <w:t>（</w:t>
      </w:r>
      <w:r>
        <w:rPr>
          <w:rFonts w:hint="eastAsia"/>
          <w:lang w:val="en-US" w:eastAsia="zh-CN"/>
        </w:rPr>
        <w:t>4</w:t>
      </w:r>
      <w:r>
        <w:rPr>
          <w:rFonts w:hint="eastAsia"/>
          <w:lang w:eastAsia="zh-CN"/>
        </w:rPr>
        <w:t>）</w:t>
      </w:r>
      <w:r>
        <w:rPr>
          <w:rFonts w:hint="eastAsia"/>
        </w:rPr>
        <w:t>适应症</w:t>
      </w:r>
      <w:r>
        <w:rPr>
          <w:rFonts w:hint="eastAsia"/>
          <w:lang w:eastAsia="zh-CN"/>
        </w:rPr>
        <w:t>、</w:t>
      </w:r>
      <w:r>
        <w:rPr>
          <w:rFonts w:hint="eastAsia"/>
        </w:rPr>
        <w:t>禁忌症</w:t>
      </w:r>
      <w:r>
        <w:rPr>
          <w:rFonts w:hint="eastAsia"/>
          <w:lang w:eastAsia="zh-CN"/>
        </w:rPr>
        <w:t>、</w:t>
      </w:r>
      <w:r>
        <w:rPr>
          <w:rFonts w:hint="eastAsia"/>
          <w:lang w:val="en-US" w:eastAsia="zh-CN"/>
        </w:rPr>
        <w:t>慎用症：</w:t>
      </w:r>
    </w:p>
    <w:p w14:paraId="66E15D15">
      <w:pPr>
        <w:pStyle w:val="2"/>
        <w:spacing w:before="179" w:line="291" w:lineRule="auto"/>
        <w:ind w:left="23" w:right="87" w:firstLine="487"/>
        <w:rPr>
          <w:rFonts w:hint="eastAsia"/>
          <w:lang w:eastAsia="zh-CN"/>
        </w:rPr>
      </w:pPr>
      <w:r>
        <w:rPr>
          <w:rFonts w:hint="eastAsia"/>
          <w:lang w:val="en-US" w:eastAsia="zh-CN"/>
        </w:rPr>
        <w:t>①</w:t>
      </w:r>
      <w:r>
        <w:rPr>
          <w:rFonts w:hint="eastAsia"/>
        </w:rPr>
        <w:t>适应症</w:t>
      </w:r>
      <w:r>
        <w:rPr>
          <w:rFonts w:hint="eastAsia"/>
          <w:lang w:eastAsia="zh-CN"/>
        </w:rPr>
        <w:t>：风湿、类风湿性关节炎、肩周炎、强直性脊柱炎、腰椎间盘脱出症、退行性骨关节病、各种急慢性软组织损伤；银屑病、硬皮病、皮肤瘙痒症、脂溢性皮炎等；感冒、咳嗽、高脂血症和高蛋白血症、糖尿病、失眠、神经官能症、血栓闭塞性脉管炎、慢性肠炎等；痛经、闭经等；近视、远视、泪囊炎、过敏性鼻炎、鼻窦炎等。</w:t>
      </w:r>
    </w:p>
    <w:p w14:paraId="65BF37B3">
      <w:pPr>
        <w:pStyle w:val="2"/>
        <w:spacing w:before="179" w:line="291" w:lineRule="auto"/>
        <w:ind w:left="23" w:right="87" w:firstLine="487"/>
        <w:rPr>
          <w:rFonts w:hint="eastAsia"/>
          <w:lang w:eastAsia="zh-CN"/>
        </w:rPr>
      </w:pPr>
      <w:r>
        <w:rPr>
          <w:rFonts w:hint="eastAsia"/>
          <w:lang w:val="en-US" w:eastAsia="zh-CN"/>
        </w:rPr>
        <w:t>②</w:t>
      </w:r>
      <w:r>
        <w:rPr>
          <w:rFonts w:hint="eastAsia"/>
        </w:rPr>
        <w:t>禁忌症</w:t>
      </w:r>
      <w:r>
        <w:rPr>
          <w:rFonts w:hint="eastAsia"/>
          <w:lang w:eastAsia="zh-CN"/>
        </w:rPr>
        <w:t>：孕妇及经期妇女；存在出血性疾病，如糖尿病晚期、严重贫血、白血病、再生障碍性贫血和血小板减少；皮肤严重过敏或存在溃烂，疖、痈、痣、斑疹和不明原因的包块；急性扭伤、创伤的疼痛部位，或骨折部位，术后未愈合伤口；严重心脑血管疾病、肝肾疾病全身中毒水肿；过度饥饿、疲劳、醉酒；精神性疾病；重症高血压、青光眼、高热、结核病；传染性疾病，如肝炎、性病、皮肤病等。</w:t>
      </w:r>
    </w:p>
    <w:p w14:paraId="02A4B8C7">
      <w:pPr>
        <w:pStyle w:val="2"/>
        <w:spacing w:before="179" w:line="291" w:lineRule="auto"/>
        <w:ind w:left="23" w:right="87" w:firstLine="487"/>
        <w:rPr>
          <w:rFonts w:hint="eastAsia"/>
          <w:lang w:val="en-US" w:eastAsia="zh-CN"/>
        </w:rPr>
      </w:pPr>
      <w:r>
        <w:rPr>
          <w:rFonts w:hint="eastAsia"/>
          <w:lang w:val="en-US" w:eastAsia="zh-CN"/>
        </w:rPr>
        <w:t>③慎用症：脑血管疾病：高血压、冠状动脉粥样硬化性心脏病、动脉硬化等患者；急性感染或高热：如急性感染性疾病、高热昏迷者；阴虚内热体质：表现为盗汗、手足心热等症状者，熏蒸可能加重体内燥热；过敏体质：对中药成分敏感者，可能引发皮肤瘙痒、红肿或呼吸道过敏反应；妊娠期女性：部分中药成分可能通过皮肤吸收，影响胎儿发育或增加流产风险；眼部暴露者；正在复用其他药物者，需要警惕中药成分之间的相互作用。</w:t>
      </w:r>
    </w:p>
    <w:p w14:paraId="159F0651">
      <w:pPr>
        <w:pStyle w:val="2"/>
        <w:spacing w:before="179" w:line="291" w:lineRule="auto"/>
        <w:ind w:left="23" w:right="87" w:firstLine="487"/>
        <w:rPr>
          <w:rFonts w:hint="eastAsia"/>
        </w:rPr>
      </w:pPr>
      <w:r>
        <w:rPr>
          <w:rFonts w:hint="eastAsia"/>
          <w:lang w:eastAsia="zh-CN"/>
        </w:rPr>
        <w:t>（</w:t>
      </w:r>
      <w:r>
        <w:rPr>
          <w:rFonts w:hint="eastAsia"/>
          <w:lang w:val="en-US" w:eastAsia="zh-CN"/>
        </w:rPr>
        <w:t>5</w:t>
      </w:r>
      <w:r>
        <w:rPr>
          <w:rFonts w:hint="eastAsia"/>
          <w:lang w:eastAsia="zh-CN"/>
        </w:rPr>
        <w:t>）</w:t>
      </w:r>
      <w:r>
        <w:rPr>
          <w:rFonts w:hint="eastAsia"/>
        </w:rPr>
        <w:t>操作流程</w:t>
      </w:r>
    </w:p>
    <w:p w14:paraId="521DF54C">
      <w:pPr>
        <w:pStyle w:val="2"/>
        <w:spacing w:before="179" w:line="291" w:lineRule="auto"/>
        <w:ind w:left="23" w:right="87" w:firstLine="487"/>
        <w:rPr>
          <w:rFonts w:hint="eastAsia"/>
        </w:rPr>
      </w:pPr>
      <w:r>
        <w:rPr>
          <w:rFonts w:hint="eastAsia"/>
          <w:lang w:val="en-US" w:eastAsia="zh-CN"/>
        </w:rPr>
        <w:t>1）</w:t>
      </w:r>
      <w:r>
        <w:rPr>
          <w:rFonts w:hint="eastAsia"/>
        </w:rPr>
        <w:t>签署知情同意书</w:t>
      </w:r>
      <w:r>
        <w:rPr>
          <w:rFonts w:hint="eastAsia"/>
          <w:lang w:eastAsia="zh-CN"/>
        </w:rPr>
        <w:t>：</w:t>
      </w:r>
      <w:r>
        <w:rPr>
          <w:rFonts w:hint="eastAsia"/>
        </w:rPr>
        <w:t>对患者进行适应症、禁忌症和慎用症评估。应获得患者同意，并取得患者或家属签署的诊疗知情同意书。</w:t>
      </w:r>
    </w:p>
    <w:p w14:paraId="6342DA33">
      <w:pPr>
        <w:pStyle w:val="2"/>
        <w:spacing w:before="179" w:line="291" w:lineRule="auto"/>
        <w:ind w:left="23" w:right="87" w:firstLine="487"/>
        <w:rPr>
          <w:rFonts w:hint="eastAsia"/>
          <w:lang w:val="en-US" w:eastAsia="zh-CN"/>
        </w:rPr>
      </w:pPr>
      <w:r>
        <w:rPr>
          <w:rFonts w:hint="eastAsia"/>
          <w:lang w:val="en-US" w:eastAsia="zh-CN"/>
        </w:rPr>
        <w:t>2）施术准备：应准备特制药袋、专用衣裤一套、大毛巾、冲淋室、冲淋物品一套、拖鞋、毛巾等。</w:t>
      </w:r>
    </w:p>
    <w:p w14:paraId="0E72B0EA">
      <w:pPr>
        <w:pStyle w:val="16"/>
        <w:keepNext w:val="0"/>
        <w:keepLines w:val="0"/>
        <w:pageBreakBefore w:val="0"/>
        <w:widowControl/>
        <w:wordWrap/>
        <w:overflowPunct/>
        <w:topLinePunct w:val="0"/>
        <w:autoSpaceDE w:val="0"/>
        <w:autoSpaceDN w:val="0"/>
        <w:bidi w:val="0"/>
        <w:spacing w:line="291" w:lineRule="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3）药物制备：</w:t>
      </w:r>
    </w:p>
    <w:p w14:paraId="3735B210">
      <w:pPr>
        <w:pStyle w:val="16"/>
        <w:keepNext w:val="0"/>
        <w:keepLines w:val="0"/>
        <w:pageBreakBefore w:val="0"/>
        <w:widowControl/>
        <w:wordWrap/>
        <w:overflowPunct/>
        <w:topLinePunct w:val="0"/>
        <w:autoSpaceDE w:val="0"/>
        <w:autoSpaceDN w:val="0"/>
        <w:bidi w:val="0"/>
        <w:spacing w:line="291" w:lineRule="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1号熏蒸方：益母草10g、降香5g、鸡血藤15g、大血藤10g、千斤拔10g、岗稔根10g、走马胎10g、鹰不泊15g。主治肩周炎、强直性脊柱炎、腰椎间盘脱出症、退行性骨关节病、各种急慢性软组织损伤、血栓闭塞性脉管炎；痛经、闭经等。</w:t>
      </w:r>
    </w:p>
    <w:p w14:paraId="05C8C4FA">
      <w:pPr>
        <w:pStyle w:val="16"/>
        <w:keepNext w:val="0"/>
        <w:keepLines w:val="0"/>
        <w:pageBreakBefore w:val="0"/>
        <w:widowControl/>
        <w:wordWrap/>
        <w:overflowPunct/>
        <w:topLinePunct w:val="0"/>
        <w:autoSpaceDE w:val="0"/>
        <w:autoSpaceDN w:val="0"/>
        <w:bidi w:val="0"/>
        <w:spacing w:line="291" w:lineRule="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2号熏蒸方：薄荷15g、九节10g、三叉苦15g、桑叶15g、猫爪草15g。主治感冒、咳嗽、近视、远视、泪囊炎、过敏性鼻炎、鼻窦炎等。</w:t>
      </w:r>
    </w:p>
    <w:p w14:paraId="0148C9FB">
      <w:pPr>
        <w:pStyle w:val="16"/>
        <w:keepNext w:val="0"/>
        <w:keepLines w:val="0"/>
        <w:pageBreakBefore w:val="0"/>
        <w:widowControl/>
        <w:wordWrap/>
        <w:overflowPunct/>
        <w:topLinePunct w:val="0"/>
        <w:autoSpaceDE w:val="0"/>
        <w:autoSpaceDN w:val="0"/>
        <w:bidi w:val="0"/>
        <w:spacing w:line="291" w:lineRule="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3号熏蒸方：艾叶20g、大风艾15g、樟叶15g、白背叶15g、广金钱草15g、石韦10g、布渣叶10g。主治风湿、类风湿性关节炎；慢性肠炎；银屑病、硬皮病、皮肤瘙痒症、脂溢性皮炎等。</w:t>
      </w:r>
    </w:p>
    <w:p w14:paraId="4D0DCB4E">
      <w:pPr>
        <w:pStyle w:val="2"/>
        <w:keepNext w:val="0"/>
        <w:keepLines w:val="0"/>
        <w:pageBreakBefore w:val="0"/>
        <w:widowControl/>
        <w:wordWrap/>
        <w:overflowPunct/>
        <w:topLinePunct w:val="0"/>
        <w:autoSpaceDE w:val="0"/>
        <w:autoSpaceDN w:val="0"/>
        <w:bidi w:val="0"/>
        <w:spacing w:before="179" w:line="291" w:lineRule="auto"/>
        <w:ind w:left="23" w:right="87" w:firstLine="487"/>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4号熏蒸方：沉香5g、竹叶10g、荷叶10g、檀香5g、大风艾20g、冰片5g、香茅15g。主治高脂血症和高蛋白血症、糖尿病、失眠、神经官能症等；</w:t>
      </w:r>
    </w:p>
    <w:p w14:paraId="540BC7A3">
      <w:pPr>
        <w:pStyle w:val="2"/>
        <w:keepNext w:val="0"/>
        <w:keepLines w:val="0"/>
        <w:pageBreakBefore w:val="0"/>
        <w:widowControl/>
        <w:numPr>
          <w:ilvl w:val="0"/>
          <w:numId w:val="5"/>
        </w:numPr>
        <w:wordWrap/>
        <w:overflowPunct/>
        <w:topLinePunct w:val="0"/>
        <w:autoSpaceDE w:val="0"/>
        <w:autoSpaceDN w:val="0"/>
        <w:bidi w:val="0"/>
        <w:spacing w:before="179" w:line="291" w:lineRule="auto"/>
        <w:ind w:left="23" w:right="87" w:firstLine="487"/>
        <w:rPr>
          <w:rFonts w:hint="eastAsia"/>
        </w:rPr>
      </w:pPr>
      <w:r>
        <w:rPr>
          <w:rFonts w:hint="eastAsia" w:cs="宋体"/>
          <w:snapToGrid w:val="0"/>
          <w:color w:val="000000"/>
          <w:kern w:val="0"/>
          <w:sz w:val="24"/>
          <w:szCs w:val="24"/>
          <w:lang w:val="en-US" w:eastAsia="zh-CN" w:bidi="ar-SA"/>
        </w:rPr>
        <w:t>体位选择：</w:t>
      </w:r>
      <w:r>
        <w:rPr>
          <w:rFonts w:hint="eastAsia"/>
        </w:rPr>
        <w:t>选择仰卧位、侧卧位。</w:t>
      </w:r>
    </w:p>
    <w:p w14:paraId="19B3E3F2">
      <w:pPr>
        <w:pStyle w:val="2"/>
        <w:keepNext w:val="0"/>
        <w:keepLines w:val="0"/>
        <w:pageBreakBefore w:val="0"/>
        <w:widowControl/>
        <w:numPr>
          <w:ilvl w:val="0"/>
          <w:numId w:val="5"/>
        </w:numPr>
        <w:wordWrap/>
        <w:overflowPunct/>
        <w:topLinePunct w:val="0"/>
        <w:autoSpaceDE w:val="0"/>
        <w:autoSpaceDN w:val="0"/>
        <w:bidi w:val="0"/>
        <w:spacing w:before="179" w:line="291" w:lineRule="auto"/>
        <w:ind w:left="23" w:right="87" w:firstLine="487"/>
        <w:rPr>
          <w:rFonts w:hint="default"/>
          <w:lang w:val="en-US" w:eastAsia="zh-CN"/>
        </w:rPr>
      </w:pPr>
      <w:r>
        <w:rPr>
          <w:rFonts w:hint="default"/>
          <w:lang w:val="en-US" w:eastAsia="zh-CN"/>
        </w:rPr>
        <w:t>操作步骤</w:t>
      </w:r>
    </w:p>
    <w:p w14:paraId="3D8711B0">
      <w:pPr>
        <w:pStyle w:val="2"/>
        <w:keepNext w:val="0"/>
        <w:keepLines w:val="0"/>
        <w:pageBreakBefore w:val="0"/>
        <w:widowControl/>
        <w:numPr>
          <w:ilvl w:val="0"/>
          <w:numId w:val="0"/>
        </w:numPr>
        <w:wordWrap/>
        <w:overflowPunct/>
        <w:topLinePunct w:val="0"/>
        <w:autoSpaceDE w:val="0"/>
        <w:autoSpaceDN w:val="0"/>
        <w:bidi w:val="0"/>
        <w:spacing w:before="179" w:line="291" w:lineRule="auto"/>
        <w:ind w:right="87" w:rightChars="0" w:firstLine="480" w:firstLineChars="200"/>
        <w:rPr>
          <w:rFonts w:hint="default"/>
          <w:lang w:val="en-US" w:eastAsia="zh-CN"/>
        </w:rPr>
      </w:pPr>
      <w:r>
        <w:rPr>
          <w:rFonts w:hint="eastAsia"/>
          <w:lang w:val="en-US" w:eastAsia="zh-CN"/>
        </w:rPr>
        <w:t>①</w:t>
      </w:r>
      <w:r>
        <w:rPr>
          <w:rFonts w:hint="default"/>
          <w:lang w:val="en-US" w:eastAsia="zh-CN"/>
        </w:rPr>
        <w:t>操作者准备：消毒洗手，戴口罩，了解病情，用物准备，患者准备，核对解释，询问过敏史。</w:t>
      </w:r>
    </w:p>
    <w:p w14:paraId="6FF96F9A">
      <w:pPr>
        <w:pStyle w:val="2"/>
        <w:keepNext w:val="0"/>
        <w:keepLines w:val="0"/>
        <w:pageBreakBefore w:val="0"/>
        <w:widowControl/>
        <w:numPr>
          <w:ilvl w:val="0"/>
          <w:numId w:val="0"/>
        </w:numPr>
        <w:wordWrap/>
        <w:overflowPunct/>
        <w:topLinePunct w:val="0"/>
        <w:autoSpaceDE w:val="0"/>
        <w:autoSpaceDN w:val="0"/>
        <w:bidi w:val="0"/>
        <w:spacing w:before="179" w:line="291" w:lineRule="auto"/>
        <w:ind w:right="87" w:rightChars="0" w:firstLine="480" w:firstLineChars="200"/>
        <w:rPr>
          <w:rFonts w:hint="default"/>
          <w:lang w:val="en-US" w:eastAsia="zh-CN"/>
        </w:rPr>
      </w:pPr>
      <w:r>
        <w:rPr>
          <w:rFonts w:hint="eastAsia"/>
          <w:lang w:val="en-US" w:eastAsia="zh-CN"/>
        </w:rPr>
        <w:t>②</w:t>
      </w:r>
      <w:r>
        <w:rPr>
          <w:rFonts w:hint="default"/>
          <w:lang w:val="en-US" w:eastAsia="zh-CN"/>
        </w:rPr>
        <w:t>煎煮药包：</w:t>
      </w:r>
      <w:r>
        <w:rPr>
          <w:rFonts w:hint="eastAsia"/>
          <w:lang w:val="en-US" w:eastAsia="zh-CN"/>
        </w:rPr>
        <w:t>辨病证后</w:t>
      </w:r>
      <w:r>
        <w:rPr>
          <w:rFonts w:hint="default"/>
          <w:lang w:val="en-US" w:eastAsia="zh-CN"/>
        </w:rPr>
        <w:t>将</w:t>
      </w:r>
      <w:r>
        <w:rPr>
          <w:rFonts w:hint="eastAsia"/>
          <w:lang w:val="en-US" w:eastAsia="zh-CN"/>
        </w:rPr>
        <w:t>对症</w:t>
      </w:r>
      <w:r>
        <w:rPr>
          <w:rFonts w:hint="default"/>
          <w:lang w:val="en-US" w:eastAsia="zh-CN"/>
        </w:rPr>
        <w:t>药物装入药袋，并用绳子把药袋口扎紧（防止药渣外漏，堵塞蒸汽孔）放入塑料盆内加温水浸泡半小时后，将药袋和水一同放入蒸锅内，再加适当的水，盖紧锅盖避免输气管扭曲。接通电源，打开总开关，根据要求在控制面板上设定各参数。</w:t>
      </w:r>
    </w:p>
    <w:p w14:paraId="19012B01">
      <w:pPr>
        <w:pStyle w:val="2"/>
        <w:keepNext w:val="0"/>
        <w:keepLines w:val="0"/>
        <w:pageBreakBefore w:val="0"/>
        <w:widowControl/>
        <w:numPr>
          <w:ilvl w:val="0"/>
          <w:numId w:val="0"/>
        </w:numPr>
        <w:wordWrap/>
        <w:overflowPunct/>
        <w:topLinePunct w:val="0"/>
        <w:autoSpaceDE w:val="0"/>
        <w:autoSpaceDN w:val="0"/>
        <w:bidi w:val="0"/>
        <w:spacing w:before="179" w:line="291" w:lineRule="auto"/>
        <w:ind w:right="87" w:rightChars="0" w:firstLine="480" w:firstLineChars="200"/>
        <w:rPr>
          <w:rFonts w:hint="default"/>
          <w:lang w:val="en-US" w:eastAsia="zh-CN"/>
        </w:rPr>
      </w:pPr>
      <w:r>
        <w:rPr>
          <w:rFonts w:hint="eastAsia"/>
          <w:lang w:val="en-US" w:eastAsia="zh-CN"/>
        </w:rPr>
        <w:t>③</w:t>
      </w:r>
      <w:r>
        <w:rPr>
          <w:rFonts w:hint="default"/>
          <w:lang w:val="en-US" w:eastAsia="zh-CN"/>
        </w:rPr>
        <w:t>患者熏蒸：当熏蒸器语音提示舱内温度达到37℃后，患者脱去外衣，换上专用衣裤，将治疗舱体直立，患者在立姿状态进入治疗熏蒸舱，双下肢放在舱体两侧，合上治疗舱盖，头部暴露于治疗舱外，颈部用毛巾围裹，以防气雾外漏。然后缓缓地调节到自感舒适的卧姿状态下接受治疗。舱内温度应自动控制在39～42℃之间，治疗时间不宜超过30分钟。每日一次，二周为一个疗程。在治疗中，温度和时间可根据病人的体质、耐受程度而定。</w:t>
      </w:r>
    </w:p>
    <w:p w14:paraId="7AF5870A">
      <w:pPr>
        <w:pStyle w:val="2"/>
        <w:keepNext w:val="0"/>
        <w:keepLines w:val="0"/>
        <w:pageBreakBefore w:val="0"/>
        <w:widowControl/>
        <w:numPr>
          <w:ilvl w:val="0"/>
          <w:numId w:val="0"/>
        </w:numPr>
        <w:wordWrap/>
        <w:overflowPunct/>
        <w:topLinePunct w:val="0"/>
        <w:autoSpaceDE w:val="0"/>
        <w:autoSpaceDN w:val="0"/>
        <w:bidi w:val="0"/>
        <w:spacing w:before="179" w:line="291" w:lineRule="auto"/>
        <w:ind w:right="87" w:rightChars="0" w:firstLine="480" w:firstLineChars="200"/>
        <w:rPr>
          <w:rFonts w:hint="default"/>
          <w:lang w:val="en-US" w:eastAsia="zh-CN"/>
        </w:rPr>
      </w:pPr>
      <w:r>
        <w:rPr>
          <w:rFonts w:hint="eastAsia"/>
          <w:lang w:val="en-US" w:eastAsia="zh-CN"/>
        </w:rPr>
        <w:t>④</w:t>
      </w:r>
      <w:r>
        <w:rPr>
          <w:rFonts w:hint="default"/>
          <w:lang w:val="en-US" w:eastAsia="zh-CN"/>
        </w:rPr>
        <w:t>患者熏蒸结束后，提示病人走出熏蒸舱，及时冲淋清洗皮肤表面残留药物，更换衣服，饮用约300ml温开水或果汁等液体食物，并观察患者局部皮肤有无异常反应，向患者说明注意事项。</w:t>
      </w:r>
    </w:p>
    <w:p w14:paraId="5D7D0D5F">
      <w:pPr>
        <w:pStyle w:val="2"/>
        <w:keepNext w:val="0"/>
        <w:keepLines w:val="0"/>
        <w:pageBreakBefore w:val="0"/>
        <w:widowControl/>
        <w:numPr>
          <w:ilvl w:val="0"/>
          <w:numId w:val="0"/>
        </w:numPr>
        <w:wordWrap/>
        <w:overflowPunct/>
        <w:topLinePunct w:val="0"/>
        <w:autoSpaceDE w:val="0"/>
        <w:autoSpaceDN w:val="0"/>
        <w:bidi w:val="0"/>
        <w:spacing w:before="179" w:line="291" w:lineRule="auto"/>
        <w:ind w:right="87" w:rightChars="0" w:firstLine="480" w:firstLineChars="200"/>
        <w:rPr>
          <w:rFonts w:hint="default"/>
          <w:lang w:val="en-US" w:eastAsia="zh-CN"/>
        </w:rPr>
      </w:pPr>
      <w:r>
        <w:rPr>
          <w:rFonts w:hint="eastAsia"/>
          <w:lang w:val="en-US" w:eastAsia="zh-CN"/>
        </w:rPr>
        <w:t>⑤</w:t>
      </w:r>
      <w:r>
        <w:rPr>
          <w:rFonts w:hint="default"/>
          <w:lang w:val="en-US" w:eastAsia="zh-CN"/>
        </w:rPr>
        <w:t>熏蒸结束后，应按“消毒键”对黎药熏蒸治疗器舱内进行喷淋消毒，并使用清水和纱布擦拭消毒液残留。</w:t>
      </w:r>
    </w:p>
    <w:p w14:paraId="02668FC0">
      <w:pPr>
        <w:pStyle w:val="2"/>
        <w:keepNext w:val="0"/>
        <w:keepLines w:val="0"/>
        <w:pageBreakBefore w:val="0"/>
        <w:widowControl/>
        <w:numPr>
          <w:ilvl w:val="0"/>
          <w:numId w:val="0"/>
        </w:numPr>
        <w:wordWrap/>
        <w:overflowPunct/>
        <w:topLinePunct w:val="0"/>
        <w:autoSpaceDE w:val="0"/>
        <w:autoSpaceDN w:val="0"/>
        <w:bidi w:val="0"/>
        <w:spacing w:before="179" w:line="291" w:lineRule="auto"/>
        <w:ind w:left="510" w:leftChars="0" w:right="87" w:rightChars="0"/>
        <w:rPr>
          <w:rFonts w:hint="default"/>
          <w:lang w:val="en-US" w:eastAsia="zh-CN"/>
        </w:rPr>
      </w:pPr>
      <w:r>
        <w:rPr>
          <w:rFonts w:hint="eastAsia"/>
          <w:lang w:val="en-US" w:eastAsia="zh-CN"/>
        </w:rPr>
        <w:t>⑥</w:t>
      </w:r>
      <w:r>
        <w:rPr>
          <w:rFonts w:hint="default"/>
          <w:lang w:val="en-US" w:eastAsia="zh-CN"/>
        </w:rPr>
        <w:t>整理后，将熏蒸器放回原处，做好使用记录。</w:t>
      </w:r>
    </w:p>
    <w:p w14:paraId="52D218EC">
      <w:pPr>
        <w:pStyle w:val="2"/>
        <w:keepNext w:val="0"/>
        <w:keepLines w:val="0"/>
        <w:pageBreakBefore w:val="0"/>
        <w:widowControl/>
        <w:numPr>
          <w:ilvl w:val="0"/>
          <w:numId w:val="0"/>
        </w:numPr>
        <w:wordWrap/>
        <w:overflowPunct/>
        <w:topLinePunct w:val="0"/>
        <w:autoSpaceDE w:val="0"/>
        <w:autoSpaceDN w:val="0"/>
        <w:bidi w:val="0"/>
        <w:spacing w:before="179" w:line="291" w:lineRule="auto"/>
        <w:ind w:left="510" w:leftChars="0" w:right="87" w:rightChars="0"/>
        <w:rPr>
          <w:rFonts w:hint="default"/>
          <w:lang w:val="en-US" w:eastAsia="zh-CN"/>
        </w:rPr>
      </w:pPr>
      <w:r>
        <w:rPr>
          <w:rFonts w:hint="eastAsia"/>
          <w:lang w:val="en-US" w:eastAsia="zh-CN"/>
        </w:rPr>
        <w:t>（6）</w:t>
      </w:r>
      <w:r>
        <w:rPr>
          <w:rFonts w:hint="default"/>
          <w:lang w:val="en-US" w:eastAsia="zh-CN"/>
        </w:rPr>
        <w:t>注意事项</w:t>
      </w:r>
    </w:p>
    <w:p w14:paraId="625BA55C">
      <w:pPr>
        <w:pStyle w:val="2"/>
        <w:keepNext w:val="0"/>
        <w:keepLines w:val="0"/>
        <w:pageBreakBefore w:val="0"/>
        <w:widowControl/>
        <w:numPr>
          <w:ilvl w:val="0"/>
          <w:numId w:val="0"/>
        </w:numPr>
        <w:wordWrap/>
        <w:overflowPunct/>
        <w:topLinePunct w:val="0"/>
        <w:autoSpaceDE w:val="0"/>
        <w:autoSpaceDN w:val="0"/>
        <w:bidi w:val="0"/>
        <w:spacing w:before="179" w:line="291" w:lineRule="auto"/>
        <w:ind w:left="510" w:leftChars="0" w:right="87" w:rightChars="0"/>
        <w:rPr>
          <w:rFonts w:hint="default"/>
          <w:lang w:val="en-US" w:eastAsia="zh-CN"/>
        </w:rPr>
      </w:pPr>
      <w:r>
        <w:rPr>
          <w:rFonts w:hint="eastAsia"/>
          <w:lang w:val="en-US" w:eastAsia="zh-CN"/>
        </w:rPr>
        <w:t>1）</w:t>
      </w:r>
      <w:r>
        <w:rPr>
          <w:rFonts w:hint="default"/>
          <w:lang w:val="en-US" w:eastAsia="zh-CN"/>
        </w:rPr>
        <w:t>患者初次使用应缩短熏蒸时间，进出舱时注意保暖。</w:t>
      </w:r>
    </w:p>
    <w:p w14:paraId="5613D47E">
      <w:pPr>
        <w:pStyle w:val="2"/>
        <w:keepNext w:val="0"/>
        <w:keepLines w:val="0"/>
        <w:pageBreakBefore w:val="0"/>
        <w:widowControl/>
        <w:numPr>
          <w:ilvl w:val="0"/>
          <w:numId w:val="0"/>
        </w:numPr>
        <w:wordWrap/>
        <w:overflowPunct/>
        <w:topLinePunct w:val="0"/>
        <w:autoSpaceDE w:val="0"/>
        <w:autoSpaceDN w:val="0"/>
        <w:bidi w:val="0"/>
        <w:spacing w:before="179" w:line="291" w:lineRule="auto"/>
        <w:ind w:right="87" w:rightChars="0" w:firstLine="480" w:firstLineChars="200"/>
        <w:rPr>
          <w:rFonts w:hint="default"/>
          <w:lang w:val="en-US" w:eastAsia="zh-CN"/>
        </w:rPr>
      </w:pPr>
      <w:r>
        <w:rPr>
          <w:rFonts w:hint="eastAsia"/>
          <w:lang w:val="en-US" w:eastAsia="zh-CN"/>
        </w:rPr>
        <w:t>2）</w:t>
      </w:r>
      <w:r>
        <w:rPr>
          <w:rFonts w:hint="default"/>
          <w:lang w:val="en-US" w:eastAsia="zh-CN"/>
        </w:rPr>
        <w:t>治疗过程中要加强巡视，密切注意观察患者的身体状况，如有头晕、心慌、胸闷等不适感觉，应停止熏蒸，让患者卧床休息。对初次使用者，尤其是老人、体弱者，在治疗时间和温度上应循序渐进，护士要每隔5～10分钟观察询问一次。</w:t>
      </w:r>
    </w:p>
    <w:p w14:paraId="36B3DA48">
      <w:pPr>
        <w:pStyle w:val="2"/>
        <w:keepNext w:val="0"/>
        <w:keepLines w:val="0"/>
        <w:pageBreakBefore w:val="0"/>
        <w:widowControl/>
        <w:numPr>
          <w:ilvl w:val="0"/>
          <w:numId w:val="0"/>
        </w:numPr>
        <w:wordWrap/>
        <w:overflowPunct/>
        <w:topLinePunct w:val="0"/>
        <w:autoSpaceDE w:val="0"/>
        <w:autoSpaceDN w:val="0"/>
        <w:bidi w:val="0"/>
        <w:spacing w:before="179" w:line="291" w:lineRule="auto"/>
        <w:ind w:left="510" w:leftChars="0" w:right="87" w:rightChars="0"/>
        <w:rPr>
          <w:rFonts w:hint="default"/>
          <w:lang w:val="en-US" w:eastAsia="zh-CN"/>
        </w:rPr>
      </w:pPr>
      <w:r>
        <w:rPr>
          <w:rFonts w:hint="eastAsia"/>
          <w:lang w:val="en-US" w:eastAsia="zh-CN"/>
        </w:rPr>
        <w:t>3）</w:t>
      </w:r>
      <w:r>
        <w:rPr>
          <w:rFonts w:hint="default"/>
          <w:lang w:val="en-US" w:eastAsia="zh-CN"/>
        </w:rPr>
        <w:t>治疗过程中应嘱咐患者适当饮水。</w:t>
      </w:r>
    </w:p>
    <w:p w14:paraId="6CB5F256">
      <w:pPr>
        <w:pStyle w:val="2"/>
        <w:keepNext w:val="0"/>
        <w:keepLines w:val="0"/>
        <w:pageBreakBefore w:val="0"/>
        <w:widowControl/>
        <w:numPr>
          <w:ilvl w:val="0"/>
          <w:numId w:val="0"/>
        </w:numPr>
        <w:wordWrap/>
        <w:overflowPunct/>
        <w:topLinePunct w:val="0"/>
        <w:autoSpaceDE w:val="0"/>
        <w:autoSpaceDN w:val="0"/>
        <w:bidi w:val="0"/>
        <w:spacing w:before="179" w:line="291" w:lineRule="auto"/>
        <w:ind w:left="510" w:leftChars="0" w:right="87" w:rightChars="0"/>
        <w:rPr>
          <w:rFonts w:hint="default"/>
          <w:lang w:val="en-US" w:eastAsia="zh-CN"/>
        </w:rPr>
      </w:pPr>
      <w:r>
        <w:rPr>
          <w:rFonts w:hint="eastAsia"/>
          <w:lang w:val="en-US" w:eastAsia="zh-CN"/>
        </w:rPr>
        <w:t>4）</w:t>
      </w:r>
      <w:r>
        <w:rPr>
          <w:rFonts w:hint="default"/>
          <w:lang w:val="en-US" w:eastAsia="zh-CN"/>
        </w:rPr>
        <w:t>压力锅须放在加热器的中央，锅盖须拧紧，启动时锅底红灯亮。</w:t>
      </w:r>
    </w:p>
    <w:p w14:paraId="51C6194B">
      <w:pPr>
        <w:pStyle w:val="2"/>
        <w:spacing w:before="179" w:line="235" w:lineRule="auto"/>
        <w:ind w:left="499"/>
        <w:outlineLvl w:val="2"/>
        <w:rPr>
          <w:b/>
          <w:bCs/>
          <w:spacing w:val="-3"/>
        </w:rPr>
      </w:pPr>
      <w:r>
        <w:rPr>
          <w:rFonts w:ascii="Times New Roman" w:hAnsi="Times New Roman" w:eastAsia="Times New Roman" w:cs="Times New Roman"/>
          <w:b/>
          <w:bCs/>
          <w:spacing w:val="-3"/>
        </w:rPr>
        <w:t>3</w:t>
      </w:r>
      <w:r>
        <w:rPr>
          <w:b/>
          <w:bCs/>
          <w:spacing w:val="-3"/>
        </w:rPr>
        <w:t>、试验验证的论述</w:t>
      </w:r>
    </w:p>
    <w:p w14:paraId="758809DC">
      <w:pPr>
        <w:pStyle w:val="2"/>
        <w:keepNext w:val="0"/>
        <w:keepLines w:val="0"/>
        <w:pageBreakBefore w:val="0"/>
        <w:widowControl/>
        <w:kinsoku w:val="0"/>
        <w:wordWrap/>
        <w:overflowPunct/>
        <w:topLinePunct w:val="0"/>
        <w:autoSpaceDE w:val="0"/>
        <w:autoSpaceDN w:val="0"/>
        <w:bidi w:val="0"/>
        <w:adjustRightInd w:val="0"/>
        <w:snapToGrid w:val="0"/>
        <w:spacing w:before="179" w:line="291" w:lineRule="auto"/>
        <w:ind w:firstLine="480" w:firstLineChars="200"/>
        <w:textAlignment w:val="baseline"/>
        <w:outlineLvl w:val="9"/>
      </w:pPr>
      <w:r>
        <w:rPr>
          <w:rFonts w:hint="eastAsia"/>
        </w:rPr>
        <w:t>标准中规定的适应症、禁忌慎用症、操作方法及技术参数，主要基于黎医传统理论、起草单位及相关医疗机构长期的临床应用实践和经验总结。</w:t>
      </w:r>
      <w:r>
        <w:rPr>
          <w:rFonts w:hint="eastAsia"/>
          <w:lang w:val="en-US" w:eastAsia="zh-CN"/>
        </w:rPr>
        <w:t>熏蒸</w:t>
      </w:r>
      <w:r>
        <w:rPr>
          <w:rFonts w:hint="eastAsia"/>
        </w:rPr>
        <w:t>疗法在海南地区对于特定病症的应用已积累了一定的实践基础，其疗效和安全性在特定范围内得到了验证。本标准将这些实践经验进行系统总结和规范，为其进一步的安全应用和临床研究提供了基础框架。</w:t>
      </w:r>
    </w:p>
    <w:p w14:paraId="1B32C14C">
      <w:pPr>
        <w:pStyle w:val="2"/>
        <w:spacing w:line="219" w:lineRule="auto"/>
        <w:ind w:left="511"/>
        <w:outlineLvl w:val="1"/>
      </w:pPr>
      <w:bookmarkStart w:id="6" w:name="_Toc936"/>
      <w:r>
        <w:rPr>
          <w:b/>
          <w:bCs/>
          <w:spacing w:val="-3"/>
        </w:rPr>
        <w:t>（五）标准中如果涉及专利，应有明确的知识产权说明</w:t>
      </w:r>
      <w:bookmarkEnd w:id="6"/>
    </w:p>
    <w:p w14:paraId="4318D41E">
      <w:pPr>
        <w:pStyle w:val="2"/>
        <w:spacing w:before="185" w:line="220" w:lineRule="auto"/>
        <w:ind w:left="508"/>
      </w:pPr>
      <w:r>
        <w:rPr>
          <w:rFonts w:hint="eastAsia"/>
          <w:lang w:val="en-US" w:eastAsia="zh-CN"/>
        </w:rPr>
        <w:t>未涉及专利。</w:t>
      </w:r>
    </w:p>
    <w:p w14:paraId="47FD331C">
      <w:pPr>
        <w:pStyle w:val="2"/>
        <w:spacing w:before="177" w:line="291" w:lineRule="auto"/>
        <w:ind w:left="25" w:right="121" w:firstLine="485"/>
        <w:outlineLvl w:val="1"/>
      </w:pPr>
      <w:bookmarkStart w:id="7" w:name="_Toc46"/>
      <w:r>
        <w:rPr>
          <w:b/>
          <w:bCs/>
          <w:spacing w:val="1"/>
        </w:rPr>
        <w:t>（六）采用国际标准或国外先进标准的，说明采标程度，以及国内外同类</w:t>
      </w:r>
      <w:r>
        <w:rPr>
          <w:b/>
          <w:bCs/>
          <w:spacing w:val="-3"/>
        </w:rPr>
        <w:t>标准水平的对比情况</w:t>
      </w:r>
      <w:bookmarkEnd w:id="7"/>
    </w:p>
    <w:p w14:paraId="225D613C">
      <w:pPr>
        <w:pStyle w:val="2"/>
        <w:spacing w:before="183" w:line="360" w:lineRule="auto"/>
        <w:ind w:left="24" w:firstLine="503"/>
      </w:pPr>
      <w:r>
        <w:rPr>
          <w:rFonts w:hint="eastAsia"/>
          <w:lang w:val="en-US" w:eastAsia="zh-CN"/>
        </w:rPr>
        <w:t>未采用国际标准或国外先进标准。国内同类标准主要为《黎族医药特色熏蒸疗法技术操作规范》（T/CMAM L3-2023），本标准研制在理论基础、熏蒸设备、技术细节、熏蒸组方与其有明显差异。</w:t>
      </w:r>
    </w:p>
    <w:p w14:paraId="25D43ACA">
      <w:pPr>
        <w:pStyle w:val="2"/>
        <w:spacing w:before="1" w:line="218" w:lineRule="auto"/>
        <w:ind w:left="511"/>
        <w:outlineLvl w:val="1"/>
      </w:pPr>
      <w:bookmarkStart w:id="8" w:name="_Toc12624"/>
      <w:r>
        <w:rPr>
          <w:b/>
          <w:bCs/>
          <w:spacing w:val="-4"/>
        </w:rPr>
        <w:t>（七）重大分歧意见的处理依据和结果</w:t>
      </w:r>
      <w:bookmarkEnd w:id="8"/>
    </w:p>
    <w:p w14:paraId="17B18262">
      <w:pPr>
        <w:pStyle w:val="2"/>
        <w:spacing w:before="181" w:line="220" w:lineRule="auto"/>
        <w:ind w:left="506"/>
        <w:rPr>
          <w:rFonts w:hint="eastAsia" w:eastAsia="宋体"/>
          <w:lang w:eastAsia="zh-CN"/>
        </w:rPr>
      </w:pPr>
      <w:r>
        <w:t>无</w:t>
      </w:r>
      <w:r>
        <w:rPr>
          <w:rFonts w:hint="eastAsia"/>
          <w:lang w:eastAsia="zh-CN"/>
        </w:rPr>
        <w:t>。</w:t>
      </w:r>
    </w:p>
    <w:p w14:paraId="171DDA42">
      <w:pPr>
        <w:pStyle w:val="2"/>
        <w:numPr>
          <w:ilvl w:val="0"/>
          <w:numId w:val="6"/>
        </w:numPr>
        <w:spacing w:before="183" w:line="291" w:lineRule="auto"/>
        <w:ind w:left="30" w:right="27" w:firstLine="480"/>
        <w:outlineLvl w:val="1"/>
        <w:rPr>
          <w:b/>
          <w:bCs/>
          <w:spacing w:val="-7"/>
        </w:rPr>
      </w:pPr>
      <w:bookmarkStart w:id="9" w:name="_Toc17148"/>
      <w:r>
        <w:rPr>
          <w:b/>
          <w:bCs/>
          <w:spacing w:val="-3"/>
        </w:rPr>
        <w:t>贯彻标准的要求和措施建议（包括组织措</w:t>
      </w:r>
      <w:r>
        <w:rPr>
          <w:b/>
          <w:bCs/>
          <w:spacing w:val="-4"/>
        </w:rPr>
        <w:t>施、技术措施、过渡办法、</w:t>
      </w:r>
      <w:r>
        <w:rPr>
          <w:b/>
          <w:bCs/>
          <w:spacing w:val="-7"/>
        </w:rPr>
        <w:t>实施日期等）</w:t>
      </w:r>
      <w:bookmarkEnd w:id="9"/>
    </w:p>
    <w:p w14:paraId="061F7F00">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lang w:val="en-US" w:eastAsia="zh-CN"/>
        </w:rPr>
        <w:t>1.</w:t>
      </w:r>
      <w:r>
        <w:rPr>
          <w:rFonts w:hint="eastAsia"/>
          <w:b w:val="0"/>
          <w:bCs w:val="0"/>
          <w:spacing w:val="-7"/>
        </w:rPr>
        <w:t>组织措施：</w:t>
      </w:r>
      <w:r>
        <w:rPr>
          <w:rFonts w:hint="eastAsia"/>
          <w:b w:val="0"/>
          <w:bCs w:val="0"/>
          <w:spacing w:val="-7"/>
          <w:lang w:val="en-US" w:eastAsia="zh-CN"/>
        </w:rPr>
        <w:t>标准颁布后，广东省中医院海南医院负责推广和贯标工作，</w:t>
      </w:r>
      <w:r>
        <w:rPr>
          <w:rFonts w:hint="eastAsia"/>
          <w:b w:val="0"/>
          <w:bCs w:val="0"/>
          <w:spacing w:val="-7"/>
        </w:rPr>
        <w:t>成立推广领导小组，</w:t>
      </w:r>
      <w:r>
        <w:rPr>
          <w:rFonts w:hint="eastAsia"/>
          <w:b w:val="0"/>
          <w:bCs w:val="0"/>
          <w:spacing w:val="-7"/>
          <w:lang w:val="en-US" w:eastAsia="zh-CN"/>
        </w:rPr>
        <w:t>依托行业主管部门，联合省内中医医疗机构及医药高校，在海南省卫生健康委员会的指导下，组织相关的宣传、培训推广等工作，培训的对象主要为医护人员；培训方式灵活多样，可以为现场培训、视频会议等方式。培训频次和时间可根据卫健委要求进行调整</w:t>
      </w:r>
      <w:r>
        <w:rPr>
          <w:rFonts w:hint="eastAsia"/>
          <w:b w:val="0"/>
          <w:bCs w:val="0"/>
          <w:spacing w:val="-7"/>
        </w:rPr>
        <w:t>。</w:t>
      </w:r>
    </w:p>
    <w:p w14:paraId="6F9A0FDA">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lang w:val="en-US" w:eastAsia="zh-CN"/>
        </w:rPr>
        <w:t>2.</w:t>
      </w:r>
      <w:r>
        <w:rPr>
          <w:rFonts w:hint="eastAsia"/>
          <w:b w:val="0"/>
          <w:bCs w:val="0"/>
          <w:spacing w:val="-7"/>
        </w:rPr>
        <w:t>技术措施：依托广东省中医院海南医院等单位成立技术指导中心，通过现场指导、技术咨询、学术交流等方式提供技术支持。</w:t>
      </w:r>
    </w:p>
    <w:p w14:paraId="4681170F">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lang w:val="en-US" w:eastAsia="zh-CN"/>
        </w:rPr>
        <w:t>3.</w:t>
      </w:r>
      <w:r>
        <w:rPr>
          <w:rFonts w:hint="eastAsia"/>
          <w:b w:val="0"/>
          <w:bCs w:val="0"/>
          <w:spacing w:val="-7"/>
        </w:rPr>
        <w:t>监督检查：由省级相关部门成立监督检查小组，通过定期检查、随机抽查、数据分析评估等方式，对标准的实施情况进行监督。</w:t>
      </w:r>
    </w:p>
    <w:p w14:paraId="36702DE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83" w:line="360" w:lineRule="auto"/>
        <w:ind w:left="0" w:leftChars="0" w:right="28" w:rightChars="0" w:firstLine="452" w:firstLineChars="200"/>
        <w:textAlignment w:val="baseline"/>
        <w:outlineLvl w:val="9"/>
        <w:rPr>
          <w:b/>
          <w:bCs/>
          <w:spacing w:val="-7"/>
        </w:rPr>
      </w:pPr>
      <w:r>
        <w:rPr>
          <w:rFonts w:hint="eastAsia"/>
          <w:b w:val="0"/>
          <w:bCs w:val="0"/>
          <w:spacing w:val="-7"/>
          <w:lang w:val="en-US" w:eastAsia="zh-CN"/>
        </w:rPr>
        <w:t>4.</w:t>
      </w:r>
      <w:r>
        <w:rPr>
          <w:rFonts w:hint="eastAsia"/>
          <w:b w:val="0"/>
          <w:bCs w:val="0"/>
          <w:spacing w:val="-7"/>
        </w:rPr>
        <w:t>实施日期：建议自标准发布之日起</w:t>
      </w:r>
      <w:r>
        <w:rPr>
          <w:rFonts w:hint="eastAsia"/>
          <w:b w:val="0"/>
          <w:bCs w:val="0"/>
          <w:spacing w:val="-7"/>
          <w:lang w:val="en-US" w:eastAsia="zh-CN"/>
        </w:rPr>
        <w:t>实施</w:t>
      </w:r>
      <w:r>
        <w:rPr>
          <w:rFonts w:hint="eastAsia"/>
          <w:b w:val="0"/>
          <w:bCs w:val="0"/>
          <w:spacing w:val="-7"/>
          <w:lang w:eastAsia="zh-CN"/>
        </w:rPr>
        <w:t>，</w:t>
      </w:r>
      <w:r>
        <w:rPr>
          <w:rFonts w:hint="eastAsia"/>
          <w:b w:val="0"/>
          <w:bCs w:val="0"/>
          <w:spacing w:val="-7"/>
          <w:lang w:val="en-US" w:eastAsia="zh-CN"/>
        </w:rPr>
        <w:t>最终由海南省卫生健康委员会及相关主管部门商议决定</w:t>
      </w:r>
      <w:r>
        <w:rPr>
          <w:rFonts w:hint="eastAsia"/>
          <w:b w:val="0"/>
          <w:bCs w:val="0"/>
          <w:spacing w:val="-7"/>
        </w:rPr>
        <w:t>。</w:t>
      </w:r>
    </w:p>
    <w:p w14:paraId="59C77A03">
      <w:pPr>
        <w:pStyle w:val="2"/>
        <w:numPr>
          <w:ilvl w:val="0"/>
          <w:numId w:val="6"/>
        </w:numPr>
        <w:spacing w:before="1" w:line="360" w:lineRule="auto"/>
        <w:ind w:left="30" w:leftChars="0" w:firstLine="480" w:firstLineChars="0"/>
        <w:outlineLvl w:val="1"/>
        <w:rPr>
          <w:b/>
          <w:bCs/>
          <w:spacing w:val="-7"/>
        </w:rPr>
      </w:pPr>
      <w:bookmarkStart w:id="10" w:name="_Toc4912"/>
      <w:r>
        <w:rPr>
          <w:b/>
          <w:bCs/>
          <w:spacing w:val="-7"/>
        </w:rPr>
        <w:t>预期效果</w:t>
      </w:r>
      <w:bookmarkEnd w:id="10"/>
    </w:p>
    <w:p w14:paraId="3FD3EDF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left="0" w:leftChars="0" w:firstLine="452" w:firstLineChars="200"/>
        <w:textAlignment w:val="baseline"/>
        <w:outlineLvl w:val="9"/>
        <w:rPr>
          <w:b/>
          <w:bCs/>
          <w:spacing w:val="-7"/>
        </w:rPr>
      </w:pPr>
      <w:r>
        <w:rPr>
          <w:rFonts w:hint="eastAsia"/>
          <w:b w:val="0"/>
          <w:bCs w:val="0"/>
          <w:spacing w:val="-7"/>
        </w:rPr>
        <w:t>本规范可</w:t>
      </w:r>
      <w:r>
        <w:rPr>
          <w:rFonts w:hint="eastAsia"/>
          <w:b w:val="0"/>
          <w:bCs w:val="0"/>
          <w:spacing w:val="-7"/>
          <w:lang w:val="en-US" w:eastAsia="zh-CN"/>
        </w:rPr>
        <w:t>在</w:t>
      </w:r>
      <w:r>
        <w:rPr>
          <w:rFonts w:hint="eastAsia"/>
          <w:b w:val="0"/>
          <w:bCs w:val="0"/>
          <w:spacing w:val="-7"/>
        </w:rPr>
        <w:t>全省范围内统一黎医熏蒸疗法操作，提升服务质量与疗效稳定性，通过明确禁忌症和操作规范最大限度降低治疗风险、保障患者安全，同时为标准化技术传承、教学培训和学术研究提供权威依据，带动黎药种植、健康服务、康养旅游等相关产业链发展、提升黎医药产业价值，并促进黎族传统医药知识的系统化保护与传承。</w:t>
      </w:r>
    </w:p>
    <w:p w14:paraId="3A581053">
      <w:pPr>
        <w:pStyle w:val="2"/>
        <w:spacing w:before="122" w:line="220" w:lineRule="auto"/>
        <w:ind w:left="511"/>
        <w:outlineLvl w:val="1"/>
      </w:pPr>
      <w:bookmarkStart w:id="11" w:name="_Toc30105"/>
      <w:r>
        <w:rPr>
          <w:b/>
          <w:bCs/>
          <w:spacing w:val="-5"/>
        </w:rPr>
        <w:t>（十）其他应予说明的事项</w:t>
      </w:r>
      <w:bookmarkEnd w:id="11"/>
    </w:p>
    <w:p w14:paraId="3F9932EC">
      <w:pPr>
        <w:pStyle w:val="2"/>
        <w:spacing w:before="184" w:line="220" w:lineRule="auto"/>
        <w:ind w:left="506"/>
        <w:rPr>
          <w:rFonts w:hint="eastAsia" w:eastAsia="宋体"/>
          <w:lang w:val="en-US" w:eastAsia="zh-CN"/>
        </w:rPr>
      </w:pPr>
      <w:r>
        <w:rPr>
          <w:rFonts w:hint="eastAsia"/>
          <w:lang w:val="en-US" w:eastAsia="zh-CN"/>
        </w:rPr>
        <w:t>无。</w:t>
      </w:r>
    </w:p>
    <w:sectPr>
      <w:footerReference r:id="rId7" w:type="default"/>
      <w:pgSz w:w="11905" w:h="16840"/>
      <w:pgMar w:top="1431" w:right="1785" w:bottom="1255" w:left="1785" w:header="0" w:footer="1052"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399BC3D-36A8-4661-A8F2-ADB711F09AA8}"/>
  </w:font>
  <w:font w:name="黑体">
    <w:panose1 w:val="02010609060101010101"/>
    <w:charset w:val="86"/>
    <w:family w:val="auto"/>
    <w:pitch w:val="default"/>
    <w:sig w:usb0="800002BF" w:usb1="38CF7CFA" w:usb2="00000016" w:usb3="00000000" w:csb0="00040001" w:csb1="00000000"/>
    <w:embedRegular r:id="rId2" w:fontKey="{7BEFE404-5289-4D76-B5B8-3F4277403F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3036B4C2-9353-4B12-BE55-12E93ABB77D3}"/>
  </w:font>
  <w:font w:name="方正小标宋简体">
    <w:panose1 w:val="02000000000000000000"/>
    <w:charset w:val="86"/>
    <w:family w:val="script"/>
    <w:pitch w:val="default"/>
    <w:sig w:usb0="00000001" w:usb1="08000000" w:usb2="00000000" w:usb3="00000000" w:csb0="00040000" w:csb1="00000000"/>
    <w:embedRegular r:id="rId4" w:fontKey="{5B3A7D48-7AA8-49DB-9D42-BDB82C84BBD1}"/>
  </w:font>
  <w:font w:name="方正公文小标宋">
    <w:panose1 w:val="02000500000000000000"/>
    <w:charset w:val="86"/>
    <w:family w:val="auto"/>
    <w:pitch w:val="default"/>
    <w:sig w:usb0="A00002BF" w:usb1="38CF7CFA" w:usb2="00000016" w:usb3="00000000" w:csb0="00040001" w:csb1="00000000"/>
    <w:embedRegular r:id="rId5" w:fontKey="{B09B7FDA-4F2E-4545-A2F1-23F2D3DADF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71838">
    <w:pPr>
      <w:pStyle w:val="4"/>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351002">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6351002">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692E7">
    <w:pPr>
      <w:spacing w:line="223" w:lineRule="auto"/>
      <w:ind w:left="4282"/>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C582F">
    <w:pPr>
      <w:spacing w:line="223" w:lineRule="auto"/>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B1FCB">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DB1FCB">
                    <w:pPr>
                      <w:pStyle w:val="4"/>
                    </w:pPr>
                    <w:r>
                      <w:fldChar w:fldCharType="begin"/>
                    </w:r>
                    <w:r>
                      <w:instrText xml:space="preserve"> PAGE  \* MERGEFORMAT </w:instrText>
                    </w:r>
                    <w:r>
                      <w:fldChar w:fldCharType="separate"/>
                    </w:r>
                    <w:r>
                      <w:t>2</w:t>
                    </w:r>
                    <w:r>
                      <w:fldChar w:fldCharType="end"/>
                    </w:r>
                  </w:p>
                </w:txbxContent>
              </v:textbox>
            </v:shape>
          </w:pict>
        </mc:Fallback>
      </mc:AlternateContent>
    </w:r>
    <w:bookmarkStart w:id="12" w:name="_GoBack"/>
    <w:bookmarkEnd w:id="1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EC172"/>
    <w:multiLevelType w:val="singleLevel"/>
    <w:tmpl w:val="976EC172"/>
    <w:lvl w:ilvl="0" w:tentative="0">
      <w:start w:val="3"/>
      <w:numFmt w:val="decimal"/>
      <w:suff w:val="nothing"/>
      <w:lvlText w:val="（%1）"/>
      <w:lvlJc w:val="left"/>
    </w:lvl>
  </w:abstractNum>
  <w:abstractNum w:abstractNumId="1">
    <w:nsid w:val="2C5917C3"/>
    <w:multiLevelType w:val="multilevel"/>
    <w:tmpl w:val="2C5917C3"/>
    <w:lvl w:ilvl="0" w:tentative="0">
      <w:start w:val="1"/>
      <w:numFmt w:val="none"/>
      <w:pStyle w:val="17"/>
      <w:lvlText w:val="%1——"/>
      <w:lvlJc w:val="left"/>
      <w:pPr>
        <w:tabs>
          <w:tab w:val="left" w:pos="2128"/>
        </w:tabs>
        <w:ind w:left="2128" w:hanging="426"/>
      </w:pPr>
      <w:rPr>
        <w:rFonts w:hint="eastAsia" w:ascii="宋体" w:hAnsi="Times New Roman" w:eastAsia="宋体"/>
        <w:b w:val="0"/>
        <w:i w:val="0"/>
        <w:sz w:val="21"/>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
    <w:nsid w:val="33BD6A8B"/>
    <w:multiLevelType w:val="singleLevel"/>
    <w:tmpl w:val="33BD6A8B"/>
    <w:lvl w:ilvl="0" w:tentative="0">
      <w:start w:val="2"/>
      <w:numFmt w:val="decimal"/>
      <w:suff w:val="nothing"/>
      <w:lvlText w:val="%1."/>
      <w:lvlJc w:val="left"/>
      <w:rPr>
        <w:rFonts w:hint="default"/>
        <w:b/>
        <w:bCs/>
      </w:rPr>
    </w:lvl>
  </w:abstractNum>
  <w:abstractNum w:abstractNumId="3">
    <w:nsid w:val="553B1F8F"/>
    <w:multiLevelType w:val="singleLevel"/>
    <w:tmpl w:val="553B1F8F"/>
    <w:lvl w:ilvl="0" w:tentative="0">
      <w:start w:val="4"/>
      <w:numFmt w:val="decimal"/>
      <w:suff w:val="nothing"/>
      <w:lvlText w:val="%1）"/>
      <w:lvlJc w:val="left"/>
    </w:lvl>
  </w:abstractNum>
  <w:abstractNum w:abstractNumId="4">
    <w:nsid w:val="5E7FD17E"/>
    <w:multiLevelType w:val="singleLevel"/>
    <w:tmpl w:val="5E7FD17E"/>
    <w:lvl w:ilvl="0" w:tentative="0">
      <w:start w:val="8"/>
      <w:numFmt w:val="chineseCounting"/>
      <w:suff w:val="nothing"/>
      <w:lvlText w:val="（%1）"/>
      <w:lvlJc w:val="left"/>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5"/>
      <w:suff w:val="nothing"/>
      <w:lvlText w:val="%1%2　"/>
      <w:lvlJc w:val="left"/>
      <w:pPr>
        <w:ind w:left="0" w:firstLine="0"/>
      </w:pPr>
      <w:rPr>
        <w:rFonts w:hint="eastAsia" w:ascii="黑体" w:eastAsia="黑体"/>
        <w:b w:val="0"/>
        <w:i w:val="0"/>
        <w:sz w:val="21"/>
      </w:rPr>
    </w:lvl>
    <w:lvl w:ilvl="2" w:tentative="0">
      <w:start w:val="1"/>
      <w:numFmt w:val="decimal"/>
      <w:pStyle w:val="1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19"/>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86F75C9"/>
    <w:rsid w:val="0BF93E95"/>
    <w:rsid w:val="0D9908A7"/>
    <w:rsid w:val="0FA11D7B"/>
    <w:rsid w:val="14E23C1D"/>
    <w:rsid w:val="19CA2C82"/>
    <w:rsid w:val="20A47F19"/>
    <w:rsid w:val="21746591"/>
    <w:rsid w:val="26725F02"/>
    <w:rsid w:val="27B543BD"/>
    <w:rsid w:val="2C580717"/>
    <w:rsid w:val="2F287E07"/>
    <w:rsid w:val="3BBC2A1C"/>
    <w:rsid w:val="413D6D08"/>
    <w:rsid w:val="46EA58B1"/>
    <w:rsid w:val="496D4E83"/>
    <w:rsid w:val="5D916D06"/>
    <w:rsid w:val="60D84E80"/>
    <w:rsid w:val="634145D0"/>
    <w:rsid w:val="6524153B"/>
    <w:rsid w:val="666E73C6"/>
    <w:rsid w:val="66DC6D4D"/>
    <w:rsid w:val="67EB36EB"/>
    <w:rsid w:val="6A795746"/>
    <w:rsid w:val="732B6AAC"/>
    <w:rsid w:val="7A174061"/>
    <w:rsid w:val="7FE602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toc 3"/>
    <w:basedOn w:val="1"/>
    <w:next w:val="1"/>
    <w:qFormat/>
    <w:uiPriority w:val="0"/>
    <w:pPr>
      <w:ind w:left="840" w:leftChars="40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toc 1"/>
    <w:basedOn w:val="1"/>
    <w:next w:val="1"/>
    <w:qFormat/>
    <w:uiPriority w:val="0"/>
  </w:style>
  <w:style w:type="paragraph" w:styleId="6">
    <w:name w:val="toc 4"/>
    <w:basedOn w:val="1"/>
    <w:next w:val="1"/>
    <w:qFormat/>
    <w:uiPriority w:val="0"/>
    <w:pPr>
      <w:ind w:left="1260" w:leftChars="600"/>
    </w:pPr>
  </w:style>
  <w:style w:type="paragraph" w:styleId="7">
    <w:name w:val="toc 2"/>
    <w:basedOn w:val="1"/>
    <w:next w:val="1"/>
    <w:qFormat/>
    <w:uiPriority w:val="0"/>
    <w:pPr>
      <w:ind w:left="420" w:leftChars="200"/>
    </w:p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1"/>
      <w:szCs w:val="21"/>
      <w:lang w:val="en-US" w:eastAsia="en-US" w:bidi="ar-SA"/>
    </w:rPr>
  </w:style>
  <w:style w:type="paragraph" w:customStyle="1" w:styleId="12">
    <w:name w:val="标准文件_术语条一"/>
    <w:basedOn w:val="13"/>
    <w:next w:val="16"/>
    <w:qFormat/>
    <w:uiPriority w:val="0"/>
  </w:style>
  <w:style w:type="paragraph" w:customStyle="1" w:styleId="13">
    <w:name w:val="标准文件_一级无标题"/>
    <w:basedOn w:val="14"/>
    <w:qFormat/>
    <w:uiPriority w:val="0"/>
    <w:pPr>
      <w:spacing w:before="0" w:beforeLines="0" w:after="0" w:afterLines="0"/>
      <w:outlineLvl w:val="9"/>
    </w:pPr>
    <w:rPr>
      <w:rFonts w:ascii="宋体" w:eastAsia="宋体"/>
    </w:rPr>
  </w:style>
  <w:style w:type="paragraph" w:customStyle="1" w:styleId="14">
    <w:name w:val="标准文件_一级条标题"/>
    <w:basedOn w:val="15"/>
    <w:next w:val="16"/>
    <w:qFormat/>
    <w:uiPriority w:val="0"/>
    <w:pPr>
      <w:numPr>
        <w:ilvl w:val="2"/>
      </w:numPr>
      <w:spacing w:before="50" w:beforeLines="50" w:after="50" w:afterLines="50"/>
      <w:outlineLvl w:val="1"/>
    </w:pPr>
  </w:style>
  <w:style w:type="paragraph" w:customStyle="1" w:styleId="15">
    <w:name w:val="标准文件_章标题"/>
    <w:next w:val="16"/>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
    <w:name w:val="标准文件_一级项"/>
    <w:qFormat/>
    <w:uiPriority w:val="0"/>
    <w:pPr>
      <w:numPr>
        <w:ilvl w:val="0"/>
        <w:numId w:val="2"/>
      </w:numPr>
      <w:tabs>
        <w:tab w:val="left" w:pos="851"/>
        <w:tab w:val="clear" w:pos="2128"/>
      </w:tabs>
      <w:ind w:left="851"/>
    </w:pPr>
    <w:rPr>
      <w:rFonts w:ascii="宋体" w:hAnsi="Times New Roman" w:eastAsia="宋体" w:cs="Times New Roman"/>
      <w:sz w:val="21"/>
      <w:lang w:val="en-US" w:eastAsia="zh-CN" w:bidi="ar-SA"/>
    </w:rPr>
  </w:style>
  <w:style w:type="paragraph" w:customStyle="1" w:styleId="18">
    <w:name w:val="标准文件_二级无标题"/>
    <w:basedOn w:val="19"/>
    <w:qFormat/>
    <w:uiPriority w:val="0"/>
    <w:pPr>
      <w:spacing w:before="0" w:beforeLines="0" w:after="0" w:afterLines="0"/>
      <w:outlineLvl w:val="9"/>
    </w:pPr>
    <w:rPr>
      <w:rFonts w:ascii="宋体" w:eastAsia="宋体"/>
    </w:rPr>
  </w:style>
  <w:style w:type="paragraph" w:customStyle="1" w:styleId="19">
    <w:name w:val="标准文件_二级条标题"/>
    <w:next w:val="16"/>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5778</Words>
  <Characters>6205</Characters>
  <TotalTime>0</TotalTime>
  <ScaleCrop>false</ScaleCrop>
  <LinksUpToDate>false</LinksUpToDate>
  <CharactersWithSpaces>6287</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2026-02-25T08:35:00Z</dcterms:created>
  <dc:creator>aaa</dc:creator>
  <cp:lastModifiedBy>JoJo ke</cp:lastModifiedBy>
  <dcterms:modified xsi:type="dcterms:W3CDTF">2026-02-28T04:10:42Z</dcterms:modified>
  <dc:title>《自动气象站场室防雷技术规范》编制说明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2026-02-27T02:20:15Z</vt:filetime>
  </property>
  <property fmtid="{D5CDD505-2E9C-101B-9397-08002B2CF9AE}" pid="4" name="KSOTemplateDocerSaveRecord">
    <vt:lpwstr>eyJoZGlkIjoiYzYzMjI3MDczMTE2NDQ3YTFmYTYwMmMwOWMwMGRhZDciLCJ1c2VySWQiOiIyNzk2ODUxMTEifQ==</vt:lpwstr>
  </property>
  <property fmtid="{D5CDD505-2E9C-101B-9397-08002B2CF9AE}" pid="5" name="KSOProductBuildVer">
    <vt:lpwstr>2052-12.1.0.25225</vt:lpwstr>
  </property>
  <property fmtid="{D5CDD505-2E9C-101B-9397-08002B2CF9AE}" pid="6" name="ICV">
    <vt:lpwstr>96C9BD968B74487088A1ACFB60F42043_12</vt:lpwstr>
  </property>
</Properties>
</file>