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2DAE9">
      <w:pPr>
        <w:spacing w:line="480" w:lineRule="auto"/>
        <w:jc w:val="center"/>
        <w:rPr>
          <w:rFonts w:ascii="仿宋" w:hAnsi="仿宋" w:eastAsia="仿宋"/>
          <w:b/>
          <w:sz w:val="32"/>
          <w:szCs w:val="32"/>
        </w:rPr>
      </w:pPr>
    </w:p>
    <w:p w14:paraId="5A2E0519">
      <w:pPr>
        <w:spacing w:line="480" w:lineRule="auto"/>
        <w:jc w:val="center"/>
        <w:rPr>
          <w:rFonts w:hint="eastAsia" w:ascii="方正小标宋简体" w:eastAsia="方正小标宋简体"/>
          <w:b/>
          <w:sz w:val="52"/>
          <w:szCs w:val="52"/>
        </w:rPr>
      </w:pPr>
    </w:p>
    <w:p w14:paraId="31337490">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8EEDC71">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26B7BFC">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海南省地方标准</w:t>
      </w:r>
    </w:p>
    <w:p w14:paraId="7C276058">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w:t>
      </w:r>
      <w:r>
        <w:rPr>
          <w:rFonts w:hint="eastAsia" w:ascii="方正小标宋简体" w:hAnsi="方正小标宋简体" w:eastAsia="方正小标宋简体" w:cs="方正小标宋简体"/>
          <w:spacing w:val="-2"/>
          <w:sz w:val="52"/>
          <w:szCs w:val="52"/>
          <w:lang w:val="en-US" w:eastAsia="zh-CN"/>
        </w:rPr>
        <w:t>黎医疗法操作规范  药石疗法</w:t>
      </w:r>
      <w:r>
        <w:rPr>
          <w:rFonts w:hint="eastAsia" w:ascii="方正小标宋简体" w:hAnsi="方正小标宋简体" w:eastAsia="方正小标宋简体" w:cs="方正小标宋简体"/>
          <w:spacing w:val="-2"/>
          <w:sz w:val="52"/>
          <w:szCs w:val="52"/>
        </w:rPr>
        <w:t>》</w:t>
      </w:r>
    </w:p>
    <w:p w14:paraId="2508F89D">
      <w:pPr>
        <w:spacing w:before="55" w:line="239" w:lineRule="auto"/>
        <w:ind w:left="3715" w:right="659" w:hanging="3079"/>
        <w:jc w:val="center"/>
        <w:rPr>
          <w:rFonts w:hint="eastAsia" w:ascii="方正公文小标宋" w:hAnsi="方正公文小标宋" w:eastAsia="方正公文小标宋" w:cs="方正公文小标宋"/>
          <w:spacing w:val="-2"/>
          <w:sz w:val="44"/>
          <w:szCs w:val="44"/>
        </w:rPr>
      </w:pPr>
      <w:r>
        <w:rPr>
          <w:rFonts w:hint="eastAsia" w:ascii="方正小标宋简体" w:hAnsi="方正小标宋简体" w:eastAsia="方正小标宋简体" w:cs="方正小标宋简体"/>
          <w:spacing w:val="-2"/>
          <w:sz w:val="52"/>
          <w:szCs w:val="52"/>
        </w:rPr>
        <w:t>编制说明</w:t>
      </w:r>
    </w:p>
    <w:p w14:paraId="4639CBF1">
      <w:pPr>
        <w:spacing w:line="480" w:lineRule="auto"/>
        <w:jc w:val="center"/>
        <w:rPr>
          <w:rFonts w:ascii="仿宋" w:hAnsi="仿宋" w:eastAsia="仿宋"/>
          <w:b/>
          <w:sz w:val="32"/>
          <w:szCs w:val="32"/>
        </w:rPr>
      </w:pPr>
    </w:p>
    <w:p w14:paraId="38B33E9D">
      <w:pPr>
        <w:spacing w:line="480" w:lineRule="auto"/>
        <w:jc w:val="center"/>
        <w:rPr>
          <w:rFonts w:ascii="仿宋" w:hAnsi="仿宋" w:eastAsia="仿宋"/>
          <w:b/>
          <w:sz w:val="32"/>
          <w:szCs w:val="32"/>
        </w:rPr>
      </w:pPr>
    </w:p>
    <w:p w14:paraId="7F524A1E">
      <w:pPr>
        <w:spacing w:line="480" w:lineRule="auto"/>
        <w:jc w:val="center"/>
        <w:rPr>
          <w:rFonts w:ascii="仿宋" w:hAnsi="仿宋" w:eastAsia="仿宋"/>
          <w:b/>
          <w:sz w:val="32"/>
          <w:szCs w:val="32"/>
        </w:rPr>
      </w:pPr>
    </w:p>
    <w:p w14:paraId="6CC9F858">
      <w:pPr>
        <w:spacing w:line="480" w:lineRule="auto"/>
        <w:jc w:val="center"/>
        <w:rPr>
          <w:rFonts w:ascii="仿宋" w:hAnsi="仿宋" w:eastAsia="仿宋"/>
          <w:b/>
          <w:sz w:val="32"/>
          <w:szCs w:val="32"/>
        </w:rPr>
      </w:pPr>
    </w:p>
    <w:p w14:paraId="551BD8B9">
      <w:pPr>
        <w:spacing w:line="480" w:lineRule="auto"/>
        <w:jc w:val="center"/>
        <w:rPr>
          <w:rFonts w:hint="eastAsia" w:ascii="仿宋" w:hAnsi="仿宋" w:eastAsia="仿宋"/>
          <w:b/>
          <w:sz w:val="32"/>
          <w:szCs w:val="32"/>
        </w:rPr>
      </w:pPr>
    </w:p>
    <w:p w14:paraId="6E15ED4B">
      <w:pPr>
        <w:spacing w:line="480" w:lineRule="auto"/>
        <w:rPr>
          <w:rFonts w:hint="eastAsia" w:ascii="仿宋" w:hAnsi="仿宋" w:eastAsia="仿宋"/>
          <w:b/>
          <w:sz w:val="32"/>
          <w:szCs w:val="32"/>
        </w:rPr>
      </w:pPr>
    </w:p>
    <w:p w14:paraId="67D60C78">
      <w:pPr>
        <w:spacing w:line="480" w:lineRule="auto"/>
        <w:rPr>
          <w:rFonts w:hint="eastAsia" w:ascii="仿宋" w:hAnsi="仿宋" w:eastAsia="仿宋"/>
          <w:b/>
          <w:sz w:val="32"/>
          <w:szCs w:val="32"/>
        </w:rPr>
      </w:pPr>
    </w:p>
    <w:p w14:paraId="28B69057">
      <w:pPr>
        <w:spacing w:line="480" w:lineRule="auto"/>
        <w:rPr>
          <w:rFonts w:hint="eastAsia" w:ascii="仿宋" w:hAnsi="仿宋" w:eastAsia="仿宋"/>
          <w:b/>
          <w:sz w:val="32"/>
          <w:szCs w:val="32"/>
        </w:rPr>
      </w:pPr>
    </w:p>
    <w:p w14:paraId="2ED1A156">
      <w:pPr>
        <w:spacing w:line="480" w:lineRule="auto"/>
        <w:jc w:val="center"/>
        <w:rPr>
          <w:rFonts w:hint="eastAsia" w:ascii="方正小标宋简体" w:hAnsi="方正小标宋简体" w:eastAsia="方正小标宋简体" w:cs="方正小标宋简体"/>
          <w:b w:val="0"/>
          <w:bCs/>
          <w:sz w:val="44"/>
          <w:szCs w:val="44"/>
        </w:rPr>
        <w:sectPr>
          <w:footerReference r:id="rId5" w:type="default"/>
          <w:pgSz w:w="11906" w:h="16838"/>
          <w:pgMar w:top="720" w:right="720" w:bottom="720" w:left="720" w:header="851" w:footer="992" w:gutter="0"/>
          <w:cols w:space="720" w:num="1"/>
          <w:docGrid w:type="lines" w:linePitch="312" w:charSpace="0"/>
        </w:sectPr>
      </w:pPr>
      <w:r>
        <w:rPr>
          <w:rFonts w:hint="eastAsia" w:ascii="方正小标宋简体" w:hAnsi="方正小标宋简体" w:eastAsia="方正小标宋简体" w:cs="方正小标宋简体"/>
          <w:b w:val="0"/>
          <w:bCs/>
          <w:sz w:val="44"/>
          <w:szCs w:val="44"/>
        </w:rPr>
        <w:t>2026年1月</w:t>
      </w:r>
    </w:p>
    <w:sdt>
      <w:sdtPr>
        <w:rPr>
          <w:rFonts w:ascii="宋体" w:hAnsi="宋体" w:eastAsia="宋体" w:cs="Arial"/>
          <w:snapToGrid w:val="0"/>
          <w:color w:val="000000"/>
          <w:kern w:val="0"/>
          <w:sz w:val="21"/>
          <w:szCs w:val="21"/>
          <w:lang w:val="en-US" w:eastAsia="en-US" w:bidi="ar-SA"/>
        </w:rPr>
        <w:id w:val="147454668"/>
        <w15:color w:val="DBDBDB"/>
        <w:docPartObj>
          <w:docPartGallery w:val="Table of Contents"/>
          <w:docPartUnique/>
        </w:docPartObj>
      </w:sdtPr>
      <w:sdtEndPr>
        <w:rPr>
          <w:rFonts w:ascii="黑体" w:hAnsi="黑体" w:eastAsia="黑体" w:cs="黑体"/>
          <w:snapToGrid w:val="0"/>
          <w:color w:val="000000"/>
          <w:spacing w:val="-2"/>
          <w:kern w:val="0"/>
          <w:sz w:val="21"/>
          <w:szCs w:val="28"/>
          <w:lang w:val="en-US" w:eastAsia="en-US" w:bidi="ar-SA"/>
        </w:rPr>
      </w:sdtEndPr>
      <w:sdtContent>
        <w:p w14:paraId="7ADD9E77">
          <w:pPr>
            <w:spacing w:before="0" w:beforeLines="0" w:after="0" w:afterLines="0" w:line="360" w:lineRule="auto"/>
            <w:ind w:left="0" w:leftChars="0" w:right="0" w:rightChars="0" w:firstLine="0" w:firstLineChars="0"/>
            <w:jc w:val="center"/>
            <w:rPr>
              <w:rFonts w:hint="eastAsia" w:ascii="黑体" w:hAnsi="黑体" w:eastAsia="黑体" w:cs="黑体"/>
              <w:sz w:val="30"/>
              <w:szCs w:val="30"/>
            </w:rPr>
          </w:pPr>
          <w:r>
            <w:rPr>
              <w:rFonts w:hint="eastAsia" w:ascii="方正小标宋简体" w:hAnsi="方正小标宋简体" w:eastAsia="方正小标宋简体" w:cs="方正小标宋简体"/>
              <w:spacing w:val="-2"/>
              <w:sz w:val="52"/>
              <w:szCs w:val="52"/>
            </w:rPr>
            <w:t>目录</w:t>
          </w:r>
        </w:p>
        <w:p w14:paraId="77605DC1">
          <w:pPr>
            <w:pStyle w:val="5"/>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color w:val="000000"/>
              <w:spacing w:val="-2"/>
              <w:kern w:val="0"/>
              <w:sz w:val="30"/>
              <w:szCs w:val="30"/>
              <w:lang w:val="en-US" w:eastAsia="en-US" w:bidi="ar-SA"/>
            </w:rPr>
            <w:instrText xml:space="preserve">TOC \o "1-2" \h \u </w:instrText>
          </w:r>
          <w:r>
            <w:rPr>
              <w:rFonts w:hint="eastAsia" w:ascii="黑体" w:hAnsi="黑体" w:eastAsia="黑体" w:cs="黑体"/>
              <w:snapToGrid w:val="0"/>
              <w:color w:val="000000"/>
              <w:spacing w:val="-2"/>
              <w:kern w:val="0"/>
              <w:sz w:val="30"/>
              <w:szCs w:val="30"/>
              <w:lang w:val="en-US" w:eastAsia="en-US" w:bidi="ar-SA"/>
            </w:rPr>
            <w:fldChar w:fldCharType="separate"/>
          </w: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_Toc21156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spacing w:val="-1"/>
              <w:sz w:val="30"/>
              <w:szCs w:val="30"/>
            </w:rPr>
            <w:t>一、项目简况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_Toc21156 \h </w:instrText>
          </w:r>
          <w:r>
            <w:rPr>
              <w:rFonts w:hint="eastAsia" w:ascii="黑体" w:hAnsi="黑体" w:eastAsia="黑体" w:cs="黑体"/>
              <w:sz w:val="30"/>
              <w:szCs w:val="30"/>
            </w:rPr>
            <w:fldChar w:fldCharType="separate"/>
          </w:r>
          <w:r>
            <w:rPr>
              <w:rFonts w:hint="eastAsia" w:ascii="黑体" w:hAnsi="黑体" w:eastAsia="黑体" w:cs="黑体"/>
              <w:sz w:val="30"/>
              <w:szCs w:val="30"/>
            </w:rPr>
            <w:t>4</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6320D824">
          <w:pPr>
            <w:pStyle w:val="5"/>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_Toc9032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spacing w:val="-1"/>
              <w:sz w:val="30"/>
              <w:szCs w:val="30"/>
            </w:rPr>
            <w:t>二、编制情况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_Toc9032 \h </w:instrText>
          </w:r>
          <w:r>
            <w:rPr>
              <w:rFonts w:hint="eastAsia" w:ascii="黑体" w:hAnsi="黑体" w:eastAsia="黑体" w:cs="黑体"/>
              <w:sz w:val="30"/>
              <w:szCs w:val="30"/>
            </w:rPr>
            <w:fldChar w:fldCharType="separate"/>
          </w:r>
          <w:r>
            <w:rPr>
              <w:rFonts w:hint="eastAsia" w:ascii="黑体" w:hAnsi="黑体" w:eastAsia="黑体" w:cs="黑体"/>
              <w:sz w:val="30"/>
              <w:szCs w:val="30"/>
            </w:rPr>
            <w:t>5</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154B54A8">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_Toc7763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4"/>
              <w:sz w:val="30"/>
              <w:szCs w:val="30"/>
            </w:rPr>
            <w:t>（一）编制标准的必要性和意义及背景</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_Toc7763 \h </w:instrText>
          </w:r>
          <w:r>
            <w:rPr>
              <w:rFonts w:hint="eastAsia" w:ascii="黑体" w:hAnsi="黑体" w:eastAsia="黑体" w:cs="黑体"/>
              <w:sz w:val="30"/>
              <w:szCs w:val="30"/>
            </w:rPr>
            <w:fldChar w:fldCharType="separate"/>
          </w:r>
          <w:r>
            <w:rPr>
              <w:rFonts w:hint="eastAsia" w:ascii="黑体" w:hAnsi="黑体" w:eastAsia="黑体" w:cs="黑体"/>
              <w:sz w:val="30"/>
              <w:szCs w:val="30"/>
            </w:rPr>
            <w:t>5</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298306AC">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_Toc25985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5"/>
              <w:sz w:val="30"/>
              <w:szCs w:val="30"/>
            </w:rPr>
            <w:t>（二）编制过程简介</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_Toc25985 \h </w:instrText>
          </w:r>
          <w:r>
            <w:rPr>
              <w:rFonts w:hint="eastAsia" w:ascii="黑体" w:hAnsi="黑体" w:eastAsia="黑体" w:cs="黑体"/>
              <w:sz w:val="30"/>
              <w:szCs w:val="30"/>
            </w:rPr>
            <w:fldChar w:fldCharType="separate"/>
          </w:r>
          <w:r>
            <w:rPr>
              <w:rFonts w:hint="eastAsia" w:ascii="黑体" w:hAnsi="黑体" w:eastAsia="黑体" w:cs="黑体"/>
              <w:sz w:val="30"/>
              <w:szCs w:val="30"/>
            </w:rPr>
            <w:t>6</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024E46B4">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_Toc10621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2"/>
              <w:sz w:val="30"/>
              <w:szCs w:val="30"/>
            </w:rPr>
            <w:t>（三）制定标准的原则和依据，与现行法律法</w:t>
          </w:r>
          <w:r>
            <w:rPr>
              <w:rFonts w:hint="eastAsia" w:ascii="黑体" w:hAnsi="黑体" w:eastAsia="黑体" w:cs="黑体"/>
              <w:bCs/>
              <w:spacing w:val="-3"/>
              <w:sz w:val="30"/>
              <w:szCs w:val="30"/>
            </w:rPr>
            <w:t>规、标准的关系</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_Toc10621 \h </w:instrText>
          </w:r>
          <w:r>
            <w:rPr>
              <w:rFonts w:hint="eastAsia" w:ascii="黑体" w:hAnsi="黑体" w:eastAsia="黑体" w:cs="黑体"/>
              <w:sz w:val="30"/>
              <w:szCs w:val="30"/>
            </w:rPr>
            <w:fldChar w:fldCharType="separate"/>
          </w:r>
          <w:r>
            <w:rPr>
              <w:rFonts w:hint="eastAsia" w:ascii="黑体" w:hAnsi="黑体" w:eastAsia="黑体" w:cs="黑体"/>
              <w:sz w:val="30"/>
              <w:szCs w:val="30"/>
            </w:rPr>
            <w:t>7</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4574F8C2">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_Toc2468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3"/>
              <w:sz w:val="30"/>
              <w:szCs w:val="30"/>
            </w:rPr>
            <w:t>（四）主要条款的说明，主要技术指标、参数、试验验证的论述</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_Toc2468 \h </w:instrText>
          </w:r>
          <w:r>
            <w:rPr>
              <w:rFonts w:hint="eastAsia" w:ascii="黑体" w:hAnsi="黑体" w:eastAsia="黑体" w:cs="黑体"/>
              <w:sz w:val="30"/>
              <w:szCs w:val="30"/>
            </w:rPr>
            <w:fldChar w:fldCharType="separate"/>
          </w:r>
          <w:r>
            <w:rPr>
              <w:rFonts w:hint="eastAsia" w:ascii="黑体" w:hAnsi="黑体" w:eastAsia="黑体" w:cs="黑体"/>
              <w:sz w:val="30"/>
              <w:szCs w:val="30"/>
            </w:rPr>
            <w:t>7</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6DF066FF">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_Toc15049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3"/>
              <w:sz w:val="30"/>
              <w:szCs w:val="30"/>
            </w:rPr>
            <w:t>（五）标准中如果涉及专利，应有明确的知识产权说明</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_Toc15049 \h </w:instrText>
          </w:r>
          <w:r>
            <w:rPr>
              <w:rFonts w:hint="eastAsia" w:ascii="黑体" w:hAnsi="黑体" w:eastAsia="黑体" w:cs="黑体"/>
              <w:sz w:val="30"/>
              <w:szCs w:val="30"/>
            </w:rPr>
            <w:fldChar w:fldCharType="separate"/>
          </w:r>
          <w:r>
            <w:rPr>
              <w:rFonts w:hint="eastAsia" w:ascii="黑体" w:hAnsi="黑体" w:eastAsia="黑体" w:cs="黑体"/>
              <w:sz w:val="30"/>
              <w:szCs w:val="30"/>
            </w:rPr>
            <w:t>9</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5D5F4248">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_Toc28862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1"/>
              <w:sz w:val="30"/>
              <w:szCs w:val="30"/>
            </w:rPr>
            <w:t>（六）采用国际标准或国外先进标准的，说明采标程度，以及国内外同类</w:t>
          </w:r>
          <w:r>
            <w:rPr>
              <w:rFonts w:hint="eastAsia" w:ascii="黑体" w:hAnsi="黑体" w:eastAsia="黑体" w:cs="黑体"/>
              <w:bCs/>
              <w:spacing w:val="-3"/>
              <w:sz w:val="30"/>
              <w:szCs w:val="30"/>
            </w:rPr>
            <w:t>标准水平的对比情况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_Toc28862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05BA456E">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_Toc30758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4"/>
              <w:sz w:val="30"/>
              <w:szCs w:val="30"/>
            </w:rPr>
            <w:t>（七）重大分歧意见的处理依据和结果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_Toc30758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0A90E12D">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_Toc5574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7"/>
              <w:sz w:val="30"/>
              <w:szCs w:val="30"/>
            </w:rPr>
            <w:t xml:space="preserve">（八） </w:t>
          </w:r>
          <w:r>
            <w:rPr>
              <w:rFonts w:hint="eastAsia" w:ascii="黑体" w:hAnsi="黑体" w:eastAsia="黑体" w:cs="黑体"/>
              <w:bCs/>
              <w:spacing w:val="-3"/>
              <w:sz w:val="30"/>
              <w:szCs w:val="30"/>
            </w:rPr>
            <w:t>贯彻标准的要求和措施建议</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_Toc5574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7908E378">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_Toc21071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7"/>
              <w:sz w:val="30"/>
              <w:szCs w:val="30"/>
            </w:rPr>
            <w:t>（九） 预期效果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_Toc21071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2110EB0F">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_Toc2472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5"/>
              <w:sz w:val="30"/>
              <w:szCs w:val="30"/>
            </w:rPr>
            <w:t>（十）其他应予说明的事项</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_Toc2472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08D1BF7C">
          <w:pPr>
            <w:spacing w:before="55" w:line="360" w:lineRule="auto"/>
            <w:ind w:left="3715" w:right="659" w:hanging="3079"/>
            <w:jc w:val="center"/>
            <w:rPr>
              <w:rFonts w:ascii="黑体" w:hAnsi="黑体" w:eastAsia="黑体" w:cs="黑体"/>
              <w:snapToGrid w:val="0"/>
              <w:color w:val="000000"/>
              <w:spacing w:val="-2"/>
              <w:kern w:val="0"/>
              <w:sz w:val="21"/>
              <w:szCs w:val="28"/>
              <w:lang w:val="en-US" w:eastAsia="en-US" w:bidi="ar-SA"/>
            </w:rPr>
          </w:pPr>
          <w:r>
            <w:rPr>
              <w:rFonts w:hint="eastAsia" w:ascii="黑体" w:hAnsi="黑体" w:eastAsia="黑体" w:cs="黑体"/>
              <w:snapToGrid w:val="0"/>
              <w:color w:val="000000"/>
              <w:spacing w:val="-2"/>
              <w:kern w:val="0"/>
              <w:sz w:val="30"/>
              <w:szCs w:val="30"/>
              <w:lang w:val="en-US" w:eastAsia="en-US" w:bidi="ar-SA"/>
            </w:rPr>
            <w:fldChar w:fldCharType="end"/>
          </w:r>
        </w:p>
      </w:sdtContent>
    </w:sdt>
    <w:p w14:paraId="3AF5C5DA">
      <w:pPr>
        <w:spacing w:before="55" w:line="239" w:lineRule="auto"/>
        <w:ind w:left="3715" w:right="659" w:hanging="3079"/>
        <w:jc w:val="center"/>
        <w:rPr>
          <w:rFonts w:ascii="黑体" w:hAnsi="黑体" w:eastAsia="黑体" w:cs="黑体"/>
          <w:snapToGrid w:val="0"/>
          <w:color w:val="000000"/>
          <w:spacing w:val="-2"/>
          <w:kern w:val="0"/>
          <w:sz w:val="21"/>
          <w:szCs w:val="28"/>
          <w:lang w:val="en-US" w:eastAsia="en-US" w:bidi="ar-SA"/>
        </w:rPr>
        <w:sectPr>
          <w:footerReference r:id="rId6" w:type="default"/>
          <w:pgSz w:w="11905" w:h="16840"/>
          <w:pgMar w:top="1431" w:right="1785" w:bottom="1255" w:left="1785" w:header="0" w:footer="1052" w:gutter="0"/>
          <w:pgNumType w:start="1"/>
          <w:cols w:space="720" w:num="1"/>
        </w:sectPr>
      </w:pPr>
    </w:p>
    <w:p w14:paraId="32306BD3">
      <w:pPr>
        <w:spacing w:before="55" w:line="239" w:lineRule="auto"/>
        <w:ind w:left="3715" w:right="659" w:hanging="3079"/>
        <w:jc w:val="center"/>
        <w:rPr>
          <w:rFonts w:ascii="黑体" w:hAnsi="黑体" w:eastAsia="黑体" w:cs="黑体"/>
          <w:spacing w:val="-2"/>
          <w:sz w:val="28"/>
          <w:szCs w:val="28"/>
        </w:rPr>
      </w:pPr>
      <w:bookmarkStart w:id="12" w:name="_GoBack"/>
      <w:bookmarkEnd w:id="12"/>
      <w:r>
        <w:rPr>
          <w:rFonts w:ascii="黑体" w:hAnsi="黑体" w:eastAsia="黑体" w:cs="黑体"/>
          <w:spacing w:val="-2"/>
          <w:sz w:val="28"/>
          <w:szCs w:val="28"/>
        </w:rPr>
        <w:t>海南省地方标准《</w:t>
      </w:r>
      <w:r>
        <w:rPr>
          <w:rFonts w:hint="eastAsia" w:ascii="黑体" w:hAnsi="黑体" w:eastAsia="黑体" w:cs="黑体"/>
          <w:spacing w:val="-2"/>
          <w:sz w:val="28"/>
          <w:szCs w:val="28"/>
          <w:lang w:val="en-US" w:eastAsia="zh-CN"/>
        </w:rPr>
        <w:t>黎医疗法操作规范 药石疗法</w:t>
      </w:r>
      <w:r>
        <w:rPr>
          <w:rFonts w:ascii="黑体" w:hAnsi="黑体" w:eastAsia="黑体" w:cs="黑体"/>
          <w:spacing w:val="-2"/>
          <w:sz w:val="28"/>
          <w:szCs w:val="28"/>
        </w:rPr>
        <w:t>》</w:t>
      </w:r>
    </w:p>
    <w:p w14:paraId="0EB3A245">
      <w:pPr>
        <w:spacing w:before="55" w:line="239" w:lineRule="auto"/>
        <w:ind w:left="3715" w:right="659" w:hanging="3079"/>
        <w:jc w:val="center"/>
        <w:rPr>
          <w:rFonts w:ascii="黑体" w:hAnsi="黑体" w:eastAsia="黑体" w:cs="黑体"/>
          <w:sz w:val="28"/>
          <w:szCs w:val="28"/>
        </w:rPr>
      </w:pPr>
      <w:r>
        <w:rPr>
          <w:rFonts w:ascii="黑体" w:hAnsi="黑体" w:eastAsia="黑体" w:cs="黑体"/>
          <w:spacing w:val="-2"/>
          <w:sz w:val="28"/>
          <w:szCs w:val="28"/>
        </w:rPr>
        <w:t>（征求意见稿）编制说明</w:t>
      </w:r>
    </w:p>
    <w:p w14:paraId="3942A2DC">
      <w:pPr>
        <w:spacing w:line="330" w:lineRule="auto"/>
        <w:rPr>
          <w:rFonts w:ascii="Arial"/>
          <w:sz w:val="21"/>
        </w:rPr>
      </w:pPr>
    </w:p>
    <w:p w14:paraId="5D137D29">
      <w:pPr>
        <w:spacing w:line="330" w:lineRule="auto"/>
        <w:rPr>
          <w:rFonts w:ascii="Arial"/>
          <w:sz w:val="21"/>
        </w:rPr>
      </w:pPr>
    </w:p>
    <w:p w14:paraId="3B8D9B7B">
      <w:pPr>
        <w:spacing w:before="91" w:line="219" w:lineRule="auto"/>
        <w:ind w:left="130"/>
        <w:outlineLvl w:val="0"/>
        <w:rPr>
          <w:rFonts w:ascii="黑体" w:hAnsi="黑体" w:eastAsia="黑体" w:cs="黑体"/>
          <w:sz w:val="28"/>
          <w:szCs w:val="28"/>
        </w:rPr>
      </w:pPr>
      <w:bookmarkStart w:id="0" w:name="_Toc21156"/>
      <w:r>
        <w:rPr>
          <w:rFonts w:ascii="黑体" w:hAnsi="黑体" w:eastAsia="黑体" w:cs="黑体"/>
          <w:spacing w:val="-1"/>
          <w:sz w:val="28"/>
          <w:szCs w:val="28"/>
        </w:rPr>
        <w:t>一、项目简况</w:t>
      </w:r>
      <w:bookmarkEnd w:id="0"/>
    </w:p>
    <w:p w14:paraId="1C915C8A">
      <w:pPr>
        <w:pStyle w:val="2"/>
        <w:spacing w:before="232" w:line="218" w:lineRule="auto"/>
        <w:ind w:left="611" w:leftChars="0"/>
        <w:outlineLvl w:val="9"/>
      </w:pPr>
      <w:r>
        <w:rPr>
          <w:b/>
          <w:bCs/>
          <w:spacing w:val="-3"/>
        </w:rPr>
        <w:t>（一）标准名称：</w:t>
      </w:r>
      <w:r>
        <w:rPr>
          <w:rFonts w:hint="eastAsia"/>
          <w:b/>
          <w:bCs/>
          <w:spacing w:val="-3"/>
        </w:rPr>
        <w:t>黎医疗法操作规范 药石疗法</w:t>
      </w:r>
    </w:p>
    <w:p w14:paraId="5DDA34D7">
      <w:pPr>
        <w:pStyle w:val="2"/>
        <w:spacing w:before="181" w:line="233" w:lineRule="auto"/>
        <w:ind w:left="611" w:leftChars="0"/>
        <w:outlineLvl w:val="9"/>
        <w:rPr>
          <w:rFonts w:hint="default" w:ascii="Times New Roman" w:hAnsi="Times New Roman" w:eastAsia="宋体" w:cs="Times New Roman"/>
          <w:lang w:val="en-US" w:eastAsia="zh-CN"/>
        </w:rPr>
      </w:pPr>
      <w:r>
        <w:rPr>
          <w:b/>
          <w:bCs/>
          <w:spacing w:val="-3"/>
        </w:rPr>
        <w:t>（二）任务来源（项目计划号</w:t>
      </w:r>
      <w:r>
        <w:rPr>
          <w:b/>
          <w:bCs/>
          <w:spacing w:val="-44"/>
        </w:rPr>
        <w:t>）：</w:t>
      </w:r>
      <w:r>
        <w:rPr>
          <w:rFonts w:hint="eastAsia"/>
          <w:b/>
          <w:bCs/>
          <w:spacing w:val="-44"/>
          <w:lang w:val="en-US" w:eastAsia="zh-CN"/>
        </w:rPr>
        <w:t>2025-Z87</w:t>
      </w:r>
    </w:p>
    <w:p w14:paraId="2FEE5EAE">
      <w:pPr>
        <w:pStyle w:val="2"/>
        <w:spacing w:before="167" w:line="219" w:lineRule="auto"/>
        <w:ind w:left="611" w:leftChars="0"/>
        <w:outlineLvl w:val="9"/>
      </w:pPr>
      <w:r>
        <w:rPr>
          <w:b/>
          <w:bCs/>
          <w:spacing w:val="-2"/>
        </w:rPr>
        <w:t>（三）起草单位：</w:t>
      </w:r>
      <w:r>
        <w:rPr>
          <w:rFonts w:hint="eastAsia"/>
          <w:b/>
          <w:bCs/>
          <w:spacing w:val="-2"/>
        </w:rPr>
        <w:t>广东省中医院海南医院</w:t>
      </w:r>
    </w:p>
    <w:p w14:paraId="2091CFEF">
      <w:pPr>
        <w:pStyle w:val="2"/>
        <w:spacing w:before="185" w:line="233" w:lineRule="auto"/>
        <w:ind w:left="611" w:leftChars="0"/>
        <w:outlineLvl w:val="9"/>
      </w:pPr>
      <w:r>
        <w:rPr>
          <w:b/>
          <w:bCs/>
          <w:spacing w:val="-3"/>
        </w:rPr>
        <w:t>（四）单位地址：</w:t>
      </w:r>
      <w:r>
        <w:rPr>
          <w:rFonts w:hint="eastAsia"/>
          <w:b/>
          <w:bCs/>
          <w:spacing w:val="-3"/>
        </w:rPr>
        <w:t>海南省海口市椰海大道东19号</w:t>
      </w:r>
    </w:p>
    <w:p w14:paraId="0096DF03">
      <w:pPr>
        <w:pStyle w:val="2"/>
        <w:spacing w:before="162" w:line="220" w:lineRule="auto"/>
        <w:ind w:left="611" w:leftChars="0"/>
        <w:outlineLvl w:val="9"/>
      </w:pPr>
      <w:r>
        <w:rPr>
          <w:b/>
          <w:bCs/>
          <w:spacing w:val="-5"/>
        </w:rPr>
        <w:t>（五）参与起草单位：</w:t>
      </w:r>
      <w:r>
        <w:rPr>
          <w:rFonts w:hint="eastAsia"/>
          <w:b/>
          <w:bCs/>
          <w:spacing w:val="-5"/>
        </w:rPr>
        <w:t>海南医科大学、白沙黎族自治县人民医院、澄迈县人民医院</w:t>
      </w:r>
    </w:p>
    <w:p w14:paraId="67E5B58C">
      <w:pPr>
        <w:pStyle w:val="2"/>
        <w:spacing w:before="185" w:line="220" w:lineRule="auto"/>
        <w:ind w:left="611" w:leftChars="0"/>
        <w:outlineLvl w:val="9"/>
      </w:pPr>
      <w:r>
        <w:rPr>
          <w:b/>
          <w:bCs/>
          <w:spacing w:val="-8"/>
        </w:rPr>
        <w:t>（六）标准起草人：</w:t>
      </w:r>
    </w:p>
    <w:p w14:paraId="49BC8202">
      <w:pPr>
        <w:spacing w:before="179" w:line="220" w:lineRule="auto"/>
        <w:ind w:left="3409"/>
        <w:rPr>
          <w:rFonts w:ascii="黑体" w:hAnsi="黑体" w:eastAsia="黑体" w:cs="黑体"/>
          <w:sz w:val="24"/>
          <w:szCs w:val="24"/>
        </w:rPr>
      </w:pPr>
      <w:r>
        <w:rPr>
          <w:rFonts w:ascii="黑体" w:hAnsi="黑体" w:eastAsia="黑体" w:cs="黑体"/>
          <w:spacing w:val="-5"/>
          <w:sz w:val="24"/>
          <w:szCs w:val="24"/>
        </w:rPr>
        <w:t>表</w:t>
      </w:r>
      <w:r>
        <w:rPr>
          <w:rFonts w:ascii="黑体" w:hAnsi="黑体" w:eastAsia="黑体" w:cs="黑体"/>
          <w:spacing w:val="-33"/>
          <w:sz w:val="24"/>
          <w:szCs w:val="24"/>
        </w:rPr>
        <w:t xml:space="preserve"> </w:t>
      </w:r>
      <w:r>
        <w:rPr>
          <w:rFonts w:ascii="黑体" w:hAnsi="黑体" w:eastAsia="黑体" w:cs="黑体"/>
          <w:spacing w:val="-5"/>
          <w:sz w:val="24"/>
          <w:szCs w:val="24"/>
        </w:rPr>
        <w:t>1 标准起草人</w:t>
      </w:r>
    </w:p>
    <w:p w14:paraId="66077120">
      <w:pPr>
        <w:spacing w:line="70" w:lineRule="exact"/>
      </w:pPr>
    </w:p>
    <w:tbl>
      <w:tblPr>
        <w:tblStyle w:val="10"/>
        <w:tblpPr w:leftFromText="180" w:rightFromText="180" w:vertAnchor="text" w:horzAnchor="page" w:tblpX="1782" w:tblpY="64"/>
        <w:tblOverlap w:val="never"/>
        <w:tblW w:w="85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855"/>
        <w:gridCol w:w="1079"/>
        <w:gridCol w:w="774"/>
        <w:gridCol w:w="1244"/>
        <w:gridCol w:w="2523"/>
        <w:gridCol w:w="1374"/>
      </w:tblGrid>
      <w:tr w14:paraId="32A51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0" w:type="dxa"/>
            <w:vAlign w:val="center"/>
          </w:tcPr>
          <w:p w14:paraId="5BAEC9EA">
            <w:pPr>
              <w:pStyle w:val="11"/>
              <w:spacing w:before="49" w:line="221" w:lineRule="auto"/>
              <w:ind w:left="112"/>
              <w:jc w:val="center"/>
            </w:pPr>
            <w:r>
              <w:rPr>
                <w:spacing w:val="-2"/>
              </w:rPr>
              <w:t>序号</w:t>
            </w:r>
          </w:p>
        </w:tc>
        <w:tc>
          <w:tcPr>
            <w:tcW w:w="855" w:type="dxa"/>
            <w:vAlign w:val="center"/>
          </w:tcPr>
          <w:p w14:paraId="5E6C3BF3">
            <w:pPr>
              <w:pStyle w:val="11"/>
              <w:spacing w:before="49" w:line="220" w:lineRule="auto"/>
              <w:ind w:left="108"/>
              <w:jc w:val="center"/>
            </w:pPr>
            <w:r>
              <w:rPr>
                <w:spacing w:val="-3"/>
              </w:rPr>
              <w:t>姓名</w:t>
            </w:r>
          </w:p>
        </w:tc>
        <w:tc>
          <w:tcPr>
            <w:tcW w:w="1079" w:type="dxa"/>
            <w:vAlign w:val="center"/>
          </w:tcPr>
          <w:p w14:paraId="212E15DE">
            <w:pPr>
              <w:pStyle w:val="11"/>
              <w:spacing w:before="49" w:line="220" w:lineRule="auto"/>
              <w:ind w:left="105"/>
              <w:jc w:val="center"/>
            </w:pPr>
            <w:r>
              <w:rPr>
                <w:spacing w:val="-3"/>
              </w:rPr>
              <w:t>单位</w:t>
            </w:r>
          </w:p>
        </w:tc>
        <w:tc>
          <w:tcPr>
            <w:tcW w:w="774" w:type="dxa"/>
            <w:vAlign w:val="center"/>
          </w:tcPr>
          <w:p w14:paraId="565ED7F1">
            <w:pPr>
              <w:pStyle w:val="11"/>
              <w:spacing w:before="49" w:line="220" w:lineRule="auto"/>
              <w:ind w:left="111"/>
              <w:jc w:val="center"/>
            </w:pPr>
            <w:r>
              <w:rPr>
                <w:spacing w:val="-3"/>
              </w:rPr>
              <w:t>职务</w:t>
            </w:r>
          </w:p>
        </w:tc>
        <w:tc>
          <w:tcPr>
            <w:tcW w:w="1244" w:type="dxa"/>
            <w:vAlign w:val="center"/>
          </w:tcPr>
          <w:p w14:paraId="4FD989CE">
            <w:pPr>
              <w:pStyle w:val="11"/>
              <w:spacing w:before="49" w:line="222" w:lineRule="auto"/>
              <w:ind w:left="107"/>
              <w:jc w:val="center"/>
            </w:pPr>
            <w:r>
              <w:rPr>
                <w:spacing w:val="-3"/>
              </w:rPr>
              <w:t>职称</w:t>
            </w:r>
          </w:p>
        </w:tc>
        <w:tc>
          <w:tcPr>
            <w:tcW w:w="2523" w:type="dxa"/>
            <w:vAlign w:val="center"/>
          </w:tcPr>
          <w:p w14:paraId="2393E54D">
            <w:pPr>
              <w:pStyle w:val="11"/>
              <w:spacing w:before="49" w:line="220" w:lineRule="auto"/>
              <w:ind w:left="112"/>
              <w:jc w:val="center"/>
            </w:pPr>
            <w:r>
              <w:rPr>
                <w:spacing w:val="-2"/>
              </w:rPr>
              <w:t>任务分工</w:t>
            </w:r>
          </w:p>
        </w:tc>
        <w:tc>
          <w:tcPr>
            <w:tcW w:w="1374" w:type="dxa"/>
            <w:vAlign w:val="center"/>
          </w:tcPr>
          <w:p w14:paraId="03AE7F9F">
            <w:pPr>
              <w:pStyle w:val="11"/>
              <w:spacing w:before="49" w:line="221" w:lineRule="auto"/>
              <w:ind w:left="112"/>
              <w:jc w:val="center"/>
            </w:pPr>
            <w:r>
              <w:rPr>
                <w:spacing w:val="-2"/>
              </w:rPr>
              <w:t>联系方式</w:t>
            </w:r>
          </w:p>
        </w:tc>
      </w:tr>
      <w:tr w14:paraId="37F68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0" w:type="dxa"/>
            <w:shd w:val="clear" w:color="auto" w:fill="auto"/>
            <w:vAlign w:val="center"/>
          </w:tcPr>
          <w:p w14:paraId="796325C3">
            <w:pPr>
              <w:spacing w:before="60" w:line="235" w:lineRule="auto"/>
              <w:ind w:left="109"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w:t>
            </w:r>
          </w:p>
        </w:tc>
        <w:tc>
          <w:tcPr>
            <w:tcW w:w="855" w:type="dxa"/>
            <w:vAlign w:val="center"/>
          </w:tcPr>
          <w:p w14:paraId="5D9FF773">
            <w:pPr>
              <w:pStyle w:val="11"/>
              <w:spacing w:before="49" w:line="220" w:lineRule="auto"/>
              <w:ind w:left="108"/>
              <w:jc w:val="center"/>
              <w:rPr>
                <w:rFonts w:hint="eastAsia" w:eastAsia="宋体"/>
                <w:spacing w:val="-3"/>
                <w:lang w:val="en-US" w:eastAsia="zh-CN"/>
              </w:rPr>
            </w:pPr>
            <w:r>
              <w:rPr>
                <w:rFonts w:hint="eastAsia"/>
                <w:spacing w:val="-3"/>
                <w:lang w:val="en-US" w:eastAsia="zh-CN"/>
              </w:rPr>
              <w:t>林天东</w:t>
            </w:r>
          </w:p>
        </w:tc>
        <w:tc>
          <w:tcPr>
            <w:tcW w:w="1079" w:type="dxa"/>
            <w:vAlign w:val="center"/>
          </w:tcPr>
          <w:p w14:paraId="46B4621C">
            <w:pPr>
              <w:pStyle w:val="11"/>
              <w:spacing w:before="60" w:line="219" w:lineRule="auto"/>
              <w:ind w:left="103" w:leftChars="0"/>
              <w:jc w:val="center"/>
              <w:rPr>
                <w:spacing w:val="-3"/>
              </w:rPr>
            </w:pPr>
            <w:r>
              <w:rPr>
                <w:rFonts w:hint="eastAsia"/>
                <w:lang w:val="en-US" w:eastAsia="zh-CN"/>
              </w:rPr>
              <w:t>广东省中医院海南医院</w:t>
            </w:r>
          </w:p>
        </w:tc>
        <w:tc>
          <w:tcPr>
            <w:tcW w:w="774" w:type="dxa"/>
            <w:vAlign w:val="center"/>
          </w:tcPr>
          <w:p w14:paraId="67625943">
            <w:pPr>
              <w:pStyle w:val="11"/>
              <w:spacing w:before="68" w:line="219" w:lineRule="auto"/>
              <w:ind w:left="109" w:leftChars="0"/>
              <w:jc w:val="center"/>
              <w:rPr>
                <w:spacing w:val="-3"/>
              </w:rPr>
            </w:pPr>
            <w:r>
              <w:rPr>
                <w:rFonts w:hint="eastAsia"/>
                <w:lang w:val="en-US" w:eastAsia="zh-CN"/>
              </w:rPr>
              <w:t>/</w:t>
            </w:r>
          </w:p>
        </w:tc>
        <w:tc>
          <w:tcPr>
            <w:tcW w:w="1244" w:type="dxa"/>
            <w:vAlign w:val="center"/>
          </w:tcPr>
          <w:p w14:paraId="48A10063">
            <w:pPr>
              <w:jc w:val="center"/>
              <w:rPr>
                <w:spacing w:val="-3"/>
              </w:rPr>
            </w:pPr>
            <w:r>
              <w:rPr>
                <w:rFonts w:hint="eastAsia" w:eastAsia="宋体"/>
                <w:sz w:val="21"/>
                <w:lang w:val="en-US" w:eastAsia="zh-CN"/>
              </w:rPr>
              <w:t>主任医师</w:t>
            </w:r>
          </w:p>
        </w:tc>
        <w:tc>
          <w:tcPr>
            <w:tcW w:w="2523" w:type="dxa"/>
            <w:vAlign w:val="center"/>
          </w:tcPr>
          <w:p w14:paraId="27D86003">
            <w:pPr>
              <w:pStyle w:val="11"/>
              <w:spacing w:before="68" w:line="220" w:lineRule="auto"/>
              <w:ind w:left="114" w:leftChars="0"/>
              <w:jc w:val="center"/>
              <w:rPr>
                <w:spacing w:val="-2"/>
              </w:rPr>
            </w:pPr>
            <w:r>
              <w:rPr>
                <w:rFonts w:hint="eastAsia"/>
                <w:lang w:val="en-US" w:eastAsia="zh-CN"/>
              </w:rPr>
              <w:t>标准编写方案技术指导</w:t>
            </w:r>
          </w:p>
        </w:tc>
        <w:tc>
          <w:tcPr>
            <w:tcW w:w="1374" w:type="dxa"/>
            <w:vAlign w:val="center"/>
          </w:tcPr>
          <w:p w14:paraId="5E0FD4BF">
            <w:pPr>
              <w:pStyle w:val="11"/>
              <w:spacing w:before="49" w:line="221" w:lineRule="auto"/>
              <w:ind w:left="112"/>
              <w:jc w:val="center"/>
              <w:rPr>
                <w:spacing w:val="-2"/>
              </w:rPr>
            </w:pPr>
            <w:r>
              <w:rPr>
                <w:rFonts w:hint="eastAsia"/>
                <w:spacing w:val="-2"/>
              </w:rPr>
              <w:t>18689920201</w:t>
            </w:r>
          </w:p>
        </w:tc>
      </w:tr>
      <w:tr w14:paraId="1733C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680" w:type="dxa"/>
            <w:shd w:val="clear" w:color="auto" w:fill="auto"/>
            <w:vAlign w:val="center"/>
          </w:tcPr>
          <w:p w14:paraId="148E31C2">
            <w:pPr>
              <w:spacing w:before="240" w:line="232" w:lineRule="auto"/>
              <w:ind w:left="114"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2</w:t>
            </w:r>
          </w:p>
        </w:tc>
        <w:tc>
          <w:tcPr>
            <w:tcW w:w="855" w:type="dxa"/>
            <w:vAlign w:val="center"/>
          </w:tcPr>
          <w:p w14:paraId="37E59234">
            <w:pPr>
              <w:pStyle w:val="11"/>
              <w:spacing w:before="68" w:line="220" w:lineRule="auto"/>
              <w:ind w:left="109"/>
              <w:jc w:val="center"/>
            </w:pPr>
            <w:r>
              <w:rPr>
                <w:rFonts w:hint="eastAsia"/>
                <w:highlight w:val="none"/>
              </w:rPr>
              <w:t>蔡敏</w:t>
            </w:r>
          </w:p>
        </w:tc>
        <w:tc>
          <w:tcPr>
            <w:tcW w:w="1079" w:type="dxa"/>
            <w:vAlign w:val="center"/>
          </w:tcPr>
          <w:p w14:paraId="30C790AD">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732C5878">
            <w:pPr>
              <w:pStyle w:val="11"/>
              <w:spacing w:before="68" w:line="219" w:lineRule="auto"/>
              <w:ind w:left="109" w:leftChars="0"/>
              <w:jc w:val="center"/>
              <w:rPr>
                <w:rFonts w:hint="default" w:eastAsia="宋体"/>
                <w:lang w:val="en-US" w:eastAsia="zh-CN"/>
              </w:rPr>
            </w:pPr>
            <w:r>
              <w:rPr>
                <w:rFonts w:hint="eastAsia"/>
                <w:lang w:val="en-US" w:eastAsia="zh-CN"/>
              </w:rPr>
              <w:t>党委书记</w:t>
            </w:r>
          </w:p>
        </w:tc>
        <w:tc>
          <w:tcPr>
            <w:tcW w:w="1244" w:type="dxa"/>
            <w:vAlign w:val="center"/>
          </w:tcPr>
          <w:p w14:paraId="236E1DE7">
            <w:pPr>
              <w:jc w:val="center"/>
              <w:rPr>
                <w:rFonts w:ascii="Arial"/>
                <w:sz w:val="21"/>
              </w:rPr>
            </w:pPr>
            <w:r>
              <w:rPr>
                <w:rFonts w:hint="eastAsia" w:eastAsia="宋体"/>
                <w:sz w:val="21"/>
                <w:lang w:val="en-US" w:eastAsia="zh-CN"/>
              </w:rPr>
              <w:t>主任医师</w:t>
            </w:r>
          </w:p>
        </w:tc>
        <w:tc>
          <w:tcPr>
            <w:tcW w:w="2523" w:type="dxa"/>
            <w:vAlign w:val="center"/>
          </w:tcPr>
          <w:p w14:paraId="040B75D7">
            <w:pPr>
              <w:pStyle w:val="11"/>
              <w:spacing w:before="68" w:line="220" w:lineRule="auto"/>
              <w:ind w:left="114" w:leftChars="0"/>
              <w:jc w:val="center"/>
            </w:pPr>
            <w:r>
              <w:rPr>
                <w:rFonts w:hint="eastAsia"/>
                <w:lang w:val="en-US" w:eastAsia="zh-CN"/>
              </w:rPr>
              <w:t>标准编写方案技术指导</w:t>
            </w:r>
          </w:p>
        </w:tc>
        <w:tc>
          <w:tcPr>
            <w:tcW w:w="1374" w:type="dxa"/>
            <w:vAlign w:val="center"/>
          </w:tcPr>
          <w:p w14:paraId="27498610">
            <w:pPr>
              <w:spacing w:before="60" w:line="232" w:lineRule="auto"/>
              <w:ind w:left="128"/>
              <w:jc w:val="center"/>
              <w:rPr>
                <w:rFonts w:ascii="Times New Roman" w:hAnsi="Times New Roman" w:eastAsia="Times New Roman" w:cs="Times New Roman"/>
                <w:sz w:val="21"/>
                <w:szCs w:val="21"/>
              </w:rPr>
            </w:pPr>
            <w:r>
              <w:rPr>
                <w:rFonts w:hint="eastAsia" w:ascii="Times New Roman" w:hAnsi="Times New Roman" w:eastAsia="Times New Roman" w:cs="Times New Roman"/>
                <w:sz w:val="21"/>
                <w:szCs w:val="21"/>
              </w:rPr>
              <w:t>13807666333</w:t>
            </w:r>
          </w:p>
        </w:tc>
      </w:tr>
      <w:tr w14:paraId="6AA57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80" w:type="dxa"/>
            <w:shd w:val="clear" w:color="auto" w:fill="auto"/>
            <w:vAlign w:val="center"/>
          </w:tcPr>
          <w:p w14:paraId="38A4203C">
            <w:pPr>
              <w:spacing w:before="241" w:line="232" w:lineRule="auto"/>
              <w:ind w:left="115"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3</w:t>
            </w:r>
          </w:p>
        </w:tc>
        <w:tc>
          <w:tcPr>
            <w:tcW w:w="855" w:type="dxa"/>
            <w:vAlign w:val="center"/>
          </w:tcPr>
          <w:p w14:paraId="3655FA4F">
            <w:pPr>
              <w:pStyle w:val="11"/>
              <w:spacing w:before="204" w:line="220" w:lineRule="auto"/>
              <w:ind w:left="113"/>
              <w:jc w:val="center"/>
            </w:pPr>
            <w:r>
              <w:rPr>
                <w:rFonts w:hint="eastAsia"/>
                <w:highlight w:val="none"/>
              </w:rPr>
              <w:t>钟捷东</w:t>
            </w:r>
          </w:p>
        </w:tc>
        <w:tc>
          <w:tcPr>
            <w:tcW w:w="1079" w:type="dxa"/>
            <w:vAlign w:val="center"/>
          </w:tcPr>
          <w:p w14:paraId="45669B47">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798744BF">
            <w:pPr>
              <w:pStyle w:val="11"/>
              <w:spacing w:before="68" w:line="219" w:lineRule="auto"/>
              <w:ind w:left="109" w:leftChars="0"/>
              <w:jc w:val="center"/>
              <w:rPr>
                <w:rFonts w:hint="default" w:ascii="Arial" w:eastAsia="宋体"/>
                <w:sz w:val="21"/>
                <w:lang w:val="en-US" w:eastAsia="zh-CN"/>
              </w:rPr>
            </w:pPr>
            <w:r>
              <w:rPr>
                <w:rFonts w:hint="eastAsia" w:ascii="Arial"/>
                <w:sz w:val="21"/>
                <w:lang w:val="en-US" w:eastAsia="zh-CN"/>
              </w:rPr>
              <w:t>黎族医药示范体验中心主任</w:t>
            </w:r>
          </w:p>
        </w:tc>
        <w:tc>
          <w:tcPr>
            <w:tcW w:w="1244" w:type="dxa"/>
            <w:vAlign w:val="center"/>
          </w:tcPr>
          <w:p w14:paraId="646D1916">
            <w:pPr>
              <w:jc w:val="center"/>
            </w:pPr>
            <w:r>
              <w:rPr>
                <w:rFonts w:hint="eastAsia" w:eastAsia="宋体"/>
                <w:sz w:val="21"/>
                <w:lang w:val="en-US" w:eastAsia="zh-CN"/>
              </w:rPr>
              <w:t>副主任医师</w:t>
            </w:r>
          </w:p>
        </w:tc>
        <w:tc>
          <w:tcPr>
            <w:tcW w:w="2523" w:type="dxa"/>
            <w:vAlign w:val="center"/>
          </w:tcPr>
          <w:p w14:paraId="1FB264D9">
            <w:pPr>
              <w:pStyle w:val="11"/>
              <w:spacing w:before="68" w:line="220" w:lineRule="auto"/>
              <w:ind w:left="114" w:leftChars="0"/>
              <w:jc w:val="center"/>
              <w:rPr>
                <w:rFonts w:hint="default"/>
                <w:lang w:val="en-US"/>
              </w:rPr>
            </w:pPr>
            <w:r>
              <w:rPr>
                <w:rFonts w:hint="eastAsia"/>
                <w:lang w:val="en-US" w:eastAsia="zh-CN"/>
              </w:rPr>
              <w:t>标准编写方案设计</w:t>
            </w:r>
          </w:p>
        </w:tc>
        <w:tc>
          <w:tcPr>
            <w:tcW w:w="1374" w:type="dxa"/>
            <w:vAlign w:val="center"/>
          </w:tcPr>
          <w:p w14:paraId="2277183D">
            <w:pPr>
              <w:spacing w:before="239"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13976570016</w:t>
            </w:r>
          </w:p>
        </w:tc>
      </w:tr>
      <w:tr w14:paraId="31760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0" w:type="dxa"/>
            <w:shd w:val="clear" w:color="auto" w:fill="auto"/>
            <w:vAlign w:val="center"/>
          </w:tcPr>
          <w:p w14:paraId="621BFC1C">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4</w:t>
            </w:r>
          </w:p>
        </w:tc>
        <w:tc>
          <w:tcPr>
            <w:tcW w:w="855" w:type="dxa"/>
            <w:vAlign w:val="center"/>
          </w:tcPr>
          <w:p w14:paraId="3CD930F3">
            <w:pPr>
              <w:pStyle w:val="11"/>
              <w:spacing w:before="206" w:line="222" w:lineRule="auto"/>
              <w:ind w:left="113"/>
              <w:jc w:val="center"/>
            </w:pPr>
            <w:r>
              <w:rPr>
                <w:rFonts w:hint="eastAsia"/>
                <w:highlight w:val="none"/>
                <w:shd w:val="clear"/>
              </w:rPr>
              <w:t>胡学军</w:t>
            </w:r>
          </w:p>
        </w:tc>
        <w:tc>
          <w:tcPr>
            <w:tcW w:w="1079" w:type="dxa"/>
            <w:vAlign w:val="center"/>
          </w:tcPr>
          <w:p w14:paraId="7E2CB327">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610A67EE">
            <w:pPr>
              <w:pStyle w:val="11"/>
              <w:spacing w:before="68" w:line="219" w:lineRule="auto"/>
              <w:ind w:left="109" w:leftChars="0"/>
              <w:jc w:val="center"/>
              <w:rPr>
                <w:rFonts w:hint="eastAsia" w:eastAsia="宋体"/>
                <w:lang w:val="en-US" w:eastAsia="zh-CN"/>
              </w:rPr>
            </w:pPr>
            <w:r>
              <w:rPr>
                <w:rFonts w:hint="eastAsia"/>
                <w:lang w:val="en-US" w:eastAsia="zh-CN"/>
              </w:rPr>
              <w:t>院长</w:t>
            </w:r>
          </w:p>
        </w:tc>
        <w:tc>
          <w:tcPr>
            <w:tcW w:w="1244" w:type="dxa"/>
            <w:vAlign w:val="center"/>
          </w:tcPr>
          <w:p w14:paraId="2575CADC">
            <w:pPr>
              <w:jc w:val="center"/>
            </w:pPr>
            <w:r>
              <w:rPr>
                <w:rFonts w:hint="eastAsia" w:eastAsia="宋体"/>
                <w:sz w:val="21"/>
                <w:lang w:val="en-US" w:eastAsia="zh-CN"/>
              </w:rPr>
              <w:t>副主任医师</w:t>
            </w:r>
          </w:p>
        </w:tc>
        <w:tc>
          <w:tcPr>
            <w:tcW w:w="2523" w:type="dxa"/>
            <w:vAlign w:val="center"/>
          </w:tcPr>
          <w:p w14:paraId="4A20D02C">
            <w:pPr>
              <w:pStyle w:val="11"/>
              <w:spacing w:before="68" w:line="220" w:lineRule="auto"/>
              <w:ind w:left="114" w:leftChars="0"/>
              <w:jc w:val="center"/>
            </w:pPr>
            <w:r>
              <w:rPr>
                <w:rFonts w:hint="eastAsia"/>
                <w:lang w:val="en-US" w:eastAsia="zh-CN"/>
              </w:rPr>
              <w:t>标准编写方案设计</w:t>
            </w:r>
          </w:p>
        </w:tc>
        <w:tc>
          <w:tcPr>
            <w:tcW w:w="1374" w:type="dxa"/>
            <w:vAlign w:val="center"/>
          </w:tcPr>
          <w:p w14:paraId="1ED81C28">
            <w:pPr>
              <w:spacing w:before="241"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13826112252</w:t>
            </w:r>
          </w:p>
        </w:tc>
      </w:tr>
      <w:tr w14:paraId="0C2F1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414FF492">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5</w:t>
            </w:r>
          </w:p>
        </w:tc>
        <w:tc>
          <w:tcPr>
            <w:tcW w:w="855" w:type="dxa"/>
            <w:vAlign w:val="center"/>
          </w:tcPr>
          <w:p w14:paraId="6C0C9D4D">
            <w:pPr>
              <w:pStyle w:val="11"/>
              <w:spacing w:before="208" w:line="219" w:lineRule="auto"/>
              <w:ind w:left="110"/>
              <w:jc w:val="center"/>
            </w:pPr>
            <w:r>
              <w:rPr>
                <w:rFonts w:hint="eastAsia"/>
                <w:highlight w:val="none"/>
              </w:rPr>
              <w:t>董秀娟</w:t>
            </w:r>
          </w:p>
        </w:tc>
        <w:tc>
          <w:tcPr>
            <w:tcW w:w="1079" w:type="dxa"/>
            <w:vAlign w:val="center"/>
          </w:tcPr>
          <w:p w14:paraId="53E0F7F0">
            <w:pPr>
              <w:pStyle w:val="11"/>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7FE847A4">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6628D917">
            <w:pPr>
              <w:pStyle w:val="11"/>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3A259618">
            <w:pPr>
              <w:pStyle w:val="11"/>
              <w:spacing w:before="208" w:line="220" w:lineRule="auto"/>
              <w:ind w:left="115"/>
              <w:jc w:val="center"/>
              <w:rPr>
                <w:rFonts w:hint="default" w:eastAsia="宋体"/>
                <w:lang w:val="en-US" w:eastAsia="zh-CN"/>
              </w:rPr>
            </w:pPr>
            <w:r>
              <w:rPr>
                <w:rFonts w:hint="eastAsia"/>
                <w:lang w:val="en-US" w:eastAsia="zh-CN"/>
              </w:rPr>
              <w:t>标准文本结构设计</w:t>
            </w:r>
          </w:p>
        </w:tc>
        <w:tc>
          <w:tcPr>
            <w:tcW w:w="1374" w:type="dxa"/>
            <w:vAlign w:val="center"/>
          </w:tcPr>
          <w:p w14:paraId="5CB380DF">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18976669955</w:t>
            </w:r>
          </w:p>
        </w:tc>
      </w:tr>
      <w:tr w14:paraId="1EEC6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0999336D">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6</w:t>
            </w:r>
          </w:p>
        </w:tc>
        <w:tc>
          <w:tcPr>
            <w:tcW w:w="855" w:type="dxa"/>
            <w:vAlign w:val="center"/>
          </w:tcPr>
          <w:p w14:paraId="7D0D8D33">
            <w:pPr>
              <w:pStyle w:val="11"/>
              <w:spacing w:before="208" w:line="219" w:lineRule="auto"/>
              <w:ind w:left="110"/>
              <w:jc w:val="center"/>
              <w:rPr>
                <w:rFonts w:hint="eastAsia"/>
                <w:highlight w:val="none"/>
              </w:rPr>
            </w:pPr>
            <w:r>
              <w:rPr>
                <w:rFonts w:hint="eastAsia"/>
                <w:highlight w:val="none"/>
                <w:lang w:val="en-US" w:eastAsia="zh-CN"/>
              </w:rPr>
              <w:t>赵帅</w:t>
            </w:r>
          </w:p>
        </w:tc>
        <w:tc>
          <w:tcPr>
            <w:tcW w:w="1079" w:type="dxa"/>
            <w:vAlign w:val="center"/>
          </w:tcPr>
          <w:p w14:paraId="65430BAE">
            <w:pPr>
              <w:pStyle w:val="11"/>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6F477543">
            <w:pPr>
              <w:jc w:val="center"/>
              <w:rPr>
                <w:rFonts w:hint="eastAsia" w:ascii="Arial" w:eastAsia="宋体"/>
                <w:sz w:val="21"/>
                <w:lang w:val="en-US" w:eastAsia="zh-CN"/>
              </w:rPr>
            </w:pPr>
            <w:r>
              <w:rPr>
                <w:rFonts w:hint="eastAsia" w:eastAsia="宋体"/>
                <w:sz w:val="21"/>
                <w:lang w:val="en-US" w:eastAsia="zh-CN"/>
              </w:rPr>
              <w:t>副院长</w:t>
            </w:r>
          </w:p>
        </w:tc>
        <w:tc>
          <w:tcPr>
            <w:tcW w:w="1244" w:type="dxa"/>
            <w:vAlign w:val="center"/>
          </w:tcPr>
          <w:p w14:paraId="7BBDF58D">
            <w:pPr>
              <w:pStyle w:val="11"/>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083E6E38">
            <w:pPr>
              <w:pStyle w:val="11"/>
              <w:spacing w:before="208" w:line="220" w:lineRule="auto"/>
              <w:ind w:left="115"/>
              <w:jc w:val="center"/>
            </w:pPr>
            <w:r>
              <w:rPr>
                <w:rFonts w:hint="eastAsia"/>
                <w:lang w:val="en-US" w:eastAsia="zh-CN"/>
              </w:rPr>
              <w:t>标准文本结构设计</w:t>
            </w:r>
          </w:p>
        </w:tc>
        <w:tc>
          <w:tcPr>
            <w:tcW w:w="1374" w:type="dxa"/>
            <w:vAlign w:val="center"/>
          </w:tcPr>
          <w:p w14:paraId="5B08C98D">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13829772812</w:t>
            </w:r>
          </w:p>
        </w:tc>
      </w:tr>
      <w:tr w14:paraId="25974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43664A15">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7</w:t>
            </w:r>
          </w:p>
        </w:tc>
        <w:tc>
          <w:tcPr>
            <w:tcW w:w="855" w:type="dxa"/>
            <w:vAlign w:val="center"/>
          </w:tcPr>
          <w:p w14:paraId="41064A7F">
            <w:pPr>
              <w:pStyle w:val="11"/>
              <w:spacing w:before="208" w:line="219" w:lineRule="auto"/>
              <w:ind w:left="110"/>
              <w:jc w:val="center"/>
              <w:rPr>
                <w:rFonts w:hint="eastAsia"/>
                <w:highlight w:val="none"/>
              </w:rPr>
            </w:pPr>
            <w:r>
              <w:rPr>
                <w:rFonts w:hint="eastAsia"/>
                <w:highlight w:val="none"/>
              </w:rPr>
              <w:t>柯维华</w:t>
            </w:r>
          </w:p>
        </w:tc>
        <w:tc>
          <w:tcPr>
            <w:tcW w:w="1079" w:type="dxa"/>
            <w:vAlign w:val="center"/>
          </w:tcPr>
          <w:p w14:paraId="4745E334">
            <w:pPr>
              <w:pStyle w:val="11"/>
              <w:spacing w:before="65" w:line="220" w:lineRule="auto"/>
              <w:ind w:left="105"/>
              <w:jc w:val="center"/>
              <w:rPr>
                <w:rFonts w:hint="default" w:eastAsia="宋体"/>
                <w:lang w:val="en-US" w:eastAsia="zh-CN"/>
              </w:rPr>
            </w:pPr>
            <w:r>
              <w:rPr>
                <w:rFonts w:hint="eastAsia"/>
                <w:lang w:val="en-US" w:eastAsia="zh-CN"/>
              </w:rPr>
              <w:t>广东省中医药海南医院</w:t>
            </w:r>
          </w:p>
        </w:tc>
        <w:tc>
          <w:tcPr>
            <w:tcW w:w="774" w:type="dxa"/>
            <w:vAlign w:val="center"/>
          </w:tcPr>
          <w:p w14:paraId="46E394F4">
            <w:pPr>
              <w:jc w:val="center"/>
              <w:rPr>
                <w:rFonts w:hint="eastAsia" w:ascii="Arial" w:eastAsia="宋体"/>
                <w:sz w:val="21"/>
                <w:lang w:val="en-US" w:eastAsia="zh-CN"/>
              </w:rPr>
            </w:pPr>
            <w:r>
              <w:rPr>
                <w:rFonts w:hint="eastAsia" w:eastAsia="宋体"/>
                <w:sz w:val="21"/>
                <w:lang w:val="en-US" w:eastAsia="zh-CN"/>
              </w:rPr>
              <w:t>/</w:t>
            </w:r>
          </w:p>
        </w:tc>
        <w:tc>
          <w:tcPr>
            <w:tcW w:w="1244" w:type="dxa"/>
            <w:vAlign w:val="center"/>
          </w:tcPr>
          <w:p w14:paraId="25357472">
            <w:pPr>
              <w:pStyle w:val="11"/>
              <w:spacing w:before="208" w:line="220" w:lineRule="auto"/>
              <w:ind w:left="109"/>
              <w:jc w:val="center"/>
              <w:rPr>
                <w:rFonts w:hint="eastAsia" w:eastAsia="宋体"/>
                <w:lang w:val="en-US" w:eastAsia="zh-CN"/>
              </w:rPr>
            </w:pPr>
            <w:r>
              <w:rPr>
                <w:rFonts w:hint="eastAsia"/>
                <w:lang w:val="en-US" w:eastAsia="zh-CN"/>
              </w:rPr>
              <w:t>医师</w:t>
            </w:r>
          </w:p>
        </w:tc>
        <w:tc>
          <w:tcPr>
            <w:tcW w:w="2523" w:type="dxa"/>
            <w:vAlign w:val="center"/>
          </w:tcPr>
          <w:p w14:paraId="163E9CEF">
            <w:pPr>
              <w:pStyle w:val="11"/>
              <w:spacing w:before="208" w:line="220" w:lineRule="auto"/>
              <w:ind w:left="115"/>
              <w:jc w:val="center"/>
              <w:rPr>
                <w:rFonts w:hint="default" w:eastAsia="宋体"/>
                <w:lang w:val="en-US" w:eastAsia="zh-CN"/>
              </w:rPr>
            </w:pPr>
            <w:r>
              <w:rPr>
                <w:rFonts w:hint="eastAsia"/>
                <w:lang w:val="en-US" w:eastAsia="zh-CN"/>
              </w:rPr>
              <w:t>标准文本编写</w:t>
            </w:r>
          </w:p>
        </w:tc>
        <w:tc>
          <w:tcPr>
            <w:tcW w:w="1374" w:type="dxa"/>
            <w:vAlign w:val="center"/>
          </w:tcPr>
          <w:p w14:paraId="1083B4CC">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13379864369</w:t>
            </w:r>
          </w:p>
        </w:tc>
      </w:tr>
      <w:tr w14:paraId="113F8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3B9D2926">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8</w:t>
            </w:r>
          </w:p>
        </w:tc>
        <w:tc>
          <w:tcPr>
            <w:tcW w:w="855" w:type="dxa"/>
            <w:vAlign w:val="center"/>
          </w:tcPr>
          <w:p w14:paraId="0F1367E7">
            <w:pPr>
              <w:pStyle w:val="11"/>
              <w:spacing w:before="208" w:line="219" w:lineRule="auto"/>
              <w:ind w:left="110"/>
              <w:jc w:val="center"/>
              <w:rPr>
                <w:rFonts w:hint="eastAsia"/>
                <w:highlight w:val="none"/>
              </w:rPr>
            </w:pPr>
            <w:r>
              <w:rPr>
                <w:rFonts w:hint="eastAsia"/>
                <w:highlight w:val="none"/>
                <w:lang w:val="en-US" w:eastAsia="zh-CN"/>
              </w:rPr>
              <w:t>张达坤</w:t>
            </w:r>
          </w:p>
        </w:tc>
        <w:tc>
          <w:tcPr>
            <w:tcW w:w="1079" w:type="dxa"/>
            <w:vAlign w:val="center"/>
          </w:tcPr>
          <w:p w14:paraId="70ACD265">
            <w:pPr>
              <w:pStyle w:val="11"/>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3535D86E">
            <w:pPr>
              <w:jc w:val="center"/>
              <w:rPr>
                <w:rFonts w:hint="default" w:ascii="Arial" w:eastAsia="宋体"/>
                <w:sz w:val="21"/>
                <w:lang w:val="en-US" w:eastAsia="zh-CN"/>
              </w:rPr>
            </w:pPr>
            <w:r>
              <w:rPr>
                <w:rFonts w:hint="eastAsia" w:eastAsia="宋体"/>
                <w:sz w:val="21"/>
                <w:lang w:val="en-US" w:eastAsia="zh-CN"/>
              </w:rPr>
              <w:t>肝病科主任</w:t>
            </w:r>
          </w:p>
        </w:tc>
        <w:tc>
          <w:tcPr>
            <w:tcW w:w="1244" w:type="dxa"/>
            <w:vAlign w:val="center"/>
          </w:tcPr>
          <w:p w14:paraId="11519849">
            <w:pPr>
              <w:pStyle w:val="11"/>
              <w:spacing w:before="208" w:line="220" w:lineRule="auto"/>
              <w:ind w:left="109"/>
              <w:jc w:val="center"/>
              <w:rPr>
                <w:rFonts w:hint="default" w:eastAsia="宋体"/>
                <w:lang w:val="en-US" w:eastAsia="zh-CN"/>
              </w:rPr>
            </w:pPr>
            <w:r>
              <w:rPr>
                <w:rFonts w:hint="eastAsia"/>
                <w:lang w:val="en-US" w:eastAsia="zh-CN"/>
              </w:rPr>
              <w:t>主任医师</w:t>
            </w:r>
          </w:p>
        </w:tc>
        <w:tc>
          <w:tcPr>
            <w:tcW w:w="2523" w:type="dxa"/>
            <w:vAlign w:val="center"/>
          </w:tcPr>
          <w:p w14:paraId="6E65DD6A">
            <w:pPr>
              <w:pStyle w:val="11"/>
              <w:spacing w:before="208" w:line="220" w:lineRule="auto"/>
              <w:ind w:left="115"/>
              <w:jc w:val="center"/>
              <w:rPr>
                <w:rFonts w:hint="default" w:eastAsia="宋体"/>
                <w:lang w:val="en-US" w:eastAsia="zh-CN"/>
              </w:rPr>
            </w:pPr>
            <w:r>
              <w:rPr>
                <w:rFonts w:hint="eastAsia"/>
                <w:lang w:val="en-US" w:eastAsia="zh-CN"/>
              </w:rPr>
              <w:t>标准文本编写</w:t>
            </w:r>
          </w:p>
        </w:tc>
        <w:tc>
          <w:tcPr>
            <w:tcW w:w="1374" w:type="dxa"/>
            <w:vAlign w:val="center"/>
          </w:tcPr>
          <w:p w14:paraId="050D4B85">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18976336670</w:t>
            </w:r>
          </w:p>
        </w:tc>
      </w:tr>
      <w:tr w14:paraId="50BF7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0232F07F">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9</w:t>
            </w:r>
          </w:p>
        </w:tc>
        <w:tc>
          <w:tcPr>
            <w:tcW w:w="855" w:type="dxa"/>
            <w:vAlign w:val="center"/>
          </w:tcPr>
          <w:p w14:paraId="7B9BBA22">
            <w:pPr>
              <w:pStyle w:val="11"/>
              <w:spacing w:before="208" w:line="219" w:lineRule="auto"/>
              <w:ind w:left="110"/>
              <w:jc w:val="center"/>
              <w:rPr>
                <w:rFonts w:hint="eastAsia"/>
                <w:highlight w:val="none"/>
                <w:lang w:val="en-US" w:eastAsia="zh-CN"/>
              </w:rPr>
            </w:pPr>
            <w:r>
              <w:rPr>
                <w:rFonts w:hint="eastAsia"/>
                <w:highlight w:val="none"/>
                <w:lang w:val="en-US" w:eastAsia="zh-CN"/>
              </w:rPr>
              <w:t>蔡媛媛</w:t>
            </w:r>
          </w:p>
        </w:tc>
        <w:tc>
          <w:tcPr>
            <w:tcW w:w="1079" w:type="dxa"/>
            <w:vAlign w:val="center"/>
          </w:tcPr>
          <w:p w14:paraId="6D5F15AA">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7DAA2158">
            <w:pPr>
              <w:jc w:val="center"/>
              <w:rPr>
                <w:rFonts w:hint="eastAsia" w:ascii="Arial" w:eastAsia="宋体"/>
                <w:sz w:val="21"/>
                <w:lang w:val="en-US" w:eastAsia="zh-CN"/>
              </w:rPr>
            </w:pPr>
            <w:r>
              <w:rPr>
                <w:rFonts w:hint="eastAsia" w:eastAsia="宋体"/>
                <w:sz w:val="21"/>
                <w:lang w:val="en-US" w:eastAsia="zh-CN"/>
              </w:rPr>
              <w:t>/</w:t>
            </w:r>
          </w:p>
        </w:tc>
        <w:tc>
          <w:tcPr>
            <w:tcW w:w="1244" w:type="dxa"/>
            <w:vAlign w:val="center"/>
          </w:tcPr>
          <w:p w14:paraId="64389D8F">
            <w:pPr>
              <w:pStyle w:val="11"/>
              <w:spacing w:before="208" w:line="220" w:lineRule="auto"/>
              <w:ind w:left="109" w:leftChars="0"/>
              <w:jc w:val="center"/>
            </w:pPr>
            <w:r>
              <w:rPr>
                <w:rFonts w:hint="eastAsia"/>
                <w:lang w:val="en-US" w:eastAsia="zh-CN"/>
              </w:rPr>
              <w:t>主任医师</w:t>
            </w:r>
          </w:p>
        </w:tc>
        <w:tc>
          <w:tcPr>
            <w:tcW w:w="2523" w:type="dxa"/>
            <w:vAlign w:val="center"/>
          </w:tcPr>
          <w:p w14:paraId="49296FD6">
            <w:pPr>
              <w:pStyle w:val="11"/>
              <w:spacing w:before="208" w:line="220" w:lineRule="auto"/>
              <w:ind w:left="115"/>
              <w:jc w:val="center"/>
            </w:pPr>
            <w:r>
              <w:rPr>
                <w:rFonts w:hint="eastAsia"/>
                <w:lang w:val="en-US" w:eastAsia="zh-CN"/>
              </w:rPr>
              <w:t>标准文本编写</w:t>
            </w:r>
          </w:p>
        </w:tc>
        <w:tc>
          <w:tcPr>
            <w:tcW w:w="1374" w:type="dxa"/>
            <w:vAlign w:val="center"/>
          </w:tcPr>
          <w:p w14:paraId="15B1B697">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18089855566</w:t>
            </w:r>
          </w:p>
        </w:tc>
      </w:tr>
      <w:tr w14:paraId="6BD58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1EAC0047">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10</w:t>
            </w:r>
          </w:p>
        </w:tc>
        <w:tc>
          <w:tcPr>
            <w:tcW w:w="855" w:type="dxa"/>
            <w:vAlign w:val="center"/>
          </w:tcPr>
          <w:p w14:paraId="0C012E3C">
            <w:pPr>
              <w:pStyle w:val="11"/>
              <w:spacing w:before="208" w:line="219" w:lineRule="auto"/>
              <w:ind w:left="110"/>
              <w:jc w:val="center"/>
              <w:rPr>
                <w:rFonts w:hint="eastAsia"/>
                <w:highlight w:val="none"/>
                <w:lang w:val="en-US" w:eastAsia="zh-CN"/>
              </w:rPr>
            </w:pPr>
            <w:r>
              <w:rPr>
                <w:rFonts w:hint="eastAsia"/>
                <w:highlight w:val="none"/>
              </w:rPr>
              <w:t>符照鑫</w:t>
            </w:r>
          </w:p>
        </w:tc>
        <w:tc>
          <w:tcPr>
            <w:tcW w:w="1079" w:type="dxa"/>
            <w:vAlign w:val="center"/>
          </w:tcPr>
          <w:p w14:paraId="23904FF7">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4544247A">
            <w:pPr>
              <w:jc w:val="center"/>
              <w:rPr>
                <w:rFonts w:hint="default" w:ascii="Arial" w:eastAsia="宋体"/>
                <w:sz w:val="21"/>
                <w:lang w:val="en-US" w:eastAsia="zh-CN"/>
              </w:rPr>
            </w:pPr>
            <w:r>
              <w:rPr>
                <w:rFonts w:hint="eastAsia" w:eastAsia="宋体"/>
                <w:sz w:val="21"/>
                <w:lang w:val="en-US" w:eastAsia="zh-CN"/>
              </w:rPr>
              <w:t>药剂科主任</w:t>
            </w:r>
          </w:p>
        </w:tc>
        <w:tc>
          <w:tcPr>
            <w:tcW w:w="1244" w:type="dxa"/>
            <w:vAlign w:val="center"/>
          </w:tcPr>
          <w:p w14:paraId="4E5EF021">
            <w:pPr>
              <w:pStyle w:val="11"/>
              <w:spacing w:before="208" w:line="220" w:lineRule="auto"/>
              <w:ind w:left="109" w:leftChars="0"/>
              <w:jc w:val="center"/>
            </w:pPr>
            <w:r>
              <w:rPr>
                <w:rFonts w:hint="eastAsia"/>
                <w:lang w:val="en-US" w:eastAsia="zh-CN"/>
              </w:rPr>
              <w:t>主管药师</w:t>
            </w:r>
          </w:p>
        </w:tc>
        <w:tc>
          <w:tcPr>
            <w:tcW w:w="2523" w:type="dxa"/>
            <w:vAlign w:val="center"/>
          </w:tcPr>
          <w:p w14:paraId="3A881AAB">
            <w:pPr>
              <w:pStyle w:val="11"/>
              <w:spacing w:before="208" w:line="220" w:lineRule="auto"/>
              <w:ind w:left="115" w:leftChars="0"/>
              <w:jc w:val="center"/>
              <w:rPr>
                <w:rFonts w:hint="default"/>
                <w:lang w:val="en-US"/>
              </w:rPr>
            </w:pPr>
            <w:r>
              <w:rPr>
                <w:rFonts w:hint="eastAsia"/>
                <w:lang w:val="en-US" w:eastAsia="zh-CN"/>
              </w:rPr>
              <w:t>文献资料搜集整理</w:t>
            </w:r>
          </w:p>
        </w:tc>
        <w:tc>
          <w:tcPr>
            <w:tcW w:w="1374" w:type="dxa"/>
            <w:vAlign w:val="center"/>
          </w:tcPr>
          <w:p w14:paraId="153DE531">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18689675067</w:t>
            </w:r>
          </w:p>
        </w:tc>
      </w:tr>
      <w:tr w14:paraId="6D4D8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6C31C798">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11</w:t>
            </w:r>
          </w:p>
        </w:tc>
        <w:tc>
          <w:tcPr>
            <w:tcW w:w="855" w:type="dxa"/>
            <w:vAlign w:val="center"/>
          </w:tcPr>
          <w:p w14:paraId="6CBCBA12">
            <w:pPr>
              <w:pStyle w:val="11"/>
              <w:spacing w:before="208" w:line="219" w:lineRule="auto"/>
              <w:ind w:left="110"/>
              <w:jc w:val="center"/>
              <w:rPr>
                <w:rFonts w:hint="eastAsia"/>
                <w:highlight w:val="none"/>
                <w:lang w:val="en-US" w:eastAsia="zh-CN"/>
              </w:rPr>
            </w:pPr>
            <w:r>
              <w:rPr>
                <w:rFonts w:hint="eastAsia"/>
                <w:highlight w:val="none"/>
              </w:rPr>
              <w:t>王珊</w:t>
            </w:r>
          </w:p>
        </w:tc>
        <w:tc>
          <w:tcPr>
            <w:tcW w:w="1079" w:type="dxa"/>
            <w:vAlign w:val="center"/>
          </w:tcPr>
          <w:p w14:paraId="35545667">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61D109CB">
            <w:pPr>
              <w:jc w:val="center"/>
              <w:rPr>
                <w:rFonts w:ascii="Arial"/>
                <w:sz w:val="21"/>
              </w:rPr>
            </w:pPr>
            <w:r>
              <w:rPr>
                <w:rFonts w:hint="eastAsia" w:eastAsia="宋体"/>
                <w:sz w:val="21"/>
                <w:lang w:val="en-US" w:eastAsia="zh-CN"/>
              </w:rPr>
              <w:t>/</w:t>
            </w:r>
          </w:p>
        </w:tc>
        <w:tc>
          <w:tcPr>
            <w:tcW w:w="1244" w:type="dxa"/>
            <w:vAlign w:val="center"/>
          </w:tcPr>
          <w:p w14:paraId="73A9508B">
            <w:pPr>
              <w:pStyle w:val="11"/>
              <w:spacing w:before="208" w:line="220" w:lineRule="auto"/>
              <w:ind w:left="109" w:leftChars="0"/>
              <w:jc w:val="center"/>
              <w:rPr>
                <w:rFonts w:hint="default"/>
                <w:lang w:val="en-US"/>
              </w:rPr>
            </w:pPr>
            <w:r>
              <w:rPr>
                <w:rFonts w:hint="eastAsia"/>
                <w:lang w:val="en-US" w:eastAsia="zh-CN"/>
              </w:rPr>
              <w:t>主治医师</w:t>
            </w:r>
          </w:p>
        </w:tc>
        <w:tc>
          <w:tcPr>
            <w:tcW w:w="2523" w:type="dxa"/>
            <w:vAlign w:val="center"/>
          </w:tcPr>
          <w:p w14:paraId="5E3882FA">
            <w:pPr>
              <w:pStyle w:val="11"/>
              <w:spacing w:before="208" w:line="220" w:lineRule="auto"/>
              <w:ind w:left="115" w:leftChars="0"/>
              <w:jc w:val="center"/>
            </w:pPr>
            <w:r>
              <w:rPr>
                <w:rFonts w:hint="eastAsia"/>
                <w:lang w:val="en-US" w:eastAsia="zh-CN"/>
              </w:rPr>
              <w:t>文献资料搜集整理</w:t>
            </w:r>
          </w:p>
        </w:tc>
        <w:tc>
          <w:tcPr>
            <w:tcW w:w="1374" w:type="dxa"/>
            <w:vAlign w:val="center"/>
          </w:tcPr>
          <w:p w14:paraId="7599969C">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15595789299</w:t>
            </w:r>
          </w:p>
        </w:tc>
      </w:tr>
      <w:tr w14:paraId="446F4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691656D1">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12</w:t>
            </w:r>
          </w:p>
        </w:tc>
        <w:tc>
          <w:tcPr>
            <w:tcW w:w="855" w:type="dxa"/>
            <w:vAlign w:val="center"/>
          </w:tcPr>
          <w:p w14:paraId="0DDC7C0E">
            <w:pPr>
              <w:pStyle w:val="11"/>
              <w:spacing w:before="208" w:line="219" w:lineRule="auto"/>
              <w:ind w:left="110"/>
              <w:jc w:val="center"/>
              <w:rPr>
                <w:rFonts w:hint="eastAsia"/>
                <w:highlight w:val="none"/>
              </w:rPr>
            </w:pPr>
            <w:r>
              <w:rPr>
                <w:rFonts w:hint="eastAsia"/>
                <w:highlight w:val="none"/>
              </w:rPr>
              <w:t>伍小丹</w:t>
            </w:r>
          </w:p>
        </w:tc>
        <w:tc>
          <w:tcPr>
            <w:tcW w:w="1079" w:type="dxa"/>
            <w:vAlign w:val="center"/>
          </w:tcPr>
          <w:p w14:paraId="10A6947C">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6CAA4D0A">
            <w:pPr>
              <w:jc w:val="center"/>
              <w:rPr>
                <w:rFonts w:ascii="Arial"/>
                <w:sz w:val="21"/>
              </w:rPr>
            </w:pPr>
            <w:r>
              <w:rPr>
                <w:rFonts w:hint="eastAsia" w:eastAsia="宋体"/>
                <w:sz w:val="21"/>
                <w:lang w:val="en-US" w:eastAsia="zh-CN"/>
              </w:rPr>
              <w:t>/</w:t>
            </w:r>
          </w:p>
        </w:tc>
        <w:tc>
          <w:tcPr>
            <w:tcW w:w="1244" w:type="dxa"/>
            <w:vAlign w:val="center"/>
          </w:tcPr>
          <w:p w14:paraId="3D544989">
            <w:pPr>
              <w:pStyle w:val="11"/>
              <w:spacing w:before="208" w:line="220" w:lineRule="auto"/>
              <w:ind w:left="109" w:leftChars="0"/>
              <w:jc w:val="center"/>
              <w:rPr>
                <w:rFonts w:hint="eastAsia" w:eastAsia="宋体"/>
                <w:lang w:val="en-US" w:eastAsia="zh-CN"/>
              </w:rPr>
            </w:pPr>
            <w:r>
              <w:rPr>
                <w:rFonts w:hint="eastAsia"/>
                <w:lang w:val="en-US" w:eastAsia="zh-CN"/>
              </w:rPr>
              <w:t>主管护师</w:t>
            </w:r>
          </w:p>
        </w:tc>
        <w:tc>
          <w:tcPr>
            <w:tcW w:w="2523" w:type="dxa"/>
            <w:vAlign w:val="center"/>
          </w:tcPr>
          <w:p w14:paraId="551A7D04">
            <w:pPr>
              <w:pStyle w:val="11"/>
              <w:spacing w:before="208" w:line="220" w:lineRule="auto"/>
              <w:ind w:left="115" w:leftChars="0"/>
              <w:jc w:val="center"/>
            </w:pPr>
            <w:r>
              <w:rPr>
                <w:rFonts w:hint="eastAsia"/>
                <w:lang w:val="en-US" w:eastAsia="zh-CN"/>
              </w:rPr>
              <w:t>文献资料搜集整理</w:t>
            </w:r>
          </w:p>
        </w:tc>
        <w:tc>
          <w:tcPr>
            <w:tcW w:w="1374" w:type="dxa"/>
            <w:vAlign w:val="center"/>
          </w:tcPr>
          <w:p w14:paraId="38ADE8DD">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18976972197</w:t>
            </w:r>
          </w:p>
        </w:tc>
      </w:tr>
      <w:tr w14:paraId="0475C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387F2359">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13</w:t>
            </w:r>
          </w:p>
        </w:tc>
        <w:tc>
          <w:tcPr>
            <w:tcW w:w="855" w:type="dxa"/>
            <w:vAlign w:val="center"/>
          </w:tcPr>
          <w:p w14:paraId="03704974">
            <w:pPr>
              <w:pStyle w:val="11"/>
              <w:spacing w:before="208" w:line="219" w:lineRule="auto"/>
              <w:ind w:left="110"/>
              <w:jc w:val="center"/>
              <w:rPr>
                <w:rFonts w:hint="eastAsia"/>
                <w:highlight w:val="none"/>
              </w:rPr>
            </w:pPr>
            <w:r>
              <w:rPr>
                <w:rFonts w:hint="eastAsia"/>
                <w:highlight w:val="none"/>
                <w:shd w:val="clear"/>
              </w:rPr>
              <w:t>赖名殷</w:t>
            </w:r>
          </w:p>
        </w:tc>
        <w:tc>
          <w:tcPr>
            <w:tcW w:w="1079" w:type="dxa"/>
            <w:vAlign w:val="center"/>
          </w:tcPr>
          <w:p w14:paraId="1638C2C2">
            <w:pPr>
              <w:pStyle w:val="11"/>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0C9BFC0E">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39C064FA">
            <w:pPr>
              <w:pStyle w:val="11"/>
              <w:spacing w:before="208" w:line="220" w:lineRule="auto"/>
              <w:ind w:left="109"/>
              <w:jc w:val="center"/>
              <w:rPr>
                <w:rFonts w:hint="default" w:eastAsia="宋体"/>
                <w:lang w:val="en-US" w:eastAsia="zh-CN"/>
              </w:rPr>
            </w:pPr>
            <w:r>
              <w:rPr>
                <w:rFonts w:hint="eastAsia"/>
                <w:lang w:val="en-US" w:eastAsia="zh-CN"/>
              </w:rPr>
              <w:t>讲师</w:t>
            </w:r>
          </w:p>
        </w:tc>
        <w:tc>
          <w:tcPr>
            <w:tcW w:w="2523" w:type="dxa"/>
            <w:vAlign w:val="center"/>
          </w:tcPr>
          <w:p w14:paraId="5C5A62FE">
            <w:pPr>
              <w:pStyle w:val="11"/>
              <w:spacing w:before="208" w:line="220" w:lineRule="auto"/>
              <w:ind w:left="115"/>
              <w:jc w:val="center"/>
            </w:pPr>
            <w:r>
              <w:rPr>
                <w:rFonts w:hint="eastAsia"/>
                <w:lang w:val="en-US" w:eastAsia="zh-CN"/>
              </w:rPr>
              <w:t>文献资料搜集整理</w:t>
            </w:r>
          </w:p>
        </w:tc>
        <w:tc>
          <w:tcPr>
            <w:tcW w:w="1374" w:type="dxa"/>
            <w:vAlign w:val="center"/>
          </w:tcPr>
          <w:p w14:paraId="6D4BC325">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13807565666</w:t>
            </w:r>
          </w:p>
        </w:tc>
      </w:tr>
      <w:tr w14:paraId="07B20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29A1494E">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14</w:t>
            </w:r>
          </w:p>
        </w:tc>
        <w:tc>
          <w:tcPr>
            <w:tcW w:w="855" w:type="dxa"/>
            <w:vAlign w:val="center"/>
          </w:tcPr>
          <w:p w14:paraId="02A4BF39">
            <w:pPr>
              <w:pStyle w:val="11"/>
              <w:spacing w:before="208" w:line="219" w:lineRule="auto"/>
              <w:ind w:left="110"/>
              <w:jc w:val="center"/>
              <w:rPr>
                <w:rFonts w:hint="eastAsia"/>
                <w:highlight w:val="none"/>
              </w:rPr>
            </w:pPr>
            <w:r>
              <w:rPr>
                <w:rFonts w:hint="eastAsia"/>
                <w:highlight w:val="none"/>
              </w:rPr>
              <w:t>王开琼</w:t>
            </w:r>
          </w:p>
        </w:tc>
        <w:tc>
          <w:tcPr>
            <w:tcW w:w="1079" w:type="dxa"/>
            <w:vAlign w:val="center"/>
          </w:tcPr>
          <w:p w14:paraId="0D2F0F48">
            <w:pPr>
              <w:pStyle w:val="11"/>
              <w:spacing w:before="65" w:line="220" w:lineRule="auto"/>
              <w:ind w:left="105"/>
              <w:jc w:val="center"/>
              <w:rPr>
                <w:rFonts w:hint="default" w:eastAsia="宋体"/>
                <w:lang w:val="en-US" w:eastAsia="zh-CN"/>
              </w:rPr>
            </w:pPr>
            <w:r>
              <w:rPr>
                <w:rFonts w:hint="eastAsia"/>
                <w:lang w:val="en-US" w:eastAsia="zh-CN"/>
              </w:rPr>
              <w:t>白沙县人民医院</w:t>
            </w:r>
          </w:p>
        </w:tc>
        <w:tc>
          <w:tcPr>
            <w:tcW w:w="774" w:type="dxa"/>
            <w:vAlign w:val="center"/>
          </w:tcPr>
          <w:p w14:paraId="713B51B1">
            <w:pPr>
              <w:jc w:val="center"/>
              <w:rPr>
                <w:rFonts w:hint="eastAsia" w:ascii="Arial" w:eastAsia="宋体"/>
                <w:sz w:val="21"/>
                <w:lang w:val="en-US" w:eastAsia="zh-CN"/>
              </w:rPr>
            </w:pPr>
            <w:r>
              <w:rPr>
                <w:rFonts w:hint="eastAsia" w:eastAsia="宋体"/>
                <w:sz w:val="21"/>
                <w:lang w:val="en-US" w:eastAsia="zh-CN"/>
              </w:rPr>
              <w:t>院长</w:t>
            </w:r>
          </w:p>
        </w:tc>
        <w:tc>
          <w:tcPr>
            <w:tcW w:w="1244" w:type="dxa"/>
            <w:vAlign w:val="center"/>
          </w:tcPr>
          <w:p w14:paraId="1DF7D402">
            <w:pPr>
              <w:pStyle w:val="11"/>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64CB9CA9">
            <w:pPr>
              <w:pStyle w:val="11"/>
              <w:spacing w:before="208" w:line="220" w:lineRule="auto"/>
              <w:ind w:left="115"/>
              <w:jc w:val="center"/>
            </w:pPr>
            <w:r>
              <w:rPr>
                <w:rFonts w:hint="eastAsia"/>
                <w:lang w:val="en-US" w:eastAsia="zh-CN"/>
              </w:rPr>
              <w:t>标准文本编写</w:t>
            </w:r>
          </w:p>
        </w:tc>
        <w:tc>
          <w:tcPr>
            <w:tcW w:w="1374" w:type="dxa"/>
            <w:vAlign w:val="center"/>
          </w:tcPr>
          <w:p w14:paraId="40C18080">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13389897337</w:t>
            </w:r>
          </w:p>
        </w:tc>
      </w:tr>
      <w:tr w14:paraId="009F3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3A6AFE73">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15</w:t>
            </w:r>
          </w:p>
        </w:tc>
        <w:tc>
          <w:tcPr>
            <w:tcW w:w="855" w:type="dxa"/>
            <w:vAlign w:val="center"/>
          </w:tcPr>
          <w:p w14:paraId="1936ABB7">
            <w:pPr>
              <w:pStyle w:val="11"/>
              <w:spacing w:before="208" w:line="219" w:lineRule="auto"/>
              <w:ind w:left="110"/>
              <w:jc w:val="center"/>
              <w:rPr>
                <w:rFonts w:hint="eastAsia"/>
                <w:highlight w:val="none"/>
              </w:rPr>
            </w:pPr>
            <w:r>
              <w:rPr>
                <w:rFonts w:hint="eastAsia"/>
                <w:highlight w:val="none"/>
              </w:rPr>
              <w:t>符建人</w:t>
            </w:r>
          </w:p>
        </w:tc>
        <w:tc>
          <w:tcPr>
            <w:tcW w:w="1079" w:type="dxa"/>
            <w:vAlign w:val="center"/>
          </w:tcPr>
          <w:p w14:paraId="35417C85">
            <w:pPr>
              <w:pStyle w:val="11"/>
              <w:spacing w:before="65" w:line="220" w:lineRule="auto"/>
              <w:ind w:left="105"/>
              <w:jc w:val="center"/>
            </w:pPr>
            <w:r>
              <w:rPr>
                <w:rFonts w:hint="eastAsia"/>
                <w:lang w:val="en-US" w:eastAsia="zh-CN"/>
              </w:rPr>
              <w:t>白沙县人民医院</w:t>
            </w:r>
          </w:p>
        </w:tc>
        <w:tc>
          <w:tcPr>
            <w:tcW w:w="774" w:type="dxa"/>
            <w:vAlign w:val="center"/>
          </w:tcPr>
          <w:p w14:paraId="16D01836">
            <w:pPr>
              <w:jc w:val="center"/>
              <w:rPr>
                <w:rFonts w:hint="default" w:ascii="Arial" w:eastAsia="宋体"/>
                <w:sz w:val="21"/>
                <w:lang w:val="en-US" w:eastAsia="zh-CN"/>
              </w:rPr>
            </w:pPr>
            <w:r>
              <w:rPr>
                <w:rFonts w:hint="eastAsia" w:eastAsia="宋体"/>
                <w:sz w:val="21"/>
                <w:lang w:val="en-US" w:eastAsia="zh-CN"/>
              </w:rPr>
              <w:t>黎族医药示范体验中心负责人</w:t>
            </w:r>
          </w:p>
        </w:tc>
        <w:tc>
          <w:tcPr>
            <w:tcW w:w="1244" w:type="dxa"/>
            <w:vAlign w:val="center"/>
          </w:tcPr>
          <w:p w14:paraId="4A9FACB1">
            <w:pPr>
              <w:pStyle w:val="11"/>
              <w:spacing w:before="208" w:line="220" w:lineRule="auto"/>
              <w:ind w:left="109"/>
              <w:jc w:val="center"/>
              <w:rPr>
                <w:rFonts w:hint="eastAsia" w:eastAsia="宋体"/>
                <w:lang w:val="en-US" w:eastAsia="zh-CN"/>
              </w:rPr>
            </w:pPr>
            <w:r>
              <w:rPr>
                <w:rFonts w:hint="eastAsia"/>
                <w:lang w:val="en-US" w:eastAsia="zh-CN"/>
              </w:rPr>
              <w:t>医师</w:t>
            </w:r>
          </w:p>
        </w:tc>
        <w:tc>
          <w:tcPr>
            <w:tcW w:w="2523" w:type="dxa"/>
            <w:vAlign w:val="center"/>
          </w:tcPr>
          <w:p w14:paraId="3F3A90E7">
            <w:pPr>
              <w:pStyle w:val="11"/>
              <w:spacing w:before="208" w:line="220" w:lineRule="auto"/>
              <w:ind w:left="115"/>
              <w:jc w:val="center"/>
            </w:pPr>
            <w:r>
              <w:rPr>
                <w:rFonts w:hint="eastAsia"/>
                <w:lang w:val="en-US" w:eastAsia="zh-CN"/>
              </w:rPr>
              <w:t>标准文本编写</w:t>
            </w:r>
          </w:p>
        </w:tc>
        <w:tc>
          <w:tcPr>
            <w:tcW w:w="1374" w:type="dxa"/>
            <w:vAlign w:val="center"/>
          </w:tcPr>
          <w:p w14:paraId="5B591275">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13976518963</w:t>
            </w:r>
          </w:p>
        </w:tc>
      </w:tr>
      <w:tr w14:paraId="394ED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22D237D3">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w:t>
            </w:r>
          </w:p>
        </w:tc>
        <w:tc>
          <w:tcPr>
            <w:tcW w:w="855" w:type="dxa"/>
            <w:vAlign w:val="center"/>
          </w:tcPr>
          <w:p w14:paraId="40EA2759">
            <w:pPr>
              <w:pStyle w:val="11"/>
              <w:spacing w:before="208" w:line="219" w:lineRule="auto"/>
              <w:ind w:left="110"/>
              <w:jc w:val="center"/>
              <w:rPr>
                <w:rFonts w:hint="eastAsia"/>
                <w:highlight w:val="none"/>
              </w:rPr>
            </w:pPr>
            <w:r>
              <w:rPr>
                <w:rFonts w:hint="eastAsia"/>
                <w:highlight w:val="none"/>
                <w:lang w:val="en-US" w:eastAsia="zh-CN"/>
              </w:rPr>
              <w:t>陈星余</w:t>
            </w:r>
          </w:p>
        </w:tc>
        <w:tc>
          <w:tcPr>
            <w:tcW w:w="1079" w:type="dxa"/>
            <w:vAlign w:val="center"/>
          </w:tcPr>
          <w:p w14:paraId="4C1577C7">
            <w:pPr>
              <w:pStyle w:val="11"/>
              <w:spacing w:before="65" w:line="220" w:lineRule="auto"/>
              <w:ind w:left="105"/>
              <w:jc w:val="center"/>
              <w:rPr>
                <w:rFonts w:hint="default" w:eastAsia="宋体"/>
                <w:lang w:val="en-US" w:eastAsia="zh-CN"/>
              </w:rPr>
            </w:pPr>
            <w:r>
              <w:rPr>
                <w:rFonts w:hint="eastAsia"/>
                <w:lang w:val="en-US" w:eastAsia="zh-CN"/>
              </w:rPr>
              <w:t>澄迈县人民医院</w:t>
            </w:r>
          </w:p>
        </w:tc>
        <w:tc>
          <w:tcPr>
            <w:tcW w:w="774" w:type="dxa"/>
            <w:vAlign w:val="center"/>
          </w:tcPr>
          <w:p w14:paraId="4D6D9DCB">
            <w:pPr>
              <w:jc w:val="center"/>
              <w:rPr>
                <w:rFonts w:hint="default" w:ascii="Arial" w:eastAsia="宋体"/>
                <w:sz w:val="21"/>
                <w:lang w:val="en-US" w:eastAsia="zh-CN"/>
              </w:rPr>
            </w:pPr>
            <w:r>
              <w:rPr>
                <w:rFonts w:hint="eastAsia" w:eastAsia="宋体"/>
                <w:sz w:val="21"/>
                <w:lang w:val="en-US" w:eastAsia="zh-CN"/>
              </w:rPr>
              <w:t>中医科主任</w:t>
            </w:r>
          </w:p>
        </w:tc>
        <w:tc>
          <w:tcPr>
            <w:tcW w:w="1244" w:type="dxa"/>
            <w:vAlign w:val="center"/>
          </w:tcPr>
          <w:p w14:paraId="71CCB54C">
            <w:pPr>
              <w:pStyle w:val="11"/>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55316213">
            <w:pPr>
              <w:pStyle w:val="11"/>
              <w:spacing w:before="208" w:line="220" w:lineRule="auto"/>
              <w:ind w:left="115"/>
              <w:jc w:val="center"/>
            </w:pPr>
            <w:r>
              <w:rPr>
                <w:rFonts w:hint="eastAsia"/>
                <w:lang w:val="en-US" w:eastAsia="zh-CN"/>
              </w:rPr>
              <w:t>文献资料搜集整理</w:t>
            </w:r>
          </w:p>
        </w:tc>
        <w:tc>
          <w:tcPr>
            <w:tcW w:w="1374" w:type="dxa"/>
            <w:vAlign w:val="center"/>
          </w:tcPr>
          <w:p w14:paraId="1929C6F2">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18689602512</w:t>
            </w:r>
          </w:p>
        </w:tc>
      </w:tr>
    </w:tbl>
    <w:p w14:paraId="5C63F375">
      <w:pPr>
        <w:spacing w:before="175" w:line="218" w:lineRule="auto"/>
        <w:ind w:left="130"/>
        <w:outlineLvl w:val="0"/>
        <w:rPr>
          <w:rFonts w:ascii="黑体" w:hAnsi="黑体" w:eastAsia="黑体" w:cs="黑体"/>
          <w:sz w:val="28"/>
          <w:szCs w:val="28"/>
        </w:rPr>
      </w:pPr>
      <w:bookmarkStart w:id="1" w:name="_Toc9032"/>
      <w:r>
        <w:rPr>
          <w:rFonts w:ascii="黑体" w:hAnsi="黑体" w:eastAsia="黑体" w:cs="黑体"/>
          <w:spacing w:val="-1"/>
          <w:sz w:val="28"/>
          <w:szCs w:val="28"/>
        </w:rPr>
        <w:t>二、编制情况</w:t>
      </w:r>
      <w:bookmarkEnd w:id="1"/>
    </w:p>
    <w:p w14:paraId="2BBCE764">
      <w:pPr>
        <w:pStyle w:val="2"/>
        <w:spacing w:before="233" w:line="220" w:lineRule="auto"/>
        <w:ind w:firstLine="466" w:firstLineChars="200"/>
        <w:outlineLvl w:val="1"/>
        <w:rPr>
          <w:b/>
          <w:bCs/>
          <w:spacing w:val="-4"/>
        </w:rPr>
      </w:pPr>
      <w:bookmarkStart w:id="2" w:name="_Toc7763"/>
      <w:r>
        <w:rPr>
          <w:b/>
          <w:bCs/>
          <w:spacing w:val="-4"/>
        </w:rPr>
        <w:t>（一）编制标准的必要性和意义及背景</w:t>
      </w:r>
      <w:bookmarkEnd w:id="2"/>
    </w:p>
    <w:p w14:paraId="2D0388B9">
      <w:pPr>
        <w:pStyle w:val="2"/>
        <w:spacing w:before="7" w:line="359" w:lineRule="auto"/>
        <w:ind w:left="23" w:right="31" w:firstLine="480"/>
        <w:jc w:val="both"/>
        <w:rPr>
          <w:rFonts w:hint="eastAsia"/>
        </w:rPr>
      </w:pPr>
      <w:r>
        <w:rPr>
          <w:rFonts w:hint="eastAsia"/>
        </w:rPr>
        <w:t>本标准的制定首先是贯彻落实国家与地方相关法律法规与政策的具体行动</w:t>
      </w:r>
      <w:r>
        <w:rPr>
          <w:rFonts w:hint="eastAsia"/>
          <w:lang w:eastAsia="zh-CN"/>
        </w:rPr>
        <w:t>。</w:t>
      </w:r>
      <w:r>
        <w:rPr>
          <w:rFonts w:hint="eastAsia"/>
        </w:rPr>
        <w:t>我国《中华人民共和国中医药法》明确将少数民族医药纳入法律保护范围，支持其传承、创新，并要求地方政府制定具体发展办法。《中医药发展战略规划纲要（2016-2030年）》、《关于加强新时代少数民族医药工作的若干意见》等国家政策均强调了对少数民族医药的挖掘与保护。海南省积极响应，在《关于促进中医药在海南自由贸易港传承创新发展的实施意见》、《海南省中医药健康服务发展“十四五”规划》中明确提出要大力发展黎药，实施黎族医药传承发展工程。《保亭黎族苗族自治县黎医药苗医药保护与发展条例》等地方法规也支持制定相关标准。因此，制定本标准是将宏观法律政策转化为可操作技术规范的关键步骤，是依法依规推进黎医药事业发展的必然要求。</w:t>
      </w:r>
    </w:p>
    <w:p w14:paraId="2CF03A78">
      <w:pPr>
        <w:pStyle w:val="2"/>
        <w:spacing w:before="7" w:line="359" w:lineRule="auto"/>
        <w:ind w:left="23" w:right="31" w:firstLine="480"/>
        <w:jc w:val="both"/>
        <w:rPr>
          <w:rFonts w:hint="eastAsia"/>
        </w:rPr>
      </w:pPr>
      <w:r>
        <w:rPr>
          <w:rFonts w:hint="eastAsia"/>
        </w:rPr>
        <w:t>其次，本标准旨在填补黎医特色疗法标准化空白，引领行业规范有序发展。药石疗法是黎族传统外治法的重要组成部分，在五指山市、白沙县等黎族聚居地应用广泛，对肩周炎、腰腿痛、风湿关节痛等疾病具有明显疗效。然而，当前该疗法缺乏统一的操作规范和质量控制标准。立项申报表指出，省内虽有多家医疗机构开展此项服务，但存在操作差异、效果不一的问题，且缺乏系统的临床观察和基础研究。国内层面，“</w:t>
      </w:r>
      <w:r>
        <w:rPr>
          <w:rFonts w:hint="eastAsia"/>
          <w:lang w:val="en-US" w:eastAsia="zh-CN"/>
        </w:rPr>
        <w:t>黎医</w:t>
      </w:r>
      <w:r>
        <w:rPr>
          <w:rFonts w:hint="eastAsia"/>
        </w:rPr>
        <w:t>药石疗法”的标准仍属空白。国际层面也未形成统一标准。这种标准的缺失严重制约了该疗法的科学评价、学术交流、安全应用与规模化推广。制定本标准，旨在建立一套科学、规范、安全的操作流程，改变“凭经验、各师各法”的局面，推动其从民间经验向现代标准化应用迈进。</w:t>
      </w:r>
    </w:p>
    <w:p w14:paraId="56D249A2">
      <w:pPr>
        <w:pStyle w:val="2"/>
        <w:spacing w:before="7" w:line="359" w:lineRule="auto"/>
        <w:ind w:left="23" w:right="31" w:firstLine="480"/>
        <w:jc w:val="both"/>
        <w:rPr>
          <w:rFonts w:hint="eastAsia"/>
        </w:rPr>
      </w:pPr>
      <w:r>
        <w:rPr>
          <w:rFonts w:hint="eastAsia"/>
        </w:rPr>
        <w:t>再次，保障医疗安全与患者权益是本标准的核心关切。药石疗法涉及器械（药石）使用和体表拍打操作，若操作不当可能存在风险。本标准严格遵循现代医疗安全理念，在“基本要求”中明确人员资质、手卫生、环境消毒等规定，并引用GB 15982、WS/T 311、WS/T 313等国家卫生标准；在“操作流程”和“注意事项”中详细规定了拍打力度、节奏、顺序、禁忌症及不同人群的处置区别。这些内容为从业人员提供了清晰的安全操作指南，能最大程度降低操作风险，切实保障患者安全，提升该疗法的公信力和可接受度。</w:t>
      </w:r>
    </w:p>
    <w:p w14:paraId="11BE5793">
      <w:pPr>
        <w:pStyle w:val="2"/>
        <w:spacing w:before="7" w:line="359" w:lineRule="auto"/>
        <w:ind w:left="23" w:right="31" w:firstLine="480"/>
        <w:jc w:val="both"/>
      </w:pPr>
      <w:r>
        <w:rPr>
          <w:rFonts w:hint="eastAsia"/>
        </w:rPr>
        <w:t>最后，本标准对促进黎医药传承创新与相关产业发展具有积极意义。药石疗法是黎族宝贵的非物质文化遗产。通过标准化手段对其核心技术、工具形制、操作要领进行系统梳理和固化，是对其有效的“活态”保护与传承。同时，标准化是产业化的基础。本标准的实施将为药石疗法的技术培训、资格认定、服务提供、衍生产品（如黎药石疗工具包）开发等提供统一依据，有助于培育规范市场，并可与健康旅游、康养SPA等产业融合，推动黎医药特色疗法融入海南自由贸易港大健康产业体系，创造经济、社会与文化综合价值。</w:t>
      </w:r>
    </w:p>
    <w:p w14:paraId="38E2DE5C">
      <w:pPr>
        <w:pStyle w:val="2"/>
        <w:spacing w:before="1" w:line="218" w:lineRule="auto"/>
        <w:ind w:left="511"/>
        <w:outlineLvl w:val="1"/>
      </w:pPr>
      <w:bookmarkStart w:id="3" w:name="_Toc25985"/>
      <w:r>
        <w:rPr>
          <w:b/>
          <w:bCs/>
          <w:spacing w:val="-5"/>
        </w:rPr>
        <w:t>（二）编制过程简介</w:t>
      </w:r>
      <w:bookmarkEnd w:id="3"/>
    </w:p>
    <w:p w14:paraId="7B8C7D2B">
      <w:pPr>
        <w:pStyle w:val="2"/>
        <w:spacing w:before="162" w:line="290" w:lineRule="auto"/>
        <w:ind w:left="26" w:right="76" w:firstLine="474"/>
      </w:pPr>
      <w:r>
        <w:rPr>
          <w:b/>
          <w:bCs/>
          <w:spacing w:val="-4"/>
        </w:rPr>
        <w:t>1.</w:t>
      </w:r>
      <w:r>
        <w:rPr>
          <w:rFonts w:hint="eastAsia"/>
          <w:b w:val="0"/>
          <w:bCs w:val="0"/>
          <w:spacing w:val="-4"/>
          <w:lang w:val="en-US" w:eastAsia="zh-CN"/>
        </w:rPr>
        <w:t>2025年6月13日，收到《海南省市场监督管理局关于2025年度第一批拟立项地方标准项目的公示》。</w:t>
      </w:r>
      <w:r>
        <w:rPr>
          <w:rFonts w:hint="eastAsia" w:ascii="宋体" w:hAnsi="宋体" w:eastAsia="宋体" w:cs="宋体"/>
          <w:snapToGrid w:val="0"/>
          <w:color w:val="000000"/>
          <w:kern w:val="0"/>
          <w:sz w:val="24"/>
          <w:szCs w:val="24"/>
          <w:lang w:val="en-US" w:eastAsia="zh-CN" w:bidi="ar"/>
        </w:rPr>
        <w:t>成立标准编制小组，成员有</w:t>
      </w:r>
      <w:r>
        <w:rPr>
          <w:rFonts w:hint="eastAsia"/>
          <w:highlight w:val="none"/>
        </w:rPr>
        <w:t>林天东、蔡敏、钟捷东、胡学军、董秀娟、</w:t>
      </w:r>
      <w:r>
        <w:rPr>
          <w:rFonts w:hint="eastAsia"/>
          <w:highlight w:val="none"/>
          <w:lang w:val="en-US" w:eastAsia="zh-CN"/>
        </w:rPr>
        <w:t>赵帅、</w:t>
      </w:r>
      <w:r>
        <w:rPr>
          <w:rFonts w:hint="eastAsia"/>
          <w:highlight w:val="none"/>
        </w:rPr>
        <w:t>柯维华、</w:t>
      </w:r>
      <w:r>
        <w:rPr>
          <w:rFonts w:hint="eastAsia"/>
          <w:highlight w:val="none"/>
          <w:lang w:val="en-US" w:eastAsia="zh-CN"/>
        </w:rPr>
        <w:t>张达坤、蔡媛媛、</w:t>
      </w:r>
      <w:r>
        <w:rPr>
          <w:rFonts w:hint="eastAsia"/>
          <w:highlight w:val="none"/>
        </w:rPr>
        <w:t>符照鑫、王珊、伍小丹、赖名殷、王开琼、符建人</w:t>
      </w:r>
      <w:r>
        <w:rPr>
          <w:rFonts w:hint="eastAsia"/>
          <w:highlight w:val="none"/>
          <w:lang w:eastAsia="zh-CN"/>
        </w:rPr>
        <w:t>、</w:t>
      </w:r>
      <w:r>
        <w:rPr>
          <w:rFonts w:hint="eastAsia"/>
          <w:highlight w:val="none"/>
          <w:lang w:val="en-US" w:eastAsia="zh-CN"/>
        </w:rPr>
        <w:t>陈星余</w:t>
      </w:r>
      <w:r>
        <w:rPr>
          <w:rFonts w:hint="eastAsia" w:ascii="宋体" w:hAnsi="宋体" w:eastAsia="宋体" w:cs="宋体"/>
          <w:snapToGrid w:val="0"/>
          <w:color w:val="000000"/>
          <w:kern w:val="0"/>
          <w:sz w:val="24"/>
          <w:szCs w:val="24"/>
          <w:lang w:val="en-US" w:eastAsia="zh-CN" w:bidi="ar"/>
        </w:rPr>
        <w:t>。</w:t>
      </w:r>
    </w:p>
    <w:p w14:paraId="77BA3E74">
      <w:pPr>
        <w:pStyle w:val="2"/>
        <w:numPr>
          <w:ilvl w:val="0"/>
          <w:numId w:val="3"/>
        </w:numPr>
        <w:spacing w:before="12" w:line="362" w:lineRule="auto"/>
        <w:ind w:left="26" w:right="82" w:firstLine="480"/>
        <w:rPr>
          <w:rFonts w:hint="eastAsia"/>
          <w:spacing w:val="-3"/>
        </w:rPr>
      </w:pPr>
      <w:r>
        <w:rPr>
          <w:rFonts w:hint="eastAsia"/>
          <w:b/>
          <w:bCs/>
          <w:spacing w:val="-2"/>
          <w:lang w:val="en-US" w:eastAsia="zh-CN"/>
        </w:rPr>
        <w:t>标准起草过程</w:t>
      </w:r>
      <w:r>
        <w:rPr>
          <w:rFonts w:hint="eastAsia"/>
          <w:b/>
          <w:bCs/>
          <w:spacing w:val="-2"/>
          <w:lang w:eastAsia="zh-CN"/>
        </w:rPr>
        <w:t>：</w:t>
      </w:r>
      <w:r>
        <w:rPr>
          <w:rFonts w:hint="eastAsia"/>
        </w:rPr>
        <w:t>编制组调研了黎医</w:t>
      </w:r>
      <w:r>
        <w:rPr>
          <w:rFonts w:hint="eastAsia"/>
          <w:lang w:val="en-US" w:eastAsia="zh-CN"/>
        </w:rPr>
        <w:t>药石</w:t>
      </w:r>
      <w:r>
        <w:rPr>
          <w:rFonts w:hint="eastAsia"/>
        </w:rPr>
        <w:t>疗法在国内外的标准化现状，确认了</w:t>
      </w:r>
      <w:r>
        <w:rPr>
          <w:rFonts w:hint="eastAsia"/>
          <w:lang w:val="en-US" w:eastAsia="zh-CN"/>
        </w:rPr>
        <w:t>此</w:t>
      </w:r>
      <w:r>
        <w:rPr>
          <w:rFonts w:hint="eastAsia"/>
        </w:rPr>
        <w:t>标准</w:t>
      </w:r>
      <w:r>
        <w:rPr>
          <w:rFonts w:hint="eastAsia"/>
          <w:lang w:val="en-US" w:eastAsia="zh-CN"/>
        </w:rPr>
        <w:t>在行业领域的缺失</w:t>
      </w:r>
      <w:r>
        <w:rPr>
          <w:rFonts w:hint="eastAsia"/>
        </w:rPr>
        <w:t>。总结了起草单位及相关机构在黎医</w:t>
      </w:r>
      <w:r>
        <w:rPr>
          <w:rFonts w:hint="eastAsia"/>
          <w:lang w:val="en-US" w:eastAsia="zh-CN"/>
        </w:rPr>
        <w:t>药石</w:t>
      </w:r>
      <w:r>
        <w:rPr>
          <w:rFonts w:hint="eastAsia"/>
        </w:rPr>
        <w:t>疗法方面的临床应用经验与技术传承情况。在立项后，编制组对专家评审意见进行了汇总分析，并通过线上线下的形式进行讨论采纳，进一步完善标准草案。</w:t>
      </w:r>
      <w:r>
        <w:rPr>
          <w:rFonts w:hint="eastAsia"/>
          <w:spacing w:val="-3"/>
        </w:rPr>
        <w:t>2025年6月</w:t>
      </w:r>
      <w:r>
        <w:rPr>
          <w:rFonts w:hint="eastAsia"/>
          <w:spacing w:val="-3"/>
          <w:lang w:val="en-US" w:eastAsia="zh-CN"/>
        </w:rPr>
        <w:t>-</w:t>
      </w:r>
      <w:r>
        <w:rPr>
          <w:rFonts w:hint="eastAsia"/>
          <w:spacing w:val="-3"/>
        </w:rPr>
        <w:t>12月，项目起草组召开会议明确分工，广泛查阅文献，汇总临床实践经验，起草完成标准初稿。2026年1月</w:t>
      </w:r>
      <w:r>
        <w:rPr>
          <w:rFonts w:hint="eastAsia"/>
          <w:spacing w:val="-3"/>
          <w:lang w:val="en-US" w:eastAsia="zh-CN"/>
        </w:rPr>
        <w:t>-</w:t>
      </w:r>
      <w:r>
        <w:rPr>
          <w:rFonts w:hint="eastAsia"/>
          <w:spacing w:val="-3"/>
        </w:rPr>
        <w:t xml:space="preserve">2月，经过进一步调研、专家咨询和研讨，对初稿进行修改，形成《黎医疗法操作规范 </w:t>
      </w:r>
      <w:r>
        <w:rPr>
          <w:rFonts w:hint="eastAsia"/>
          <w:spacing w:val="-3"/>
          <w:lang w:val="en-US" w:eastAsia="zh-CN"/>
        </w:rPr>
        <w:t>药石</w:t>
      </w:r>
      <w:r>
        <w:rPr>
          <w:rFonts w:hint="eastAsia"/>
          <w:spacing w:val="-3"/>
        </w:rPr>
        <w:t>疗法》（征求意见稿）及本编制说明。</w:t>
      </w:r>
    </w:p>
    <w:p w14:paraId="516D5CA4">
      <w:pPr>
        <w:pStyle w:val="2"/>
        <w:numPr>
          <w:ilvl w:val="0"/>
          <w:numId w:val="0"/>
        </w:numPr>
        <w:spacing w:before="12" w:line="362" w:lineRule="auto"/>
        <w:ind w:right="82" w:rightChars="0" w:firstLine="468" w:firstLineChars="200"/>
        <w:rPr>
          <w:rFonts w:hint="eastAsia"/>
          <w:spacing w:val="-3"/>
        </w:rPr>
      </w:pPr>
      <w:r>
        <w:rPr>
          <w:rFonts w:hint="eastAsia"/>
          <w:spacing w:val="-3"/>
        </w:rPr>
        <w:t>现将此征求意见稿通过网站、公函等方式征求各位专家、企业、协会及相关单位意见。</w:t>
      </w:r>
    </w:p>
    <w:p w14:paraId="1A08D003">
      <w:pPr>
        <w:pStyle w:val="2"/>
        <w:spacing w:before="1" w:line="218" w:lineRule="auto"/>
        <w:ind w:left="511"/>
        <w:outlineLvl w:val="1"/>
      </w:pPr>
      <w:bookmarkStart w:id="4" w:name="_Toc10621"/>
      <w:r>
        <w:rPr>
          <w:b/>
          <w:bCs/>
          <w:spacing w:val="-2"/>
        </w:rPr>
        <w:t>（三）制定标准的原则和依据，与现行法律法</w:t>
      </w:r>
      <w:r>
        <w:rPr>
          <w:b/>
          <w:bCs/>
          <w:spacing w:val="-3"/>
        </w:rPr>
        <w:t>规、标准的关系</w:t>
      </w:r>
      <w:bookmarkEnd w:id="4"/>
    </w:p>
    <w:p w14:paraId="71CBF296">
      <w:pPr>
        <w:pStyle w:val="2"/>
        <w:spacing w:before="181" w:line="233" w:lineRule="auto"/>
        <w:ind w:left="511"/>
        <w:outlineLvl w:val="2"/>
      </w:pPr>
      <w:r>
        <w:rPr>
          <w:rFonts w:ascii="Times New Roman" w:hAnsi="Times New Roman" w:eastAsia="Times New Roman" w:cs="Times New Roman"/>
          <w:b/>
          <w:bCs/>
          <w:spacing w:val="-9"/>
        </w:rPr>
        <w:t>1</w:t>
      </w:r>
      <w:r>
        <w:rPr>
          <w:rFonts w:ascii="Times New Roman" w:hAnsi="Times New Roman" w:eastAsia="Times New Roman" w:cs="Times New Roman"/>
          <w:b/>
          <w:bCs/>
          <w:spacing w:val="-31"/>
        </w:rPr>
        <w:t xml:space="preserve"> </w:t>
      </w:r>
      <w:r>
        <w:rPr>
          <w:b/>
          <w:bCs/>
          <w:spacing w:val="-9"/>
        </w:rPr>
        <w:t>、编制原则</w:t>
      </w:r>
    </w:p>
    <w:p w14:paraId="7A7C2919">
      <w:pPr>
        <w:pStyle w:val="2"/>
        <w:spacing w:before="166" w:line="233" w:lineRule="auto"/>
        <w:ind w:left="511" w:leftChars="0"/>
        <w:outlineLvl w:val="3"/>
      </w:pPr>
      <w:r>
        <w:rPr>
          <w:spacing w:val="-4"/>
        </w:rPr>
        <w:t>（</w:t>
      </w:r>
      <w:r>
        <w:rPr>
          <w:rFonts w:ascii="Times New Roman" w:hAnsi="Times New Roman" w:eastAsia="Times New Roman" w:cs="Times New Roman"/>
          <w:spacing w:val="-4"/>
        </w:rPr>
        <w:t>1</w:t>
      </w:r>
      <w:r>
        <w:rPr>
          <w:spacing w:val="-4"/>
        </w:rPr>
        <w:t>）科学性</w:t>
      </w:r>
    </w:p>
    <w:p w14:paraId="40683C04">
      <w:pPr>
        <w:pStyle w:val="2"/>
        <w:spacing w:before="161" w:line="362" w:lineRule="auto"/>
        <w:ind w:left="41" w:right="86" w:firstLine="464"/>
      </w:pPr>
      <w:r>
        <w:rPr>
          <w:rFonts w:hint="eastAsia"/>
        </w:rPr>
        <w:t>本标准在充分调研和总结临床实践经验的基础上制定，确保技术内容的科学、准确。</w:t>
      </w:r>
    </w:p>
    <w:p w14:paraId="0E5D8362">
      <w:pPr>
        <w:pStyle w:val="2"/>
        <w:spacing w:line="234" w:lineRule="auto"/>
        <w:ind w:left="511" w:leftChars="0"/>
        <w:outlineLvl w:val="3"/>
      </w:pPr>
      <w:r>
        <w:rPr>
          <w:spacing w:val="-4"/>
        </w:rPr>
        <w:t>（</w:t>
      </w:r>
      <w:r>
        <w:rPr>
          <w:rFonts w:ascii="Times New Roman" w:hAnsi="Times New Roman" w:eastAsia="Times New Roman" w:cs="Times New Roman"/>
          <w:spacing w:val="-4"/>
        </w:rPr>
        <w:t>2</w:t>
      </w:r>
      <w:r>
        <w:rPr>
          <w:spacing w:val="-4"/>
        </w:rPr>
        <w:t>）可行性</w:t>
      </w:r>
    </w:p>
    <w:p w14:paraId="19BD6E95">
      <w:pPr>
        <w:pStyle w:val="2"/>
        <w:spacing w:before="163" w:line="360" w:lineRule="auto"/>
        <w:ind w:left="26" w:right="87" w:firstLine="479"/>
      </w:pPr>
      <w:r>
        <w:rPr>
          <w:rFonts w:hint="eastAsia"/>
        </w:rPr>
        <w:t>标准编制兼顾与相关领域标准的协调性，合理引用已有标准，操作流程设计充分考虑现有医疗条件与从业人员技能，确保标准可落地、可操作。</w:t>
      </w:r>
    </w:p>
    <w:p w14:paraId="163DC1B8">
      <w:pPr>
        <w:pStyle w:val="2"/>
        <w:spacing w:before="163" w:line="360" w:lineRule="auto"/>
        <w:ind w:left="26" w:leftChars="0" w:right="87" w:rightChars="0" w:firstLine="479" w:firstLineChars="0"/>
        <w:outlineLvl w:val="3"/>
        <w:rPr>
          <w:rFonts w:hint="eastAsia"/>
        </w:rPr>
      </w:pPr>
      <w:r>
        <w:rPr>
          <w:rFonts w:hint="eastAsia"/>
          <w:lang w:eastAsia="zh-CN"/>
        </w:rPr>
        <w:t>（</w:t>
      </w:r>
      <w:r>
        <w:rPr>
          <w:rFonts w:hint="eastAsia"/>
          <w:lang w:val="en-US" w:eastAsia="zh-CN"/>
        </w:rPr>
        <w:t>3</w:t>
      </w:r>
      <w:r>
        <w:rPr>
          <w:rFonts w:hint="eastAsia"/>
          <w:lang w:eastAsia="zh-CN"/>
        </w:rPr>
        <w:t>）</w:t>
      </w:r>
      <w:r>
        <w:rPr>
          <w:rFonts w:hint="eastAsia"/>
        </w:rPr>
        <w:t>规范性</w:t>
      </w:r>
    </w:p>
    <w:p w14:paraId="3BF2E8FB">
      <w:pPr>
        <w:pStyle w:val="2"/>
        <w:spacing w:before="163" w:line="360" w:lineRule="auto"/>
        <w:ind w:left="26" w:right="87" w:firstLine="479"/>
        <w:rPr>
          <w:rFonts w:hint="eastAsia"/>
        </w:rPr>
      </w:pPr>
      <w:r>
        <w:rPr>
          <w:rFonts w:hint="eastAsia"/>
        </w:rPr>
        <w:t>严格依据GB/T 1.1-2020《标准化工作导则 第1部分：标准化文件的结构和起草规则》及DB46/T 74-2021《地方标准制修订工作规范》进行编写，确保文本结构清晰、表述严谨。</w:t>
      </w:r>
    </w:p>
    <w:p w14:paraId="52CE5323">
      <w:pPr>
        <w:pStyle w:val="2"/>
        <w:spacing w:before="15" w:line="233" w:lineRule="auto"/>
        <w:ind w:left="501"/>
        <w:outlineLvl w:val="2"/>
      </w:pPr>
      <w:r>
        <w:rPr>
          <w:rFonts w:ascii="Times New Roman" w:hAnsi="Times New Roman" w:eastAsia="Times New Roman" w:cs="Times New Roman"/>
          <w:b/>
          <w:bCs/>
          <w:spacing w:val="-4"/>
        </w:rPr>
        <w:t>2</w:t>
      </w:r>
      <w:r>
        <w:rPr>
          <w:rFonts w:ascii="Times New Roman" w:hAnsi="Times New Roman" w:eastAsia="Times New Roman" w:cs="Times New Roman"/>
          <w:b/>
          <w:bCs/>
          <w:spacing w:val="-34"/>
        </w:rPr>
        <w:t xml:space="preserve"> </w:t>
      </w:r>
      <w:r>
        <w:rPr>
          <w:b/>
          <w:bCs/>
          <w:spacing w:val="-4"/>
        </w:rPr>
        <w:t>、确定本标准主要内容的依据</w:t>
      </w:r>
    </w:p>
    <w:p w14:paraId="0AE13315">
      <w:pPr>
        <w:pStyle w:val="2"/>
        <w:spacing w:before="189" w:line="213" w:lineRule="auto"/>
        <w:ind w:left="514"/>
        <w:rPr>
          <w:rFonts w:hint="eastAsia"/>
        </w:rPr>
      </w:pPr>
      <w:r>
        <w:rPr>
          <w:rFonts w:hint="eastAsia"/>
          <w:lang w:val="en-US" w:eastAsia="zh-CN"/>
        </w:rPr>
        <w:t>[1]</w:t>
      </w:r>
      <w:r>
        <w:rPr>
          <w:rFonts w:hint="eastAsia"/>
        </w:rPr>
        <w:t xml:space="preserve">GB 15982 医院消毒卫生标准 </w:t>
      </w:r>
    </w:p>
    <w:p w14:paraId="70BB65D0">
      <w:pPr>
        <w:pStyle w:val="2"/>
        <w:spacing w:before="189" w:line="213" w:lineRule="auto"/>
        <w:ind w:left="514"/>
        <w:rPr>
          <w:rFonts w:hint="eastAsia"/>
        </w:rPr>
      </w:pPr>
      <w:r>
        <w:rPr>
          <w:rFonts w:hint="eastAsia"/>
          <w:lang w:val="en-US" w:eastAsia="zh-CN"/>
        </w:rPr>
        <w:t>[2]</w:t>
      </w:r>
      <w:r>
        <w:rPr>
          <w:rFonts w:hint="eastAsia"/>
        </w:rPr>
        <w:t xml:space="preserve">WS/T 311 医院隔离技术规范 </w:t>
      </w:r>
    </w:p>
    <w:p w14:paraId="1C2ABB1D">
      <w:pPr>
        <w:pStyle w:val="2"/>
        <w:spacing w:before="189" w:line="213" w:lineRule="auto"/>
        <w:ind w:left="514"/>
        <w:rPr>
          <w:rFonts w:hint="eastAsia"/>
        </w:rPr>
      </w:pPr>
      <w:r>
        <w:rPr>
          <w:rFonts w:hint="eastAsia"/>
          <w:lang w:val="en-US" w:eastAsia="zh-CN"/>
        </w:rPr>
        <w:t>[3]</w:t>
      </w:r>
      <w:r>
        <w:rPr>
          <w:rFonts w:hint="eastAsia"/>
        </w:rPr>
        <w:t>WS/T 313 医务人员手卫生规范</w:t>
      </w:r>
    </w:p>
    <w:p w14:paraId="3A31F78A">
      <w:pPr>
        <w:pStyle w:val="2"/>
        <w:spacing w:before="189" w:line="213" w:lineRule="auto"/>
        <w:ind w:left="514"/>
      </w:pPr>
      <w:r>
        <w:rPr>
          <w:rFonts w:hint="eastAsia"/>
          <w:lang w:val="en-US" w:eastAsia="zh-CN"/>
        </w:rPr>
        <w:t>[4]</w:t>
      </w:r>
      <w:r>
        <w:rPr>
          <w:rFonts w:hint="eastAsia"/>
        </w:rPr>
        <w:t>GB/T 12346 经穴名称与定位</w:t>
      </w:r>
    </w:p>
    <w:p w14:paraId="10B64CE6">
      <w:pPr>
        <w:pStyle w:val="2"/>
        <w:spacing w:before="194" w:line="233" w:lineRule="auto"/>
        <w:ind w:left="499"/>
        <w:outlineLvl w:val="2"/>
      </w:pPr>
      <w:r>
        <w:rPr>
          <w:rFonts w:ascii="Times New Roman" w:hAnsi="Times New Roman" w:eastAsia="Times New Roman" w:cs="Times New Roman"/>
          <w:b/>
          <w:bCs/>
          <w:spacing w:val="-4"/>
        </w:rPr>
        <w:t>3</w:t>
      </w:r>
      <w:r>
        <w:rPr>
          <w:rFonts w:ascii="Times New Roman" w:hAnsi="Times New Roman" w:eastAsia="Times New Roman" w:cs="Times New Roman"/>
          <w:b/>
          <w:bCs/>
          <w:spacing w:val="-26"/>
        </w:rPr>
        <w:t xml:space="preserve"> </w:t>
      </w:r>
      <w:r>
        <w:rPr>
          <w:b/>
          <w:bCs/>
          <w:spacing w:val="-4"/>
        </w:rPr>
        <w:t>、与现行法律法规、标准的关系</w:t>
      </w:r>
    </w:p>
    <w:p w14:paraId="0793B511">
      <w:pPr>
        <w:pStyle w:val="2"/>
        <w:spacing w:before="163" w:line="360" w:lineRule="auto"/>
        <w:ind w:left="26" w:right="258" w:firstLine="479"/>
        <w:jc w:val="both"/>
      </w:pPr>
      <w:r>
        <w:rPr>
          <w:rFonts w:hint="eastAsia"/>
        </w:rPr>
        <w:t>本标准符合我国现行法律要求，遵守《中华人民共和国标准化法》、《中华人民共和国中医药法》等相关法律，遵守《中华人民共和国标准化法实施条例》、《国家标准管理办法》等相关法规，与现行的法规和强制性标准无相悖之处。</w:t>
      </w:r>
    </w:p>
    <w:p w14:paraId="732CF7A0">
      <w:pPr>
        <w:pStyle w:val="2"/>
        <w:spacing w:before="1" w:line="219" w:lineRule="auto"/>
        <w:ind w:left="511"/>
        <w:outlineLvl w:val="1"/>
      </w:pPr>
      <w:bookmarkStart w:id="5" w:name="_Toc2468"/>
      <w:r>
        <w:rPr>
          <w:b/>
          <w:bCs/>
          <w:spacing w:val="-3"/>
        </w:rPr>
        <w:t>（四）主要条款的说明，主要技术指标、参数、试验验证的论述</w:t>
      </w:r>
      <w:bookmarkEnd w:id="5"/>
    </w:p>
    <w:p w14:paraId="04A2D855">
      <w:pPr>
        <w:pStyle w:val="2"/>
        <w:spacing w:before="185" w:line="233" w:lineRule="auto"/>
        <w:ind w:left="511"/>
        <w:outlineLvl w:val="2"/>
      </w:pPr>
      <w:r>
        <w:rPr>
          <w:rFonts w:ascii="Times New Roman" w:hAnsi="Times New Roman" w:eastAsia="Times New Roman" w:cs="Times New Roman"/>
          <w:b/>
          <w:bCs/>
          <w:spacing w:val="-6"/>
        </w:rPr>
        <w:t>1</w:t>
      </w:r>
      <w:r>
        <w:rPr>
          <w:b/>
          <w:bCs/>
          <w:spacing w:val="-6"/>
        </w:rPr>
        <w:t>、主要条款</w:t>
      </w:r>
    </w:p>
    <w:p w14:paraId="77C6EF61">
      <w:pPr>
        <w:pStyle w:val="2"/>
        <w:spacing w:before="164" w:line="360" w:lineRule="auto"/>
        <w:ind w:left="7" w:firstLine="497"/>
      </w:pPr>
      <w:r>
        <w:rPr>
          <w:rFonts w:hint="eastAsia"/>
        </w:rPr>
        <w:t>本标准的章节由范围、规范性引用文件、术语和定义、基本要求、适应症</w:t>
      </w:r>
      <w:r>
        <w:rPr>
          <w:rFonts w:hint="eastAsia"/>
          <w:lang w:val="en-US" w:eastAsia="zh-CN"/>
        </w:rPr>
        <w:t>和</w:t>
      </w:r>
      <w:r>
        <w:rPr>
          <w:rFonts w:hint="eastAsia"/>
        </w:rPr>
        <w:t>禁忌症</w:t>
      </w:r>
      <w:r>
        <w:rPr>
          <w:rFonts w:hint="eastAsia"/>
          <w:lang w:eastAsia="zh-CN"/>
        </w:rPr>
        <w:t>、</w:t>
      </w:r>
      <w:r>
        <w:rPr>
          <w:rFonts w:hint="eastAsia"/>
        </w:rPr>
        <w:t>操作流程、注意事项组成。其中“基本要求”、“适应症</w:t>
      </w:r>
      <w:r>
        <w:rPr>
          <w:rFonts w:hint="eastAsia"/>
          <w:lang w:val="en-US" w:eastAsia="zh-CN"/>
        </w:rPr>
        <w:t>和</w:t>
      </w:r>
      <w:r>
        <w:rPr>
          <w:rFonts w:hint="eastAsia"/>
        </w:rPr>
        <w:t>禁忌症”、“操作流程”</w:t>
      </w:r>
      <w:r>
        <w:rPr>
          <w:rFonts w:hint="eastAsia"/>
          <w:lang w:eastAsia="zh-CN"/>
        </w:rPr>
        <w:t>、“</w:t>
      </w:r>
      <w:r>
        <w:rPr>
          <w:rFonts w:hint="eastAsia"/>
          <w:lang w:val="en-US" w:eastAsia="zh-CN"/>
        </w:rPr>
        <w:t>注意事项</w:t>
      </w:r>
      <w:r>
        <w:rPr>
          <w:rFonts w:hint="eastAsia"/>
          <w:lang w:eastAsia="zh-CN"/>
        </w:rPr>
        <w:t>”</w:t>
      </w:r>
      <w:r>
        <w:rPr>
          <w:rFonts w:hint="eastAsia"/>
        </w:rPr>
        <w:t>是本标准的主要技术内容。</w:t>
      </w:r>
    </w:p>
    <w:p w14:paraId="08DEAB84">
      <w:pPr>
        <w:pStyle w:val="2"/>
        <w:spacing w:line="233" w:lineRule="auto"/>
        <w:ind w:left="501"/>
        <w:outlineLvl w:val="2"/>
      </w:pPr>
      <w:r>
        <w:rPr>
          <w:rFonts w:ascii="Times New Roman" w:hAnsi="Times New Roman" w:eastAsia="Times New Roman" w:cs="Times New Roman"/>
          <w:b/>
          <w:bCs/>
          <w:spacing w:val="-3"/>
        </w:rPr>
        <w:t>2</w:t>
      </w:r>
      <w:r>
        <w:rPr>
          <w:b/>
          <w:bCs/>
          <w:spacing w:val="-3"/>
        </w:rPr>
        <w:t>、主要技术指标、参数</w:t>
      </w:r>
    </w:p>
    <w:p w14:paraId="44AD1969">
      <w:pPr>
        <w:pStyle w:val="2"/>
        <w:spacing w:before="179" w:line="291" w:lineRule="auto"/>
        <w:ind w:left="23" w:right="87" w:firstLine="487"/>
        <w:rPr>
          <w:rFonts w:hint="eastAsia"/>
        </w:rPr>
      </w:pPr>
      <w:r>
        <w:rPr>
          <w:rFonts w:hint="eastAsia"/>
        </w:rPr>
        <w:t xml:space="preserve">（1）标准名称：《黎医疗法操作规范 </w:t>
      </w:r>
      <w:r>
        <w:rPr>
          <w:rFonts w:hint="eastAsia"/>
          <w:lang w:val="en-US" w:eastAsia="zh-CN"/>
        </w:rPr>
        <w:t>药石</w:t>
      </w:r>
      <w:r>
        <w:rPr>
          <w:rFonts w:hint="eastAsia"/>
        </w:rPr>
        <w:t>疗法》旨在用于指导开展黎医</w:t>
      </w:r>
      <w:r>
        <w:rPr>
          <w:rFonts w:hint="eastAsia"/>
          <w:lang w:val="en-US" w:eastAsia="zh-CN"/>
        </w:rPr>
        <w:t>药石</w:t>
      </w:r>
      <w:r>
        <w:rPr>
          <w:rFonts w:hint="eastAsia"/>
        </w:rPr>
        <w:t>疗法的规范化操作，为</w:t>
      </w:r>
      <w:r>
        <w:rPr>
          <w:rFonts w:hint="eastAsia"/>
          <w:lang w:val="en-US" w:eastAsia="zh-CN"/>
        </w:rPr>
        <w:t>药石</w:t>
      </w:r>
      <w:r>
        <w:rPr>
          <w:rFonts w:hint="eastAsia"/>
        </w:rPr>
        <w:t xml:space="preserve">疗法的技术实施、临床应用、质量管控提供科学依据与实操指引，形成一套安全、规范、可复制的黎医特色疗法操作流程。综合相关医疗机构、传承单位及民族医药专家意见，将“黎医疗法操作规范 </w:t>
      </w:r>
      <w:r>
        <w:rPr>
          <w:rFonts w:hint="eastAsia"/>
          <w:lang w:val="en-US" w:eastAsia="zh-CN"/>
        </w:rPr>
        <w:t>药石</w:t>
      </w:r>
      <w:r>
        <w:rPr>
          <w:rFonts w:hint="eastAsia"/>
        </w:rPr>
        <w:t>疗法</w:t>
      </w:r>
      <w:r>
        <w:rPr>
          <w:rFonts w:hint="eastAsia"/>
          <w:lang w:eastAsia="zh-CN"/>
        </w:rPr>
        <w:t>”</w:t>
      </w:r>
      <w:r>
        <w:rPr>
          <w:rFonts w:hint="eastAsia"/>
        </w:rPr>
        <w:t xml:space="preserve"> 作为本文件的名称。</w:t>
      </w:r>
    </w:p>
    <w:p w14:paraId="480523E6">
      <w:pPr>
        <w:pStyle w:val="2"/>
        <w:spacing w:before="179" w:line="291" w:lineRule="auto"/>
        <w:ind w:left="23" w:right="87" w:firstLine="487"/>
        <w:rPr>
          <w:rFonts w:hint="eastAsia"/>
        </w:rPr>
      </w:pPr>
      <w:r>
        <w:rPr>
          <w:rFonts w:hint="eastAsia"/>
          <w:lang w:eastAsia="zh-CN"/>
        </w:rPr>
        <w:t>（</w:t>
      </w:r>
      <w:r>
        <w:rPr>
          <w:rFonts w:hint="eastAsia"/>
          <w:lang w:val="en-US" w:eastAsia="zh-CN"/>
        </w:rPr>
        <w:t>2</w:t>
      </w:r>
      <w:r>
        <w:rPr>
          <w:rFonts w:hint="eastAsia"/>
          <w:lang w:eastAsia="zh-CN"/>
        </w:rPr>
        <w:t>）</w:t>
      </w:r>
      <w:r>
        <w:rPr>
          <w:rFonts w:hint="eastAsia"/>
        </w:rPr>
        <w:t>术语和定义</w:t>
      </w:r>
      <w:r>
        <w:rPr>
          <w:rFonts w:hint="eastAsia"/>
          <w:lang w:eastAsia="zh-CN"/>
        </w:rPr>
        <w:t>：黎医药石疗法</w:t>
      </w:r>
      <w:r>
        <w:rPr>
          <w:rFonts w:hint="eastAsia"/>
          <w:lang w:val="en-US" w:eastAsia="zh-CN"/>
        </w:rPr>
        <w:t>是</w:t>
      </w:r>
      <w:r>
        <w:rPr>
          <w:rFonts w:hint="eastAsia"/>
          <w:lang w:eastAsia="zh-CN"/>
        </w:rPr>
        <w:t>根据疾病的需要和使用的方便，把石头加工成形态各异的器具，有“块、砧、尺、棒、锥、轮、板、铲”等形状，作为工具用来辅助诊断、治疗疾病。</w:t>
      </w:r>
    </w:p>
    <w:p w14:paraId="21A7516B">
      <w:pPr>
        <w:pStyle w:val="2"/>
        <w:spacing w:before="179" w:line="291" w:lineRule="auto"/>
        <w:ind w:left="23" w:right="87" w:firstLine="487"/>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rPr>
        <w:t>基本要求</w:t>
      </w:r>
      <w:r>
        <w:rPr>
          <w:rFonts w:hint="eastAsia"/>
          <w:lang w:eastAsia="zh-CN"/>
        </w:rPr>
        <w:t>：</w:t>
      </w:r>
      <w:r>
        <w:rPr>
          <w:rFonts w:hint="eastAsia"/>
          <w:lang w:val="en-US" w:eastAsia="zh-CN"/>
        </w:rPr>
        <w:t>在人员资质、操作人员、环境要求三方面进行了相关要求规定。</w:t>
      </w:r>
    </w:p>
    <w:p w14:paraId="120BA7F1">
      <w:pPr>
        <w:pStyle w:val="2"/>
        <w:spacing w:before="179" w:line="291" w:lineRule="auto"/>
        <w:ind w:left="23" w:right="87" w:firstLine="487"/>
        <w:rPr>
          <w:rFonts w:hint="eastAsia" w:eastAsia="宋体"/>
          <w:lang w:eastAsia="zh-CN"/>
        </w:rPr>
      </w:pPr>
      <w:r>
        <w:rPr>
          <w:rFonts w:hint="eastAsia"/>
          <w:lang w:eastAsia="zh-CN"/>
        </w:rPr>
        <w:t>（</w:t>
      </w:r>
      <w:r>
        <w:rPr>
          <w:rFonts w:hint="eastAsia"/>
          <w:lang w:val="en-US" w:eastAsia="zh-CN"/>
        </w:rPr>
        <w:t>4</w:t>
      </w:r>
      <w:r>
        <w:rPr>
          <w:rFonts w:hint="eastAsia"/>
          <w:lang w:eastAsia="zh-CN"/>
        </w:rPr>
        <w:t>）</w:t>
      </w:r>
      <w:r>
        <w:rPr>
          <w:rFonts w:hint="eastAsia"/>
        </w:rPr>
        <w:t>适应症</w:t>
      </w:r>
      <w:r>
        <w:rPr>
          <w:rFonts w:hint="eastAsia"/>
          <w:lang w:val="en-US" w:eastAsia="zh-CN"/>
        </w:rPr>
        <w:t>和</w:t>
      </w:r>
      <w:r>
        <w:rPr>
          <w:rFonts w:hint="eastAsia"/>
        </w:rPr>
        <w:t>禁忌症</w:t>
      </w:r>
      <w:r>
        <w:rPr>
          <w:rFonts w:hint="eastAsia"/>
          <w:lang w:eastAsia="zh-CN"/>
        </w:rPr>
        <w:t>：</w:t>
      </w:r>
    </w:p>
    <w:p w14:paraId="091B6E47">
      <w:pPr>
        <w:pStyle w:val="2"/>
        <w:spacing w:before="179" w:line="291" w:lineRule="auto"/>
        <w:ind w:left="23" w:right="87" w:firstLine="487"/>
      </w:pPr>
      <w:r>
        <w:rPr>
          <w:rFonts w:hint="eastAsia"/>
          <w:lang w:val="en-US" w:eastAsia="zh-CN"/>
        </w:rPr>
        <w:t>1）</w:t>
      </w:r>
      <w:r>
        <w:rPr>
          <w:rFonts w:hint="eastAsia"/>
        </w:rPr>
        <w:t>适应症</w:t>
      </w:r>
      <w:r>
        <w:rPr>
          <w:rFonts w:hint="eastAsia"/>
          <w:lang w:eastAsia="zh-CN"/>
        </w:rPr>
        <w:t>：</w:t>
      </w:r>
      <w:r>
        <w:t>肩周炎、腰腿痛、风湿关节痛、手足麻木等。</w:t>
      </w:r>
    </w:p>
    <w:p w14:paraId="5E378519">
      <w:pPr>
        <w:pStyle w:val="2"/>
        <w:spacing w:before="179" w:line="291" w:lineRule="auto"/>
        <w:ind w:left="23" w:right="87" w:firstLine="487"/>
        <w:rPr>
          <w:rFonts w:hint="eastAsia"/>
          <w:lang w:val="en-US" w:eastAsia="zh-CN"/>
        </w:rPr>
      </w:pPr>
      <w:r>
        <w:rPr>
          <w:rFonts w:hint="eastAsia"/>
          <w:lang w:val="en-US" w:eastAsia="zh-CN"/>
        </w:rPr>
        <w:t>2）禁忌症：各种皮肤病、疮疖、痈疽；发热、急性传染病；癫痫；心脏病、肝脾肿大、各种出血倾向的疾病；妇女月经期及妊娠期；内脏肿瘤；骨折未愈合、骨结核；肾区慎用；身体器质性病变的患者禁止使用。</w:t>
      </w:r>
    </w:p>
    <w:p w14:paraId="159F0651">
      <w:pPr>
        <w:pStyle w:val="2"/>
        <w:spacing w:before="179" w:line="291" w:lineRule="auto"/>
        <w:ind w:left="23" w:right="87" w:firstLine="487"/>
        <w:rPr>
          <w:rFonts w:hint="eastAsia"/>
        </w:rPr>
      </w:pPr>
      <w:r>
        <w:rPr>
          <w:rFonts w:hint="eastAsia"/>
          <w:lang w:eastAsia="zh-CN"/>
        </w:rPr>
        <w:t>（</w:t>
      </w:r>
      <w:r>
        <w:rPr>
          <w:rFonts w:hint="eastAsia"/>
          <w:lang w:val="en-US" w:eastAsia="zh-CN"/>
        </w:rPr>
        <w:t>5</w:t>
      </w:r>
      <w:r>
        <w:rPr>
          <w:rFonts w:hint="eastAsia"/>
          <w:lang w:eastAsia="zh-CN"/>
        </w:rPr>
        <w:t>）</w:t>
      </w:r>
      <w:r>
        <w:rPr>
          <w:rFonts w:hint="eastAsia"/>
        </w:rPr>
        <w:t>操作流程</w:t>
      </w:r>
    </w:p>
    <w:p w14:paraId="476C88C7">
      <w:pPr>
        <w:pStyle w:val="2"/>
        <w:spacing w:before="179" w:line="291" w:lineRule="auto"/>
        <w:ind w:left="23" w:right="87" w:firstLine="487"/>
        <w:rPr>
          <w:rFonts w:hint="eastAsia"/>
          <w:lang w:val="en-US" w:eastAsia="zh-CN"/>
        </w:rPr>
      </w:pPr>
      <w:r>
        <w:rPr>
          <w:rFonts w:hint="eastAsia"/>
          <w:lang w:val="en-US" w:eastAsia="zh-CN"/>
        </w:rPr>
        <w:t>1）签署知情同意书</w:t>
      </w:r>
    </w:p>
    <w:p w14:paraId="5FE02D64">
      <w:pPr>
        <w:pStyle w:val="2"/>
        <w:spacing w:before="179" w:line="291" w:lineRule="auto"/>
        <w:ind w:left="23" w:right="87" w:firstLine="487"/>
        <w:rPr>
          <w:rFonts w:hint="eastAsia"/>
          <w:lang w:val="en-US" w:eastAsia="zh-CN"/>
        </w:rPr>
      </w:pPr>
      <w:r>
        <w:rPr>
          <w:rFonts w:hint="eastAsia"/>
          <w:lang w:val="en-US" w:eastAsia="zh-CN"/>
        </w:rPr>
        <w:t>诊疗前，对患者进行适应症、禁忌症评估。应获得患者同意，并取得患者或家属签署的诊疗知情同意书。</w:t>
      </w:r>
    </w:p>
    <w:p w14:paraId="6A77A6CF">
      <w:pPr>
        <w:pStyle w:val="2"/>
        <w:spacing w:before="179" w:line="291" w:lineRule="auto"/>
        <w:ind w:left="23" w:right="87" w:firstLine="487"/>
        <w:rPr>
          <w:rFonts w:hint="eastAsia"/>
          <w:lang w:val="en-US" w:eastAsia="zh-CN"/>
        </w:rPr>
      </w:pPr>
      <w:r>
        <w:rPr>
          <w:rFonts w:hint="eastAsia"/>
          <w:lang w:val="en-US" w:eastAsia="zh-CN"/>
        </w:rPr>
        <w:t>2）体位选择</w:t>
      </w:r>
    </w:p>
    <w:p w14:paraId="19D24081">
      <w:pPr>
        <w:pStyle w:val="2"/>
        <w:spacing w:before="179" w:line="291" w:lineRule="auto"/>
        <w:ind w:left="23" w:right="87" w:firstLine="487"/>
        <w:rPr>
          <w:rFonts w:hint="eastAsia"/>
          <w:lang w:val="en-US" w:eastAsia="zh-CN"/>
        </w:rPr>
      </w:pPr>
      <w:r>
        <w:rPr>
          <w:rFonts w:hint="eastAsia"/>
          <w:lang w:val="en-US" w:eastAsia="zh-CN"/>
        </w:rPr>
        <w:t>以患者舒适并能较长时间保持体位为原则。可选择坐位、仰卧位、俯卧位或其它体位。</w:t>
      </w:r>
    </w:p>
    <w:p w14:paraId="2F71E81A">
      <w:pPr>
        <w:pStyle w:val="2"/>
        <w:numPr>
          <w:ilvl w:val="0"/>
          <w:numId w:val="4"/>
        </w:numPr>
        <w:spacing w:before="179" w:line="291" w:lineRule="auto"/>
        <w:ind w:left="23" w:right="87" w:firstLine="487"/>
        <w:rPr>
          <w:rFonts w:hint="eastAsia"/>
          <w:lang w:val="en-US" w:eastAsia="zh-CN"/>
        </w:rPr>
      </w:pPr>
      <w:r>
        <w:rPr>
          <w:rFonts w:hint="eastAsia"/>
          <w:lang w:val="en-US" w:eastAsia="zh-CN"/>
        </w:rPr>
        <w:t>施术方法</w:t>
      </w:r>
    </w:p>
    <w:p w14:paraId="512DD0B7">
      <w:pPr>
        <w:pStyle w:val="2"/>
        <w:numPr>
          <w:ilvl w:val="0"/>
          <w:numId w:val="0"/>
        </w:numPr>
        <w:spacing w:before="179" w:line="291" w:lineRule="auto"/>
        <w:ind w:left="510" w:leftChars="0" w:right="87" w:rightChars="0"/>
        <w:rPr>
          <w:rFonts w:hint="eastAsia"/>
          <w:lang w:val="en-US" w:eastAsia="zh-CN"/>
        </w:rPr>
      </w:pPr>
      <w:r>
        <w:rPr>
          <w:rFonts w:hint="eastAsia"/>
          <w:lang w:val="en-US" w:eastAsia="zh-CN"/>
        </w:rPr>
        <w:t>①使用药石拍打身体相应部位及穴位。</w:t>
      </w:r>
    </w:p>
    <w:p w14:paraId="2564678D">
      <w:pPr>
        <w:pStyle w:val="2"/>
        <w:numPr>
          <w:ilvl w:val="0"/>
          <w:numId w:val="0"/>
        </w:numPr>
        <w:spacing w:before="179" w:line="291" w:lineRule="auto"/>
        <w:ind w:right="87" w:rightChars="0" w:firstLine="480" w:firstLineChars="200"/>
        <w:rPr>
          <w:rFonts w:hint="eastAsia"/>
          <w:lang w:val="en-US" w:eastAsia="zh-CN"/>
        </w:rPr>
      </w:pPr>
      <w:r>
        <w:rPr>
          <w:rFonts w:hint="eastAsia"/>
          <w:lang w:val="en-US" w:eastAsia="zh-CN"/>
        </w:rPr>
        <w:t>②拍打时力度适宜，主要用腕力进行弹打，前臂只起支持腕上下移动的作用。两只手交替拍打。</w:t>
      </w:r>
    </w:p>
    <w:p w14:paraId="0699F4A2">
      <w:pPr>
        <w:pStyle w:val="2"/>
        <w:numPr>
          <w:ilvl w:val="0"/>
          <w:numId w:val="0"/>
        </w:numPr>
        <w:spacing w:before="179" w:line="291" w:lineRule="auto"/>
        <w:ind w:right="87" w:rightChars="0" w:firstLine="480" w:firstLineChars="200"/>
        <w:rPr>
          <w:rFonts w:hint="eastAsia"/>
          <w:lang w:val="en-US" w:eastAsia="zh-CN"/>
        </w:rPr>
      </w:pPr>
      <w:r>
        <w:rPr>
          <w:rFonts w:hint="eastAsia"/>
          <w:lang w:val="en-US" w:eastAsia="zh-CN"/>
        </w:rPr>
        <w:t>③每次拍打时，开始手法宜轻，然后渐渐加重，根据患者病情轻重，可在某些穴位上重拍。拍打按力度轻重，可分为3种：</w:t>
      </w:r>
    </w:p>
    <w:p w14:paraId="0042C4A8">
      <w:pPr>
        <w:pStyle w:val="2"/>
        <w:numPr>
          <w:ilvl w:val="0"/>
          <w:numId w:val="0"/>
        </w:numPr>
        <w:spacing w:before="179" w:line="291" w:lineRule="auto"/>
        <w:ind w:left="510" w:leftChars="0" w:right="87" w:rightChars="0"/>
        <w:rPr>
          <w:rFonts w:hint="eastAsia"/>
          <w:lang w:val="en-US" w:eastAsia="zh-CN"/>
        </w:rPr>
      </w:pPr>
      <w:r>
        <w:rPr>
          <w:rFonts w:hint="eastAsia"/>
          <w:lang w:val="en-US" w:eastAsia="zh-CN"/>
        </w:rPr>
        <w:t>——轻拍法：拍打时用力较轻，多用于年老体弱、儿童及初次接受治疗的患者，或用于肌肉较薄和有重要脏器的部位。</w:t>
      </w:r>
    </w:p>
    <w:p w14:paraId="0D3A09DD">
      <w:pPr>
        <w:pStyle w:val="2"/>
        <w:numPr>
          <w:ilvl w:val="0"/>
          <w:numId w:val="0"/>
        </w:numPr>
        <w:spacing w:before="179" w:line="291" w:lineRule="auto"/>
        <w:ind w:left="510" w:leftChars="0" w:right="87" w:rightChars="0"/>
        <w:rPr>
          <w:rFonts w:hint="eastAsia"/>
          <w:lang w:val="en-US" w:eastAsia="zh-CN"/>
        </w:rPr>
      </w:pPr>
      <w:r>
        <w:rPr>
          <w:rFonts w:hint="eastAsia"/>
          <w:lang w:val="en-US" w:eastAsia="zh-CN"/>
        </w:rPr>
        <w:t>——中拍法：用中等力量拍打，拍打时微有痛感为度。适用于一般人和大部分部位。</w:t>
      </w:r>
    </w:p>
    <w:p w14:paraId="67131A08">
      <w:pPr>
        <w:pStyle w:val="2"/>
        <w:numPr>
          <w:ilvl w:val="0"/>
          <w:numId w:val="0"/>
        </w:numPr>
        <w:spacing w:before="179" w:line="291" w:lineRule="auto"/>
        <w:ind w:left="510" w:leftChars="0" w:right="87" w:rightChars="0"/>
        <w:rPr>
          <w:rFonts w:hint="eastAsia"/>
          <w:lang w:val="en-US" w:eastAsia="zh-CN"/>
        </w:rPr>
      </w:pPr>
      <w:r>
        <w:rPr>
          <w:rFonts w:hint="eastAsia"/>
          <w:lang w:val="en-US" w:eastAsia="zh-CN"/>
        </w:rPr>
        <w:t>——重拍法：根据患者病情及耐受程度，选择肌肉较丰厚的臀部、肩部等部位</w:t>
      </w:r>
    </w:p>
    <w:p w14:paraId="57DAFAE0">
      <w:pPr>
        <w:pStyle w:val="2"/>
        <w:numPr>
          <w:ilvl w:val="0"/>
          <w:numId w:val="0"/>
        </w:numPr>
        <w:spacing w:before="179" w:line="291" w:lineRule="auto"/>
        <w:ind w:right="87" w:rightChars="0" w:firstLine="480" w:firstLineChars="200"/>
        <w:rPr>
          <w:rFonts w:hint="eastAsia"/>
          <w:lang w:val="en-US" w:eastAsia="zh-CN"/>
        </w:rPr>
      </w:pPr>
      <w:r>
        <w:rPr>
          <w:rFonts w:hint="eastAsia"/>
          <w:lang w:val="en-US" w:eastAsia="zh-CN"/>
        </w:rPr>
        <w:t>④节奏：有“七拍子”“一加四”“三六九”等不同节奏。常用的是“一加四”拍。即打一拍后，再连打四拍，可反复进行。有节奏地进行拍打，既省力，又使患者自觉舒适。</w:t>
      </w:r>
    </w:p>
    <w:p w14:paraId="7FEE227A">
      <w:pPr>
        <w:pStyle w:val="2"/>
        <w:numPr>
          <w:ilvl w:val="0"/>
          <w:numId w:val="0"/>
        </w:numPr>
        <w:spacing w:before="179" w:line="291" w:lineRule="auto"/>
        <w:ind w:right="87" w:rightChars="0" w:firstLine="480" w:firstLineChars="200"/>
        <w:rPr>
          <w:rFonts w:hint="eastAsia"/>
          <w:lang w:val="en-US" w:eastAsia="zh-CN"/>
        </w:rPr>
      </w:pPr>
      <w:r>
        <w:rPr>
          <w:rFonts w:hint="eastAsia"/>
          <w:lang w:val="en-US" w:eastAsia="zh-CN"/>
        </w:rPr>
        <w:t>⑤顺序：总的原则是先左后右，从上而下，由近及远。一般是先拍打背部正中线，再拍打夹脊两旁的侧线，然后再拍打上肢，最后拍打下肢，从近端拍向远端。双侧患病时先拍左侧，再拍打右侧。具体到某个肢体，要先前侧，再后侧，先内侧，后外侧，应一拍紧挨一拍密密地打，每一侧面要反复拍打3-5遍，并在该侧面的穴位上重点抽打3-5下，顺拍清热泄火，逆拍温中补气。</w:t>
      </w:r>
    </w:p>
    <w:p w14:paraId="2E988681">
      <w:pPr>
        <w:pStyle w:val="2"/>
        <w:spacing w:before="179" w:line="291" w:lineRule="auto"/>
        <w:ind w:left="23" w:right="87" w:firstLine="487"/>
        <w:rPr>
          <w:rFonts w:hint="eastAsia"/>
        </w:rPr>
      </w:pPr>
      <w:r>
        <w:rPr>
          <w:rFonts w:hint="eastAsia"/>
          <w:lang w:eastAsia="zh-CN"/>
        </w:rPr>
        <w:t>（</w:t>
      </w:r>
      <w:r>
        <w:rPr>
          <w:rFonts w:hint="eastAsia"/>
          <w:lang w:val="en-US" w:eastAsia="zh-CN"/>
        </w:rPr>
        <w:t>6</w:t>
      </w:r>
      <w:r>
        <w:rPr>
          <w:rFonts w:hint="eastAsia"/>
          <w:lang w:eastAsia="zh-CN"/>
        </w:rPr>
        <w:t>）</w:t>
      </w:r>
      <w:r>
        <w:rPr>
          <w:rFonts w:hint="eastAsia"/>
        </w:rPr>
        <w:t>注意事项</w:t>
      </w:r>
    </w:p>
    <w:p w14:paraId="0F315D87">
      <w:pPr>
        <w:pStyle w:val="2"/>
        <w:numPr>
          <w:ilvl w:val="0"/>
          <w:numId w:val="0"/>
        </w:numPr>
        <w:spacing w:before="179" w:line="291" w:lineRule="auto"/>
        <w:ind w:right="87" w:rightChars="0" w:firstLine="480" w:firstLineChars="200"/>
        <w:rPr>
          <w:rFonts w:hint="default"/>
          <w:lang w:val="en-US" w:eastAsia="zh-CN"/>
        </w:rPr>
      </w:pPr>
      <w:r>
        <w:rPr>
          <w:rFonts w:hint="eastAsia"/>
          <w:lang w:val="en-US" w:eastAsia="zh-CN"/>
        </w:rPr>
        <w:t>1）</w:t>
      </w:r>
      <w:r>
        <w:rPr>
          <w:rFonts w:hint="default"/>
          <w:lang w:val="en-US" w:eastAsia="zh-CN"/>
        </w:rPr>
        <w:t>药石治疗时，室内温度要适中，温度过低容易受凉，温度过高容易出汗，一般以25-30℃为宜。</w:t>
      </w:r>
    </w:p>
    <w:p w14:paraId="48D62B14">
      <w:pPr>
        <w:pStyle w:val="2"/>
        <w:numPr>
          <w:ilvl w:val="0"/>
          <w:numId w:val="0"/>
        </w:numPr>
        <w:spacing w:before="179" w:line="291" w:lineRule="auto"/>
        <w:ind w:right="87" w:rightChars="0" w:firstLine="480" w:firstLineChars="200"/>
        <w:rPr>
          <w:rFonts w:hint="default"/>
          <w:lang w:val="en-US" w:eastAsia="zh-CN"/>
        </w:rPr>
      </w:pPr>
      <w:r>
        <w:rPr>
          <w:rFonts w:hint="eastAsia"/>
          <w:lang w:val="en-US" w:eastAsia="zh-CN"/>
        </w:rPr>
        <w:t>2）</w:t>
      </w:r>
      <w:r>
        <w:rPr>
          <w:rFonts w:hint="default"/>
          <w:lang w:val="en-US" w:eastAsia="zh-CN"/>
        </w:rPr>
        <w:t xml:space="preserve">每次治疗前要适当安静休息，使情绪安定，然后排净二便，脱去外衣，准备接受药石治疗。 </w:t>
      </w:r>
    </w:p>
    <w:p w14:paraId="758B8FD5">
      <w:pPr>
        <w:pStyle w:val="2"/>
        <w:numPr>
          <w:ilvl w:val="0"/>
          <w:numId w:val="0"/>
        </w:numPr>
        <w:spacing w:before="179" w:line="291" w:lineRule="auto"/>
        <w:ind w:right="87" w:rightChars="0" w:firstLine="480" w:firstLineChars="200"/>
        <w:rPr>
          <w:rFonts w:hint="default"/>
          <w:lang w:val="en-US" w:eastAsia="zh-CN"/>
        </w:rPr>
      </w:pPr>
      <w:r>
        <w:rPr>
          <w:rFonts w:hint="eastAsia"/>
          <w:lang w:val="en-US" w:eastAsia="zh-CN"/>
        </w:rPr>
        <w:t>3）</w:t>
      </w:r>
      <w:r>
        <w:rPr>
          <w:rFonts w:hint="default"/>
          <w:lang w:val="en-US" w:eastAsia="zh-CN"/>
        </w:rPr>
        <w:t>拍打开始宜轻，以后逐渐加重。</w:t>
      </w:r>
    </w:p>
    <w:p w14:paraId="735D4846">
      <w:pPr>
        <w:pStyle w:val="2"/>
        <w:numPr>
          <w:ilvl w:val="0"/>
          <w:numId w:val="0"/>
        </w:numPr>
        <w:spacing w:before="179" w:line="291" w:lineRule="auto"/>
        <w:ind w:right="87" w:rightChars="0" w:firstLine="480" w:firstLineChars="200"/>
        <w:rPr>
          <w:rFonts w:hint="default"/>
          <w:lang w:val="en-US" w:eastAsia="zh-CN"/>
        </w:rPr>
      </w:pPr>
      <w:r>
        <w:rPr>
          <w:rFonts w:hint="eastAsia"/>
          <w:lang w:val="en-US" w:eastAsia="zh-CN"/>
        </w:rPr>
        <w:t>4）</w:t>
      </w:r>
      <w:r>
        <w:rPr>
          <w:rFonts w:hint="default"/>
          <w:lang w:val="en-US" w:eastAsia="zh-CN"/>
        </w:rPr>
        <w:t>对儿童和年老体弱者手法宜轻，对年青体壮者手法宜重。对痹证、痿证和感觉功能迟钝者手法应适当加重。肩部、背部和腰部宜轻拍，骶部要重拍。四肢肌肉丰满处手法宜重，关节及肌肉较薄处手法宜轻。</w:t>
      </w:r>
    </w:p>
    <w:p w14:paraId="38DAE945">
      <w:pPr>
        <w:pStyle w:val="2"/>
        <w:spacing w:before="179" w:line="235" w:lineRule="auto"/>
        <w:ind w:left="499"/>
        <w:outlineLvl w:val="2"/>
        <w:rPr>
          <w:b/>
          <w:bCs/>
          <w:spacing w:val="-3"/>
        </w:rPr>
      </w:pPr>
      <w:r>
        <w:rPr>
          <w:rFonts w:ascii="Times New Roman" w:hAnsi="Times New Roman" w:eastAsia="Times New Roman" w:cs="Times New Roman"/>
          <w:b/>
          <w:bCs/>
          <w:spacing w:val="-3"/>
        </w:rPr>
        <w:t>3</w:t>
      </w:r>
      <w:r>
        <w:rPr>
          <w:b/>
          <w:bCs/>
          <w:spacing w:val="-3"/>
        </w:rPr>
        <w:t>、试验验证的论述</w:t>
      </w:r>
    </w:p>
    <w:p w14:paraId="57E4F9C0">
      <w:pPr>
        <w:pStyle w:val="2"/>
        <w:keepNext w:val="0"/>
        <w:keepLines w:val="0"/>
        <w:pageBreakBefore w:val="0"/>
        <w:widowControl/>
        <w:kinsoku w:val="0"/>
        <w:wordWrap/>
        <w:overflowPunct/>
        <w:topLinePunct w:val="0"/>
        <w:autoSpaceDE w:val="0"/>
        <w:autoSpaceDN w:val="0"/>
        <w:bidi w:val="0"/>
        <w:adjustRightInd w:val="0"/>
        <w:snapToGrid w:val="0"/>
        <w:spacing w:before="179" w:line="291" w:lineRule="auto"/>
        <w:ind w:firstLine="480" w:firstLineChars="200"/>
        <w:textAlignment w:val="baseline"/>
        <w:outlineLvl w:val="9"/>
      </w:pPr>
      <w:r>
        <w:rPr>
          <w:rFonts w:hint="eastAsia"/>
        </w:rPr>
        <w:t>标准中规定的适应症、禁忌症、操作方法及技术参数，主要基于黎医传统理论、起草单位及相关医疗机构长期的临床应用实践和经验总结。</w:t>
      </w:r>
      <w:r>
        <w:rPr>
          <w:rFonts w:hint="eastAsia"/>
          <w:lang w:val="en-US" w:eastAsia="zh-CN"/>
        </w:rPr>
        <w:t>药石</w:t>
      </w:r>
      <w:r>
        <w:rPr>
          <w:rFonts w:hint="eastAsia"/>
        </w:rPr>
        <w:t>疗法在海南地区对于特定病症的应用已积累了一定的实践基础，其疗效和安全性在特定范围内得到了验证。本标准将这些实践经验进行系统总结和规范，为其进一步的安全应用和临床研究提供了基础框架。</w:t>
      </w:r>
    </w:p>
    <w:p w14:paraId="1B32C14C">
      <w:pPr>
        <w:pStyle w:val="2"/>
        <w:spacing w:line="219" w:lineRule="auto"/>
        <w:ind w:left="511"/>
        <w:outlineLvl w:val="1"/>
      </w:pPr>
      <w:bookmarkStart w:id="6" w:name="_Toc15049"/>
      <w:r>
        <w:rPr>
          <w:b/>
          <w:bCs/>
          <w:spacing w:val="-3"/>
        </w:rPr>
        <w:t>（五）标准中如果涉及专利，应有明确的知识产权说明</w:t>
      </w:r>
      <w:bookmarkEnd w:id="6"/>
    </w:p>
    <w:p w14:paraId="4318D41E">
      <w:pPr>
        <w:pStyle w:val="2"/>
        <w:spacing w:before="185" w:line="220" w:lineRule="auto"/>
        <w:ind w:left="508"/>
      </w:pPr>
      <w:r>
        <w:rPr>
          <w:rFonts w:hint="eastAsia"/>
          <w:lang w:val="en-US" w:eastAsia="zh-CN"/>
        </w:rPr>
        <w:t>未涉及专利。</w:t>
      </w:r>
    </w:p>
    <w:p w14:paraId="47FD331C">
      <w:pPr>
        <w:pStyle w:val="2"/>
        <w:spacing w:before="177" w:line="291" w:lineRule="auto"/>
        <w:ind w:left="25" w:right="121" w:firstLine="485"/>
        <w:outlineLvl w:val="1"/>
      </w:pPr>
      <w:bookmarkStart w:id="7" w:name="_Toc28862"/>
      <w:r>
        <w:rPr>
          <w:b/>
          <w:bCs/>
          <w:spacing w:val="1"/>
        </w:rPr>
        <w:t>（六）采用国际标准或国外先进标准的，说明采标程度，以及国内外同类</w:t>
      </w:r>
      <w:r>
        <w:rPr>
          <w:b/>
          <w:bCs/>
          <w:spacing w:val="-3"/>
        </w:rPr>
        <w:t>标准水平的对比情况</w:t>
      </w:r>
      <w:bookmarkEnd w:id="7"/>
    </w:p>
    <w:p w14:paraId="427769AE">
      <w:pPr>
        <w:pStyle w:val="2"/>
        <w:spacing w:before="183" w:line="360" w:lineRule="auto"/>
        <w:ind w:left="24" w:firstLine="503"/>
      </w:pPr>
      <w:r>
        <w:rPr>
          <w:rFonts w:hint="eastAsia"/>
          <w:lang w:val="en-US" w:eastAsia="zh-CN"/>
        </w:rPr>
        <w:t>未采用国际标准或国外先进标准。国内同类标准主要为</w:t>
      </w:r>
      <w:r>
        <w:rPr>
          <w:rFonts w:ascii="宋体" w:hAnsi="宋体" w:eastAsia="宋体" w:cs="宋体"/>
          <w:sz w:val="24"/>
          <w:szCs w:val="24"/>
        </w:rPr>
        <w:t>《中医砭术技术操作规范》</w:t>
      </w:r>
      <w:r>
        <w:rPr>
          <w:rFonts w:hint="eastAsia"/>
          <w:lang w:val="en-US" w:eastAsia="zh-CN"/>
        </w:rPr>
        <w:t>（</w:t>
      </w:r>
      <w:r>
        <w:rPr>
          <w:rFonts w:ascii="宋体" w:hAnsi="宋体" w:eastAsia="宋体" w:cs="宋体"/>
          <w:sz w:val="24"/>
          <w:szCs w:val="24"/>
        </w:rPr>
        <w:t>ZYYXH/T 198-2023</w:t>
      </w:r>
      <w:r>
        <w:rPr>
          <w:rFonts w:hint="eastAsia"/>
          <w:lang w:val="en-US" w:eastAsia="zh-CN"/>
        </w:rPr>
        <w:t>），本标准研制在理论基础、技术细节及适用范围与其有明显差异。</w:t>
      </w:r>
    </w:p>
    <w:p w14:paraId="25D43ACA">
      <w:pPr>
        <w:pStyle w:val="2"/>
        <w:spacing w:before="1" w:line="218" w:lineRule="auto"/>
        <w:ind w:left="511"/>
        <w:outlineLvl w:val="1"/>
      </w:pPr>
      <w:bookmarkStart w:id="8" w:name="_Toc30758"/>
      <w:r>
        <w:rPr>
          <w:b/>
          <w:bCs/>
          <w:spacing w:val="-4"/>
        </w:rPr>
        <w:t>（七）重大分歧意见的处理依据和结果</w:t>
      </w:r>
      <w:bookmarkEnd w:id="8"/>
    </w:p>
    <w:p w14:paraId="17B18262">
      <w:pPr>
        <w:pStyle w:val="2"/>
        <w:spacing w:before="181" w:line="220" w:lineRule="auto"/>
        <w:ind w:left="506"/>
        <w:rPr>
          <w:rFonts w:hint="eastAsia" w:eastAsia="宋体"/>
          <w:lang w:eastAsia="zh-CN"/>
        </w:rPr>
      </w:pPr>
      <w:r>
        <w:t>无</w:t>
      </w:r>
      <w:r>
        <w:rPr>
          <w:rFonts w:hint="eastAsia"/>
          <w:lang w:eastAsia="zh-CN"/>
        </w:rPr>
        <w:t>。</w:t>
      </w:r>
    </w:p>
    <w:p w14:paraId="171DDA42">
      <w:pPr>
        <w:pStyle w:val="2"/>
        <w:numPr>
          <w:ilvl w:val="0"/>
          <w:numId w:val="5"/>
        </w:numPr>
        <w:spacing w:before="183" w:line="291" w:lineRule="auto"/>
        <w:ind w:left="30" w:right="27" w:firstLine="480"/>
        <w:outlineLvl w:val="1"/>
        <w:rPr>
          <w:b/>
          <w:bCs/>
          <w:spacing w:val="-7"/>
        </w:rPr>
      </w:pPr>
      <w:bookmarkStart w:id="9" w:name="_Toc5574"/>
      <w:r>
        <w:rPr>
          <w:b/>
          <w:bCs/>
          <w:spacing w:val="-3"/>
        </w:rPr>
        <w:t>贯彻标准的要求和措施建议（包括组织措</w:t>
      </w:r>
      <w:r>
        <w:rPr>
          <w:b/>
          <w:bCs/>
          <w:spacing w:val="-4"/>
        </w:rPr>
        <w:t>施、技术措施、过渡办法、</w:t>
      </w:r>
      <w:r>
        <w:rPr>
          <w:b/>
          <w:bCs/>
          <w:spacing w:val="-7"/>
        </w:rPr>
        <w:t>实施日期等）</w:t>
      </w:r>
      <w:bookmarkEnd w:id="9"/>
    </w:p>
    <w:p w14:paraId="34688931">
      <w:pPr>
        <w:pStyle w:val="2"/>
        <w:spacing w:before="183" w:line="360" w:lineRule="auto"/>
        <w:ind w:left="24" w:firstLine="503"/>
        <w:rPr>
          <w:rFonts w:hint="eastAsia"/>
          <w:lang w:val="en-US" w:eastAsia="zh-CN"/>
        </w:rPr>
      </w:pPr>
      <w:r>
        <w:rPr>
          <w:rFonts w:hint="eastAsia"/>
          <w:lang w:val="en-US" w:eastAsia="zh-CN"/>
        </w:rPr>
        <w:t>1.组织措施：标准颁布后，广东省中医院海南医院负责推广和贯标工作，成立推广领导小组，依托行业主管部门，联合省内中医医疗机构及医药高校，在海南省卫生健康委员会的指导下，组织相关的宣传、培训推广等工作，培训的对象主要为医护人员；培训方式灵活多样，可以为现场培训、视频会议等方式。培训频次和时间可根据卫健委要求进行调整。</w:t>
      </w:r>
    </w:p>
    <w:p w14:paraId="195F8405">
      <w:pPr>
        <w:pStyle w:val="2"/>
        <w:spacing w:before="183" w:line="360" w:lineRule="auto"/>
        <w:ind w:left="24" w:firstLine="503"/>
        <w:rPr>
          <w:rFonts w:hint="eastAsia"/>
          <w:lang w:val="en-US" w:eastAsia="zh-CN"/>
        </w:rPr>
      </w:pPr>
      <w:r>
        <w:rPr>
          <w:rFonts w:hint="eastAsia"/>
          <w:lang w:val="en-US" w:eastAsia="zh-CN"/>
        </w:rPr>
        <w:t>2.技术措施：依托广东省中医院海南医院等单位成立技术指导中心，通过现场指导、技术咨询、学术交流等方式提供技术支持。</w:t>
      </w:r>
    </w:p>
    <w:p w14:paraId="2840AD7C">
      <w:pPr>
        <w:pStyle w:val="2"/>
        <w:spacing w:before="183" w:line="360" w:lineRule="auto"/>
        <w:ind w:left="24" w:firstLine="503"/>
        <w:rPr>
          <w:rFonts w:hint="eastAsia"/>
          <w:lang w:val="en-US" w:eastAsia="zh-CN"/>
        </w:rPr>
      </w:pPr>
      <w:r>
        <w:rPr>
          <w:rFonts w:hint="eastAsia"/>
          <w:lang w:val="en-US" w:eastAsia="zh-CN"/>
        </w:rPr>
        <w:t>3.监督检查：由省级相关部门成立监督检查小组，通过定期检查、随机抽查、数据分析评估等方式，对标准的实施情况进行监督。</w:t>
      </w:r>
    </w:p>
    <w:p w14:paraId="1FFD018D">
      <w:pPr>
        <w:pStyle w:val="2"/>
        <w:spacing w:before="183" w:line="360" w:lineRule="auto"/>
        <w:ind w:left="24" w:firstLine="503"/>
        <w:rPr>
          <w:rFonts w:hint="eastAsia"/>
          <w:lang w:val="en-US" w:eastAsia="zh-CN"/>
        </w:rPr>
      </w:pPr>
      <w:r>
        <w:rPr>
          <w:rFonts w:hint="eastAsia"/>
          <w:lang w:val="en-US" w:eastAsia="zh-CN"/>
        </w:rPr>
        <w:t>4.实施日期：建议自标准发布之日起实施，最终由海南省卫生健康委员会及相关主管部门商议决定。</w:t>
      </w:r>
    </w:p>
    <w:p w14:paraId="44B6D463">
      <w:pPr>
        <w:pStyle w:val="2"/>
        <w:numPr>
          <w:ilvl w:val="0"/>
          <w:numId w:val="5"/>
        </w:numPr>
        <w:spacing w:before="1" w:line="360" w:lineRule="auto"/>
        <w:ind w:left="30" w:leftChars="0" w:firstLine="480" w:firstLineChars="0"/>
        <w:outlineLvl w:val="1"/>
        <w:rPr>
          <w:b/>
          <w:bCs/>
          <w:spacing w:val="-7"/>
        </w:rPr>
      </w:pPr>
      <w:bookmarkStart w:id="10" w:name="_Toc21071"/>
      <w:r>
        <w:rPr>
          <w:b/>
          <w:bCs/>
          <w:spacing w:val="-7"/>
        </w:rPr>
        <w:t>预期效果</w:t>
      </w:r>
      <w:bookmarkEnd w:id="10"/>
    </w:p>
    <w:p w14:paraId="1C66547C">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left="0" w:leftChars="0" w:firstLine="480" w:firstLineChars="200"/>
        <w:textAlignment w:val="baseline"/>
        <w:outlineLvl w:val="9"/>
        <w:rPr>
          <w:b w:val="0"/>
          <w:bCs w:val="0"/>
          <w:spacing w:val="-7"/>
        </w:rPr>
      </w:pPr>
      <w:r>
        <w:rPr>
          <w:rFonts w:hint="eastAsia"/>
          <w:lang w:val="en-US" w:eastAsia="zh-CN"/>
        </w:rPr>
        <w:t>本规范可统一全省黎医药石疗法操作，提升治疗效果的一致性和可重复性，通过明确操作规范、禁忌症和注意事项最大限度降低治疗风险、保障患者安全，同时为黎医药石疗法的传承、教学培训和学术研究提供权威规范文本，带动黎药石疗工具研发、健康服务、康养旅游等相关产业链发展、提升产业价值，</w:t>
      </w:r>
      <w:r>
        <w:rPr>
          <w:rFonts w:hint="eastAsia"/>
          <w:b w:val="0"/>
          <w:bCs w:val="0"/>
          <w:spacing w:val="-7"/>
        </w:rPr>
        <w:t>并系统梳理和固化黎族传统药石疗法知识，促进非物质文化遗产的保护与传承。</w:t>
      </w:r>
    </w:p>
    <w:p w14:paraId="3A581053">
      <w:pPr>
        <w:pStyle w:val="2"/>
        <w:spacing w:before="122" w:line="220" w:lineRule="auto"/>
        <w:ind w:left="511"/>
        <w:outlineLvl w:val="1"/>
      </w:pPr>
      <w:bookmarkStart w:id="11" w:name="_Toc2472"/>
      <w:r>
        <w:rPr>
          <w:b/>
          <w:bCs/>
          <w:spacing w:val="-5"/>
        </w:rPr>
        <w:t>（十）其他应予说明的事项</w:t>
      </w:r>
      <w:bookmarkEnd w:id="11"/>
    </w:p>
    <w:p w14:paraId="3F9932EC">
      <w:pPr>
        <w:pStyle w:val="2"/>
        <w:spacing w:before="184" w:line="220" w:lineRule="auto"/>
        <w:ind w:left="506"/>
        <w:rPr>
          <w:rFonts w:hint="eastAsia" w:eastAsia="宋体"/>
          <w:lang w:val="en-US" w:eastAsia="zh-CN"/>
        </w:rPr>
      </w:pPr>
      <w:r>
        <w:rPr>
          <w:rFonts w:hint="eastAsia"/>
          <w:lang w:val="en-US" w:eastAsia="zh-CN"/>
        </w:rPr>
        <w:t>无。</w:t>
      </w:r>
    </w:p>
    <w:sectPr>
      <w:footerReference r:id="rId7" w:type="default"/>
      <w:pgSz w:w="11905" w:h="16840"/>
      <w:pgMar w:top="1431" w:right="1785" w:bottom="1255" w:left="1785" w:header="0" w:footer="1052"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D48605-95A5-404A-B380-755E77835F3E}"/>
  </w:font>
  <w:font w:name="黑体">
    <w:panose1 w:val="02010609060101010101"/>
    <w:charset w:val="86"/>
    <w:family w:val="auto"/>
    <w:pitch w:val="default"/>
    <w:sig w:usb0="800002BF" w:usb1="38CF7CFA" w:usb2="00000016" w:usb3="00000000" w:csb0="00040001" w:csb1="00000000"/>
    <w:embedRegular r:id="rId2" w:fontKey="{EBCC8592-B47D-4E65-9E3B-EF8B4363DE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27A948C0-BCA7-45A5-A347-2C6CA4CBEF65}"/>
  </w:font>
  <w:font w:name="方正小标宋简体">
    <w:panose1 w:val="02000000000000000000"/>
    <w:charset w:val="86"/>
    <w:family w:val="script"/>
    <w:pitch w:val="default"/>
    <w:sig w:usb0="00000001" w:usb1="08000000" w:usb2="00000000" w:usb3="00000000" w:csb0="00040000" w:csb1="00000000"/>
    <w:embedRegular r:id="rId4" w:fontKey="{4424AB91-3D25-4E67-9E97-41839EB0D158}"/>
  </w:font>
  <w:font w:name="方正公文小标宋">
    <w:panose1 w:val="02000500000000000000"/>
    <w:charset w:val="86"/>
    <w:family w:val="auto"/>
    <w:pitch w:val="default"/>
    <w:sig w:usb0="A00002BF" w:usb1="38CF7CFA" w:usb2="00000016" w:usb3="00000000" w:csb0="00040001" w:csb1="00000000"/>
    <w:embedRegular r:id="rId5" w:fontKey="{8D0603C2-39E8-4392-9CF4-B4B2E90535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71838">
    <w:pPr>
      <w:pStyle w:val="4"/>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351002">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6351002">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692E7">
    <w:pPr>
      <w:spacing w:line="223" w:lineRule="auto"/>
      <w:ind w:left="4282"/>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29717">
    <w:pPr>
      <w:spacing w:line="223" w:lineRule="auto"/>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E9EB7C">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E9EB7C">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972E49"/>
    <w:multiLevelType w:val="singleLevel"/>
    <w:tmpl w:val="D5972E49"/>
    <w:lvl w:ilvl="0" w:tentative="0">
      <w:start w:val="2"/>
      <w:numFmt w:val="decimal"/>
      <w:suff w:val="nothing"/>
      <w:lvlText w:val="%1."/>
      <w:lvlJc w:val="left"/>
      <w:rPr>
        <w:rFonts w:hint="default"/>
        <w:b/>
        <w:bCs/>
      </w:rPr>
    </w:lvl>
  </w:abstractNum>
  <w:abstractNum w:abstractNumId="1">
    <w:nsid w:val="1E0BD208"/>
    <w:multiLevelType w:val="singleLevel"/>
    <w:tmpl w:val="1E0BD208"/>
    <w:lvl w:ilvl="0" w:tentative="0">
      <w:start w:val="3"/>
      <w:numFmt w:val="decimal"/>
      <w:suff w:val="nothing"/>
      <w:lvlText w:val="%1）"/>
      <w:lvlJc w:val="left"/>
    </w:lvl>
  </w:abstractNum>
  <w:abstractNum w:abstractNumId="2">
    <w:nsid w:val="2C5917C3"/>
    <w:multiLevelType w:val="multilevel"/>
    <w:tmpl w:val="2C5917C3"/>
    <w:lvl w:ilvl="0" w:tentative="0">
      <w:start w:val="1"/>
      <w:numFmt w:val="none"/>
      <w:pStyle w:val="17"/>
      <w:lvlText w:val="%1——"/>
      <w:lvlJc w:val="left"/>
      <w:pPr>
        <w:tabs>
          <w:tab w:val="left" w:pos="851"/>
        </w:tabs>
        <w:ind w:left="851" w:hanging="426"/>
      </w:pPr>
      <w:rPr>
        <w:rFonts w:hint="eastAsia" w:ascii="宋体" w:hAnsi="Times New Roman" w:eastAsia="宋体"/>
        <w:b w:val="0"/>
        <w:i w:val="0"/>
        <w:sz w:val="21"/>
        <w:lang w:val="en-US"/>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3">
    <w:nsid w:val="5E7FD17E"/>
    <w:multiLevelType w:val="singleLevel"/>
    <w:tmpl w:val="5E7FD17E"/>
    <w:lvl w:ilvl="0" w:tentative="0">
      <w:start w:val="8"/>
      <w:numFmt w:val="chineseCounting"/>
      <w:suff w:val="nothing"/>
      <w:lvlText w:val="（%1）"/>
      <w:lvlJc w:val="left"/>
      <w:rPr>
        <w:rFonts w:hint="eastAsia"/>
      </w:r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5"/>
      <w:suff w:val="nothing"/>
      <w:lvlText w:val="%1%2　"/>
      <w:lvlJc w:val="left"/>
      <w:pPr>
        <w:ind w:left="0" w:firstLine="0"/>
      </w:pPr>
      <w:rPr>
        <w:rFonts w:hint="eastAsia" w:ascii="黑体" w:eastAsia="黑体"/>
        <w:b w:val="0"/>
        <w:i w:val="0"/>
        <w:sz w:val="21"/>
      </w:rPr>
    </w:lvl>
    <w:lvl w:ilvl="2" w:tentative="0">
      <w:start w:val="1"/>
      <w:numFmt w:val="decimal"/>
      <w:pStyle w:val="1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9"/>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9839DD"/>
    <w:rsid w:val="01EC3242"/>
    <w:rsid w:val="03366B82"/>
    <w:rsid w:val="05B64463"/>
    <w:rsid w:val="091D61E2"/>
    <w:rsid w:val="21746591"/>
    <w:rsid w:val="24693FF2"/>
    <w:rsid w:val="2E047090"/>
    <w:rsid w:val="2E0833ED"/>
    <w:rsid w:val="35D84AE1"/>
    <w:rsid w:val="39553AED"/>
    <w:rsid w:val="5E226445"/>
    <w:rsid w:val="607F6840"/>
    <w:rsid w:val="6A0111BF"/>
    <w:rsid w:val="6FEC65B0"/>
    <w:rsid w:val="74A6665C"/>
    <w:rsid w:val="7B4C4049"/>
    <w:rsid w:val="7B9727B5"/>
    <w:rsid w:val="7C8B2E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toc 3"/>
    <w:basedOn w:val="1"/>
    <w:next w:val="1"/>
    <w:qFormat/>
    <w:uiPriority w:val="0"/>
    <w:pPr>
      <w:ind w:left="840" w:leftChars="40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toc 1"/>
    <w:basedOn w:val="1"/>
    <w:next w:val="1"/>
    <w:qFormat/>
    <w:uiPriority w:val="0"/>
  </w:style>
  <w:style w:type="paragraph" w:styleId="6">
    <w:name w:val="toc 4"/>
    <w:basedOn w:val="1"/>
    <w:next w:val="1"/>
    <w:qFormat/>
    <w:uiPriority w:val="0"/>
    <w:pPr>
      <w:ind w:left="1260" w:leftChars="600"/>
    </w:pPr>
  </w:style>
  <w:style w:type="paragraph" w:styleId="7">
    <w:name w:val="toc 2"/>
    <w:basedOn w:val="1"/>
    <w:next w:val="1"/>
    <w:qFormat/>
    <w:uiPriority w:val="0"/>
    <w:pPr>
      <w:ind w:left="420" w:leftChars="200"/>
    </w:p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1"/>
      <w:szCs w:val="21"/>
      <w:lang w:val="en-US" w:eastAsia="en-US" w:bidi="ar-SA"/>
    </w:rPr>
  </w:style>
  <w:style w:type="paragraph" w:customStyle="1" w:styleId="12">
    <w:name w:val="标准文件_术语条一"/>
    <w:basedOn w:val="13"/>
    <w:next w:val="16"/>
    <w:qFormat/>
    <w:uiPriority w:val="0"/>
  </w:style>
  <w:style w:type="paragraph" w:customStyle="1" w:styleId="13">
    <w:name w:val="标准文件_一级无标题"/>
    <w:basedOn w:val="14"/>
    <w:qFormat/>
    <w:uiPriority w:val="0"/>
    <w:pPr>
      <w:spacing w:before="0" w:beforeLines="0" w:after="0" w:afterLines="0"/>
      <w:outlineLvl w:val="9"/>
    </w:pPr>
    <w:rPr>
      <w:rFonts w:ascii="宋体" w:eastAsia="宋体"/>
    </w:rPr>
  </w:style>
  <w:style w:type="paragraph" w:customStyle="1" w:styleId="14">
    <w:name w:val="标准文件_一级条标题"/>
    <w:basedOn w:val="15"/>
    <w:next w:val="16"/>
    <w:qFormat/>
    <w:uiPriority w:val="0"/>
    <w:pPr>
      <w:numPr>
        <w:ilvl w:val="2"/>
      </w:numPr>
      <w:spacing w:before="50" w:beforeLines="50" w:after="50" w:afterLines="50"/>
      <w:outlineLvl w:val="1"/>
    </w:pPr>
  </w:style>
  <w:style w:type="paragraph" w:customStyle="1" w:styleId="15">
    <w:name w:val="标准文件_章标题"/>
    <w:next w:val="16"/>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
    <w:name w:val="标准文件_一级项"/>
    <w:qFormat/>
    <w:uiPriority w:val="0"/>
    <w:pPr>
      <w:numPr>
        <w:ilvl w:val="0"/>
        <w:numId w:val="2"/>
      </w:numPr>
    </w:pPr>
    <w:rPr>
      <w:rFonts w:ascii="宋体" w:hAnsi="Times New Roman" w:eastAsia="宋体" w:cs="Times New Roman"/>
      <w:sz w:val="21"/>
      <w:lang w:val="en-US" w:eastAsia="zh-CN" w:bidi="ar-SA"/>
    </w:rPr>
  </w:style>
  <w:style w:type="paragraph" w:customStyle="1" w:styleId="18">
    <w:name w:val="标准文件_二级无标题"/>
    <w:basedOn w:val="19"/>
    <w:qFormat/>
    <w:uiPriority w:val="0"/>
    <w:pPr>
      <w:spacing w:before="0" w:beforeLines="0" w:after="0" w:afterLines="0"/>
      <w:outlineLvl w:val="9"/>
    </w:pPr>
    <w:rPr>
      <w:rFonts w:ascii="宋体" w:eastAsia="宋体"/>
    </w:rPr>
  </w:style>
  <w:style w:type="paragraph" w:customStyle="1" w:styleId="19">
    <w:name w:val="标准文件_二级条标题"/>
    <w:next w:val="16"/>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4987</Words>
  <Characters>5293</Characters>
  <TotalTime>0</TotalTime>
  <ScaleCrop>false</ScaleCrop>
  <LinksUpToDate>false</LinksUpToDate>
  <CharactersWithSpaces>5362</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2026-02-25T08:35:00Z</dcterms:created>
  <dc:creator>aaa</dc:creator>
  <cp:lastModifiedBy>JoJo ke</cp:lastModifiedBy>
  <dcterms:modified xsi:type="dcterms:W3CDTF">2026-02-28T04:11:37Z</dcterms:modified>
  <dc:title>《自动气象站场室防雷技术规范》编制说明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2026-02-27T02:20:15Z</vt:filetime>
  </property>
  <property fmtid="{D5CDD505-2E9C-101B-9397-08002B2CF9AE}" pid="4" name="KSOTemplateDocerSaveRecord">
    <vt:lpwstr>eyJoZGlkIjoiYzYzMjI3MDczMTE2NDQ3YTFmYTYwMmMwOWMwMGRhZDciLCJ1c2VySWQiOiIyNzk2ODUxMTEifQ==</vt:lpwstr>
  </property>
  <property fmtid="{D5CDD505-2E9C-101B-9397-08002B2CF9AE}" pid="5" name="KSOProductBuildVer">
    <vt:lpwstr>2052-12.1.0.25225</vt:lpwstr>
  </property>
  <property fmtid="{D5CDD505-2E9C-101B-9397-08002B2CF9AE}" pid="6" name="ICV">
    <vt:lpwstr>96C9BD968B74487088A1ACFB60F42043_12</vt:lpwstr>
  </property>
</Properties>
</file>