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DAE9">
      <w:pPr>
        <w:spacing w:line="480" w:lineRule="auto"/>
        <w:jc w:val="center"/>
        <w:rPr>
          <w:rFonts w:ascii="仿宋" w:hAnsi="仿宋" w:eastAsia="仿宋"/>
          <w:b/>
          <w:sz w:val="32"/>
          <w:szCs w:val="32"/>
        </w:rPr>
      </w:pPr>
    </w:p>
    <w:p w14:paraId="5A2E0519">
      <w:pPr>
        <w:spacing w:line="480" w:lineRule="auto"/>
        <w:jc w:val="center"/>
        <w:rPr>
          <w:rFonts w:hint="eastAsia" w:ascii="方正小标宋简体" w:eastAsia="方正小标宋简体"/>
          <w:b/>
          <w:sz w:val="52"/>
          <w:szCs w:val="52"/>
        </w:rPr>
      </w:pPr>
    </w:p>
    <w:p w14:paraId="31337490">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8EEDC71">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p>
    <w:p w14:paraId="626B7BFC">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海南省地方标准</w:t>
      </w:r>
    </w:p>
    <w:p w14:paraId="7C276058">
      <w:pPr>
        <w:spacing w:before="55" w:line="239" w:lineRule="auto"/>
        <w:ind w:left="3715" w:right="659" w:hanging="3079"/>
        <w:jc w:val="center"/>
        <w:rPr>
          <w:rFonts w:hint="eastAsia" w:ascii="方正小标宋简体" w:hAnsi="方正小标宋简体" w:eastAsia="方正小标宋简体" w:cs="方正小标宋简体"/>
          <w:spacing w:val="-2"/>
          <w:sz w:val="52"/>
          <w:szCs w:val="52"/>
        </w:rPr>
      </w:pPr>
      <w:r>
        <w:rPr>
          <w:rFonts w:hint="eastAsia" w:ascii="方正小标宋简体" w:hAnsi="方正小标宋简体" w:eastAsia="方正小标宋简体" w:cs="方正小标宋简体"/>
          <w:spacing w:val="-2"/>
          <w:sz w:val="52"/>
          <w:szCs w:val="52"/>
        </w:rPr>
        <w:t>《</w:t>
      </w:r>
      <w:r>
        <w:rPr>
          <w:rFonts w:hint="eastAsia" w:ascii="方正小标宋简体" w:hAnsi="方正小标宋简体" w:eastAsia="方正小标宋简体" w:cs="方正小标宋简体"/>
          <w:spacing w:val="-2"/>
          <w:sz w:val="52"/>
          <w:szCs w:val="52"/>
          <w:lang w:val="en-US" w:eastAsia="zh-CN"/>
        </w:rPr>
        <w:t>黎医疗法操作规范  走蛇罐疗法</w:t>
      </w:r>
      <w:r>
        <w:rPr>
          <w:rFonts w:hint="eastAsia" w:ascii="方正小标宋简体" w:hAnsi="方正小标宋简体" w:eastAsia="方正小标宋简体" w:cs="方正小标宋简体"/>
          <w:spacing w:val="-2"/>
          <w:sz w:val="52"/>
          <w:szCs w:val="52"/>
        </w:rPr>
        <w:t>》</w:t>
      </w:r>
    </w:p>
    <w:p w14:paraId="2508F89D">
      <w:pPr>
        <w:spacing w:before="55" w:line="239" w:lineRule="auto"/>
        <w:ind w:left="3715" w:right="659" w:hanging="3079"/>
        <w:jc w:val="center"/>
        <w:rPr>
          <w:rFonts w:hint="eastAsia" w:ascii="方正公文小标宋" w:hAnsi="方正公文小标宋" w:eastAsia="方正公文小标宋" w:cs="方正公文小标宋"/>
          <w:spacing w:val="-2"/>
          <w:sz w:val="44"/>
          <w:szCs w:val="44"/>
        </w:rPr>
      </w:pPr>
      <w:r>
        <w:rPr>
          <w:rFonts w:hint="eastAsia" w:ascii="方正小标宋简体" w:hAnsi="方正小标宋简体" w:eastAsia="方正小标宋简体" w:cs="方正小标宋简体"/>
          <w:spacing w:val="-2"/>
          <w:sz w:val="52"/>
          <w:szCs w:val="52"/>
        </w:rPr>
        <w:t>编制说明</w:t>
      </w:r>
    </w:p>
    <w:p w14:paraId="4639CBF1">
      <w:pPr>
        <w:spacing w:line="480" w:lineRule="auto"/>
        <w:jc w:val="center"/>
        <w:rPr>
          <w:rFonts w:ascii="仿宋" w:hAnsi="仿宋" w:eastAsia="仿宋"/>
          <w:b/>
          <w:sz w:val="32"/>
          <w:szCs w:val="32"/>
        </w:rPr>
      </w:pPr>
    </w:p>
    <w:p w14:paraId="38B33E9D">
      <w:pPr>
        <w:spacing w:line="480" w:lineRule="auto"/>
        <w:jc w:val="center"/>
        <w:rPr>
          <w:rFonts w:ascii="仿宋" w:hAnsi="仿宋" w:eastAsia="仿宋"/>
          <w:b/>
          <w:sz w:val="32"/>
          <w:szCs w:val="32"/>
        </w:rPr>
      </w:pPr>
    </w:p>
    <w:p w14:paraId="7F524A1E">
      <w:pPr>
        <w:spacing w:line="480" w:lineRule="auto"/>
        <w:jc w:val="center"/>
        <w:rPr>
          <w:rFonts w:ascii="仿宋" w:hAnsi="仿宋" w:eastAsia="仿宋"/>
          <w:b/>
          <w:sz w:val="32"/>
          <w:szCs w:val="32"/>
        </w:rPr>
      </w:pPr>
    </w:p>
    <w:p w14:paraId="6CC9F858">
      <w:pPr>
        <w:spacing w:line="480" w:lineRule="auto"/>
        <w:jc w:val="center"/>
        <w:rPr>
          <w:rFonts w:ascii="仿宋" w:hAnsi="仿宋" w:eastAsia="仿宋"/>
          <w:b/>
          <w:sz w:val="32"/>
          <w:szCs w:val="32"/>
        </w:rPr>
      </w:pPr>
    </w:p>
    <w:p w14:paraId="551BD8B9">
      <w:pPr>
        <w:spacing w:line="480" w:lineRule="auto"/>
        <w:jc w:val="center"/>
        <w:rPr>
          <w:rFonts w:hint="eastAsia" w:ascii="仿宋" w:hAnsi="仿宋" w:eastAsia="仿宋"/>
          <w:b/>
          <w:sz w:val="32"/>
          <w:szCs w:val="32"/>
        </w:rPr>
      </w:pPr>
    </w:p>
    <w:p w14:paraId="6E15ED4B">
      <w:pPr>
        <w:spacing w:line="480" w:lineRule="auto"/>
        <w:rPr>
          <w:rFonts w:hint="eastAsia" w:ascii="仿宋" w:hAnsi="仿宋" w:eastAsia="仿宋"/>
          <w:b/>
          <w:sz w:val="32"/>
          <w:szCs w:val="32"/>
        </w:rPr>
      </w:pPr>
    </w:p>
    <w:p w14:paraId="67D60C78">
      <w:pPr>
        <w:spacing w:line="480" w:lineRule="auto"/>
        <w:rPr>
          <w:rFonts w:hint="eastAsia" w:ascii="仿宋" w:hAnsi="仿宋" w:eastAsia="仿宋"/>
          <w:b/>
          <w:sz w:val="32"/>
          <w:szCs w:val="32"/>
        </w:rPr>
      </w:pPr>
    </w:p>
    <w:p w14:paraId="28B69057">
      <w:pPr>
        <w:spacing w:line="480" w:lineRule="auto"/>
        <w:rPr>
          <w:rFonts w:hint="eastAsia" w:ascii="仿宋" w:hAnsi="仿宋" w:eastAsia="仿宋"/>
          <w:b/>
          <w:sz w:val="32"/>
          <w:szCs w:val="32"/>
        </w:rPr>
      </w:pPr>
    </w:p>
    <w:p w14:paraId="2ED1A156">
      <w:pPr>
        <w:spacing w:line="480" w:lineRule="auto"/>
        <w:jc w:val="center"/>
        <w:rPr>
          <w:rFonts w:hint="eastAsia" w:ascii="方正小标宋简体" w:hAnsi="方正小标宋简体" w:eastAsia="方正小标宋简体" w:cs="方正小标宋简体"/>
          <w:b w:val="0"/>
          <w:bCs/>
          <w:sz w:val="44"/>
          <w:szCs w:val="44"/>
        </w:rPr>
        <w:sectPr>
          <w:footerReference r:id="rId5" w:type="default"/>
          <w:pgSz w:w="11906" w:h="16838"/>
          <w:pgMar w:top="720" w:right="720" w:bottom="720" w:left="720" w:header="851" w:footer="992" w:gutter="0"/>
          <w:cols w:space="720" w:num="1"/>
          <w:docGrid w:type="lines" w:linePitch="312" w:charSpace="0"/>
        </w:sectPr>
      </w:pPr>
      <w:r>
        <w:rPr>
          <w:rFonts w:hint="eastAsia" w:ascii="方正小标宋简体" w:hAnsi="方正小标宋简体" w:eastAsia="方正小标宋简体" w:cs="方正小标宋简体"/>
          <w:b w:val="0"/>
          <w:bCs/>
          <w:sz w:val="44"/>
          <w:szCs w:val="44"/>
        </w:rPr>
        <w:t>2026年1月</w:t>
      </w:r>
    </w:p>
    <w:sdt>
      <w:sdtPr>
        <w:rPr>
          <w:rFonts w:ascii="宋体" w:hAnsi="宋体" w:eastAsia="宋体" w:cs="Arial"/>
          <w:snapToGrid w:val="0"/>
          <w:color w:val="000000"/>
          <w:kern w:val="0"/>
          <w:sz w:val="21"/>
          <w:szCs w:val="21"/>
          <w:lang w:val="en-US" w:eastAsia="en-US" w:bidi="ar-SA"/>
        </w:rPr>
        <w:id w:val="147453473"/>
        <w15:color w:val="DBDBDB"/>
        <w:docPartObj>
          <w:docPartGallery w:val="Table of Contents"/>
          <w:docPartUnique/>
        </w:docPartObj>
      </w:sdtPr>
      <w:sdtEndPr>
        <w:rPr>
          <w:rFonts w:ascii="黑体" w:hAnsi="黑体" w:eastAsia="黑体" w:cs="黑体"/>
          <w:snapToGrid w:val="0"/>
          <w:color w:val="000000"/>
          <w:spacing w:val="-2"/>
          <w:kern w:val="0"/>
          <w:sz w:val="21"/>
          <w:szCs w:val="28"/>
          <w:lang w:val="en-US" w:eastAsia="en-US" w:bidi="ar-SA"/>
        </w:rPr>
      </w:sdtEndPr>
      <w:sdtContent>
        <w:p w14:paraId="0D84E73A">
          <w:pPr>
            <w:spacing w:before="0" w:beforeLines="0" w:after="0" w:afterLines="0" w:line="360" w:lineRule="auto"/>
            <w:ind w:left="0" w:leftChars="0" w:right="0" w:rightChars="0" w:firstLine="0" w:firstLineChars="0"/>
            <w:jc w:val="center"/>
            <w:rPr>
              <w:rFonts w:hint="eastAsia" w:ascii="黑体" w:hAnsi="黑体" w:eastAsia="黑体" w:cs="黑体"/>
              <w:sz w:val="30"/>
              <w:szCs w:val="30"/>
            </w:rPr>
          </w:pPr>
          <w:r>
            <w:rPr>
              <w:rFonts w:hint="eastAsia" w:ascii="方正小标宋简体" w:hAnsi="方正小标宋简体" w:eastAsia="方正小标宋简体" w:cs="方正小标宋简体"/>
              <w:spacing w:val="-2"/>
              <w:sz w:val="52"/>
              <w:szCs w:val="52"/>
              <w:lang w:val="en-US" w:eastAsia="zh-CN"/>
            </w:rPr>
            <w:t>目录</w:t>
          </w:r>
        </w:p>
        <w:p w14:paraId="05AE2E1C">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color w:val="000000"/>
              <w:spacing w:val="-2"/>
              <w:kern w:val="0"/>
              <w:sz w:val="30"/>
              <w:szCs w:val="30"/>
              <w:lang w:val="en-US" w:eastAsia="en-US" w:bidi="ar-SA"/>
            </w:rPr>
            <w:instrText xml:space="preserve">TOC \o "1-2" \h \u </w:instrText>
          </w:r>
          <w:r>
            <w:rPr>
              <w:rFonts w:hint="eastAsia" w:ascii="黑体" w:hAnsi="黑体" w:eastAsia="黑体" w:cs="黑体"/>
              <w:snapToGrid w:val="0"/>
              <w:color w:val="000000"/>
              <w:spacing w:val="-2"/>
              <w:kern w:val="0"/>
              <w:sz w:val="30"/>
              <w:szCs w:val="30"/>
              <w:lang w:val="en-US" w:eastAsia="en-US" w:bidi="ar-SA"/>
            </w:rPr>
            <w:fldChar w:fldCharType="separate"/>
          </w: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_Toc20607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一、项目简况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_Toc20607 \h </w:instrText>
          </w:r>
          <w:r>
            <w:rPr>
              <w:rFonts w:hint="eastAsia" w:ascii="黑体" w:hAnsi="黑体" w:eastAsia="黑体" w:cs="黑体"/>
              <w:sz w:val="30"/>
              <w:szCs w:val="30"/>
            </w:rPr>
            <w:fldChar w:fldCharType="separate"/>
          </w:r>
          <w:r>
            <w:rPr>
              <w:rFonts w:hint="eastAsia" w:ascii="黑体" w:hAnsi="黑体" w:eastAsia="黑体" w:cs="黑体"/>
              <w:sz w:val="30"/>
              <w:szCs w:val="30"/>
            </w:rPr>
            <w:t>4</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42A3DFC2">
          <w:pPr>
            <w:pStyle w:val="5"/>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_Toc1389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spacing w:val="-1"/>
              <w:sz w:val="30"/>
              <w:szCs w:val="30"/>
            </w:rPr>
            <w:t>二、编制情况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_Toc1389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426B41A9">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_Toc24269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（一）编制标准的必要性和意义及背景</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_Toc24269 \h </w:instrText>
          </w:r>
          <w:r>
            <w:rPr>
              <w:rFonts w:hint="eastAsia" w:ascii="黑体" w:hAnsi="黑体" w:eastAsia="黑体" w:cs="黑体"/>
              <w:sz w:val="30"/>
              <w:szCs w:val="30"/>
            </w:rPr>
            <w:fldChar w:fldCharType="separate"/>
          </w:r>
          <w:r>
            <w:rPr>
              <w:rFonts w:hint="eastAsia" w:ascii="黑体" w:hAnsi="黑体" w:eastAsia="黑体" w:cs="黑体"/>
              <w:sz w:val="30"/>
              <w:szCs w:val="30"/>
            </w:rPr>
            <w:t>5</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7670E5D">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_Toc16674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5"/>
              <w:sz w:val="30"/>
              <w:szCs w:val="30"/>
            </w:rPr>
            <w:t>（二）编制过程简介</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_Toc16674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176DAB5B">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_Toc2549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2"/>
              <w:sz w:val="30"/>
              <w:szCs w:val="30"/>
            </w:rPr>
            <w:t>（三）制定标准的原则和依据，与现行法律法</w:t>
          </w:r>
          <w:r>
            <w:rPr>
              <w:rFonts w:hint="eastAsia" w:ascii="黑体" w:hAnsi="黑体" w:eastAsia="黑体" w:cs="黑体"/>
              <w:bCs/>
              <w:spacing w:val="-3"/>
              <w:sz w:val="30"/>
              <w:szCs w:val="30"/>
            </w:rPr>
            <w:t>规、标准的关系</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_Toc2549 \h </w:instrText>
          </w:r>
          <w:r>
            <w:rPr>
              <w:rFonts w:hint="eastAsia" w:ascii="黑体" w:hAnsi="黑体" w:eastAsia="黑体" w:cs="黑体"/>
              <w:sz w:val="30"/>
              <w:szCs w:val="30"/>
            </w:rPr>
            <w:fldChar w:fldCharType="separate"/>
          </w:r>
          <w:r>
            <w:rPr>
              <w:rFonts w:hint="eastAsia" w:ascii="黑体" w:hAnsi="黑体" w:eastAsia="黑体" w:cs="黑体"/>
              <w:sz w:val="30"/>
              <w:szCs w:val="30"/>
            </w:rPr>
            <w:t>7</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3F7EDA8F">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_Toc28281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（四）主要条款的说明，主要技术指标、参数、试验验证的论述</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_Toc28281 \h </w:instrText>
          </w:r>
          <w:r>
            <w:rPr>
              <w:rFonts w:hint="eastAsia" w:ascii="黑体" w:hAnsi="黑体" w:eastAsia="黑体" w:cs="黑体"/>
              <w:sz w:val="30"/>
              <w:szCs w:val="30"/>
            </w:rPr>
            <w:fldChar w:fldCharType="separate"/>
          </w:r>
          <w:r>
            <w:rPr>
              <w:rFonts w:hint="eastAsia" w:ascii="黑体" w:hAnsi="黑体" w:eastAsia="黑体" w:cs="黑体"/>
              <w:sz w:val="30"/>
              <w:szCs w:val="30"/>
            </w:rPr>
            <w:t>8</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77E7BBE3">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_Toc6307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3"/>
              <w:sz w:val="30"/>
              <w:szCs w:val="30"/>
            </w:rPr>
            <w:t>（五）标准中如果涉及专利，应有明确的知识产权说明</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_Toc6307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0C1D9340">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_Toc5359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1"/>
              <w:sz w:val="30"/>
              <w:szCs w:val="30"/>
            </w:rPr>
            <w:t>（六）采用国际标准或国外先进标准的，说明采标程度，以及国内外同类</w:t>
          </w:r>
          <w:r>
            <w:rPr>
              <w:rFonts w:hint="eastAsia" w:ascii="黑体" w:hAnsi="黑体" w:eastAsia="黑体" w:cs="黑体"/>
              <w:bCs/>
              <w:spacing w:val="-3"/>
              <w:sz w:val="30"/>
              <w:szCs w:val="30"/>
            </w:rPr>
            <w:t>标准水平的对比情况</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_Toc5359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6574276C">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_Toc27105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4"/>
              <w:sz w:val="30"/>
              <w:szCs w:val="30"/>
            </w:rPr>
            <w:t>（七）重大分歧意见的处理依据和结果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_Toc27105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277CF3A">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_Toc7930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（八）</w:t>
          </w:r>
          <w:r>
            <w:rPr>
              <w:rFonts w:hint="eastAsia" w:ascii="黑体" w:hAnsi="黑体" w:eastAsia="黑体" w:cs="黑体"/>
              <w:bCs/>
              <w:spacing w:val="-3"/>
              <w:sz w:val="30"/>
              <w:szCs w:val="30"/>
            </w:rPr>
            <w:t>贯彻标准的要求和措施建议</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_Toc7930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5466A534">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_Toc28561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（九）预期效果</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_Toc28561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48A2D72F">
          <w:pPr>
            <w:pStyle w:val="7"/>
            <w:tabs>
              <w:tab w:val="right" w:leader="dot" w:pos="8335"/>
            </w:tabs>
            <w:spacing w:line="360" w:lineRule="auto"/>
            <w:rPr>
              <w:rFonts w:hint="eastAsia" w:ascii="黑体" w:hAnsi="黑体" w:eastAsia="黑体" w:cs="黑体"/>
              <w:sz w:val="30"/>
              <w:szCs w:val="30"/>
            </w:rPr>
          </w:pPr>
          <w:r>
            <w:rPr>
              <w:rFonts w:hint="eastAsia" w:ascii="黑体" w:hAnsi="黑体" w:eastAsia="黑体" w:cs="黑体"/>
              <w:snapToGrid w:val="0"/>
              <w:color w:val="000000"/>
              <w:spacing w:val="-2"/>
              <w:kern w:val="0"/>
              <w:sz w:val="30"/>
              <w:szCs w:val="30"/>
              <w:lang w:val="en-US" w:eastAsia="en-US" w:bidi="ar-SA"/>
            </w:rPr>
            <w:fldChar w:fldCharType="begin"/>
          </w:r>
          <w:r>
            <w:rPr>
              <w:rFonts w:hint="eastAsia" w:ascii="黑体" w:hAnsi="黑体" w:eastAsia="黑体" w:cs="黑体"/>
              <w:snapToGrid w:val="0"/>
              <w:spacing w:val="-2"/>
              <w:kern w:val="0"/>
              <w:sz w:val="30"/>
              <w:szCs w:val="30"/>
              <w:lang w:val="en-US" w:eastAsia="en-US" w:bidi="ar-SA"/>
            </w:rPr>
            <w:instrText xml:space="preserve"> HYPERLINK \l _Toc19221 </w:instrText>
          </w:r>
          <w:r>
            <w:rPr>
              <w:rFonts w:hint="eastAsia" w:ascii="黑体" w:hAnsi="黑体" w:eastAsia="黑体" w:cs="黑体"/>
              <w:snapToGrid w:val="0"/>
              <w:spacing w:val="-2"/>
              <w:kern w:val="0"/>
              <w:sz w:val="30"/>
              <w:szCs w:val="30"/>
              <w:lang w:val="en-US" w:eastAsia="en-US" w:bidi="ar-SA"/>
            </w:rPr>
            <w:fldChar w:fldCharType="separate"/>
          </w:r>
          <w:r>
            <w:rPr>
              <w:rFonts w:hint="eastAsia" w:ascii="黑体" w:hAnsi="黑体" w:eastAsia="黑体" w:cs="黑体"/>
              <w:bCs/>
              <w:spacing w:val="-7"/>
              <w:sz w:val="30"/>
              <w:szCs w:val="30"/>
            </w:rPr>
            <w:t>（十）其他应予说明的事项</w:t>
          </w:r>
          <w:r>
            <w:rPr>
              <w:rFonts w:hint="eastAsia" w:ascii="黑体" w:hAnsi="黑体" w:eastAsia="黑体" w:cs="黑体"/>
              <w:sz w:val="30"/>
              <w:szCs w:val="30"/>
            </w:rPr>
            <w:tab/>
          </w: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PAGEREF _Toc19221 \h </w:instrText>
          </w:r>
          <w:r>
            <w:rPr>
              <w:rFonts w:hint="eastAsia" w:ascii="黑体" w:hAnsi="黑体" w:eastAsia="黑体" w:cs="黑体"/>
              <w:sz w:val="30"/>
              <w:szCs w:val="30"/>
            </w:rPr>
            <w:fldChar w:fldCharType="separate"/>
          </w:r>
          <w:r>
            <w:rPr>
              <w:rFonts w:hint="eastAsia" w:ascii="黑体" w:hAnsi="黑体" w:eastAsia="黑体" w:cs="黑体"/>
              <w:sz w:val="30"/>
              <w:szCs w:val="30"/>
            </w:rPr>
            <w:t>10</w:t>
          </w:r>
          <w:r>
            <w:rPr>
              <w:rFonts w:hint="eastAsia" w:ascii="黑体" w:hAnsi="黑体" w:eastAsia="黑体" w:cs="黑体"/>
              <w:sz w:val="30"/>
              <w:szCs w:val="30"/>
            </w:rPr>
            <w:fldChar w:fldCharType="end"/>
          </w:r>
          <w:r>
            <w:rPr>
              <w:rFonts w:hint="eastAsia" w:ascii="黑体" w:hAnsi="黑体" w:eastAsia="黑体" w:cs="黑体"/>
              <w:snapToGrid w:val="0"/>
              <w:color w:val="000000"/>
              <w:spacing w:val="-2"/>
              <w:kern w:val="0"/>
              <w:sz w:val="30"/>
              <w:szCs w:val="30"/>
              <w:lang w:val="en-US" w:eastAsia="en-US" w:bidi="ar-SA"/>
            </w:rPr>
            <w:fldChar w:fldCharType="end"/>
          </w:r>
        </w:p>
        <w:p w14:paraId="2287BF7C">
          <w:pPr>
            <w:spacing w:before="55" w:line="360" w:lineRule="auto"/>
            <w:ind w:left="3715" w:right="659" w:hanging="3079"/>
            <w:jc w:val="center"/>
            <w:rPr>
              <w:rFonts w:ascii="黑体" w:hAnsi="黑体" w:eastAsia="黑体" w:cs="黑体"/>
              <w:snapToGrid w:val="0"/>
              <w:color w:val="000000"/>
              <w:spacing w:val="-2"/>
              <w:kern w:val="0"/>
              <w:sz w:val="21"/>
              <w:szCs w:val="28"/>
              <w:lang w:val="en-US" w:eastAsia="en-US" w:bidi="ar-SA"/>
            </w:rPr>
          </w:pPr>
          <w:r>
            <w:rPr>
              <w:rFonts w:hint="eastAsia" w:ascii="黑体" w:hAnsi="黑体" w:eastAsia="黑体" w:cs="黑体"/>
              <w:snapToGrid w:val="0"/>
              <w:color w:val="000000"/>
              <w:spacing w:val="-2"/>
              <w:kern w:val="0"/>
              <w:sz w:val="30"/>
              <w:szCs w:val="30"/>
              <w:lang w:val="en-US" w:eastAsia="en-US" w:bidi="ar-SA"/>
            </w:rPr>
            <w:fldChar w:fldCharType="end"/>
          </w:r>
        </w:p>
      </w:sdtContent>
    </w:sdt>
    <w:p w14:paraId="40432136">
      <w:pPr>
        <w:spacing w:before="55" w:line="239" w:lineRule="auto"/>
        <w:ind w:left="3715" w:right="659" w:hanging="3079"/>
        <w:jc w:val="center"/>
        <w:rPr>
          <w:rFonts w:ascii="黑体" w:hAnsi="黑体" w:eastAsia="黑体" w:cs="黑体"/>
          <w:snapToGrid w:val="0"/>
          <w:color w:val="000000"/>
          <w:spacing w:val="-2"/>
          <w:kern w:val="0"/>
          <w:sz w:val="21"/>
          <w:szCs w:val="28"/>
          <w:lang w:val="en-US" w:eastAsia="en-US" w:bidi="ar-SA"/>
        </w:rPr>
        <w:sectPr>
          <w:footerReference r:id="rId6" w:type="default"/>
          <w:pgSz w:w="11905" w:h="16840"/>
          <w:pgMar w:top="1431" w:right="1785" w:bottom="1255" w:left="1785" w:header="0" w:footer="1052" w:gutter="0"/>
          <w:pgNumType w:start="1"/>
          <w:cols w:space="720" w:num="1"/>
        </w:sectPr>
      </w:pPr>
    </w:p>
    <w:p w14:paraId="1C035F20">
      <w:pPr>
        <w:spacing w:before="55" w:line="239" w:lineRule="auto"/>
        <w:ind w:left="3715" w:right="659" w:hanging="3079"/>
        <w:jc w:val="center"/>
        <w:rPr>
          <w:rFonts w:ascii="黑体" w:hAnsi="黑体" w:eastAsia="黑体" w:cs="黑体"/>
          <w:spacing w:val="-2"/>
          <w:sz w:val="28"/>
          <w:szCs w:val="28"/>
        </w:rPr>
      </w:pPr>
      <w:r>
        <w:rPr>
          <w:rFonts w:ascii="黑体" w:hAnsi="黑体" w:eastAsia="黑体" w:cs="黑体"/>
          <w:spacing w:val="-2"/>
          <w:sz w:val="28"/>
          <w:szCs w:val="28"/>
        </w:rPr>
        <w:t>海南省地方标准《</w:t>
      </w:r>
      <w:r>
        <w:rPr>
          <w:rFonts w:hint="eastAsia" w:ascii="黑体" w:hAnsi="黑体" w:eastAsia="黑体" w:cs="黑体"/>
          <w:spacing w:val="-2"/>
          <w:sz w:val="28"/>
          <w:szCs w:val="28"/>
          <w:lang w:val="en-US" w:eastAsia="zh-CN"/>
        </w:rPr>
        <w:t>黎医疗法操作规范 走蛇罐疗法</w:t>
      </w:r>
      <w:r>
        <w:rPr>
          <w:rFonts w:ascii="黑体" w:hAnsi="黑体" w:eastAsia="黑体" w:cs="黑体"/>
          <w:spacing w:val="-2"/>
          <w:sz w:val="28"/>
          <w:szCs w:val="28"/>
        </w:rPr>
        <w:t>》</w:t>
      </w:r>
    </w:p>
    <w:p w14:paraId="0EB3A245">
      <w:pPr>
        <w:spacing w:before="55" w:line="239" w:lineRule="auto"/>
        <w:ind w:left="3715" w:right="659" w:hanging="3079"/>
        <w:jc w:val="center"/>
        <w:rPr>
          <w:rFonts w:ascii="黑体" w:hAnsi="黑体" w:eastAsia="黑体" w:cs="黑体"/>
          <w:sz w:val="28"/>
          <w:szCs w:val="28"/>
        </w:rPr>
      </w:pPr>
      <w:r>
        <w:rPr>
          <w:rFonts w:ascii="黑体" w:hAnsi="黑体" w:eastAsia="黑体" w:cs="黑体"/>
          <w:spacing w:val="-2"/>
          <w:sz w:val="28"/>
          <w:szCs w:val="28"/>
        </w:rPr>
        <w:t>（征求意见稿）编制说明</w:t>
      </w:r>
    </w:p>
    <w:p w14:paraId="3942A2DC">
      <w:pPr>
        <w:spacing w:line="330" w:lineRule="auto"/>
        <w:rPr>
          <w:rFonts w:ascii="Arial"/>
          <w:sz w:val="21"/>
        </w:rPr>
      </w:pPr>
    </w:p>
    <w:p w14:paraId="5D137D29">
      <w:pPr>
        <w:spacing w:line="330" w:lineRule="auto"/>
        <w:rPr>
          <w:rFonts w:ascii="Arial"/>
          <w:sz w:val="21"/>
        </w:rPr>
      </w:pPr>
    </w:p>
    <w:p w14:paraId="3B8D9B7B">
      <w:pPr>
        <w:spacing w:before="91" w:line="219" w:lineRule="auto"/>
        <w:ind w:left="130"/>
        <w:outlineLvl w:val="0"/>
        <w:rPr>
          <w:rFonts w:ascii="黑体" w:hAnsi="黑体" w:eastAsia="黑体" w:cs="黑体"/>
          <w:sz w:val="28"/>
          <w:szCs w:val="28"/>
        </w:rPr>
      </w:pPr>
      <w:bookmarkStart w:id="0" w:name="_Toc20607"/>
      <w:r>
        <w:rPr>
          <w:rFonts w:ascii="黑体" w:hAnsi="黑体" w:eastAsia="黑体" w:cs="黑体"/>
          <w:spacing w:val="-1"/>
          <w:sz w:val="28"/>
          <w:szCs w:val="28"/>
        </w:rPr>
        <w:t>一、项目简况</w:t>
      </w:r>
      <w:bookmarkEnd w:id="0"/>
    </w:p>
    <w:p w14:paraId="1C915C8A">
      <w:pPr>
        <w:pStyle w:val="2"/>
        <w:spacing w:before="232" w:line="218" w:lineRule="auto"/>
        <w:ind w:left="611" w:leftChars="0"/>
        <w:outlineLvl w:val="9"/>
      </w:pPr>
      <w:r>
        <w:rPr>
          <w:b/>
          <w:bCs/>
          <w:spacing w:val="-3"/>
        </w:rPr>
        <w:t>（一）标准名称：</w:t>
      </w:r>
      <w:r>
        <w:rPr>
          <w:rFonts w:hint="eastAsia"/>
          <w:b/>
          <w:bCs/>
          <w:spacing w:val="-3"/>
        </w:rPr>
        <w:t>黎医疗法操作规范 走蛇罐疗法</w:t>
      </w:r>
    </w:p>
    <w:p w14:paraId="5DDA34D7">
      <w:pPr>
        <w:pStyle w:val="2"/>
        <w:spacing w:before="181" w:line="233" w:lineRule="auto"/>
        <w:ind w:left="611" w:leftChars="0"/>
        <w:outlineLvl w:val="9"/>
        <w:rPr>
          <w:rFonts w:hint="default" w:ascii="Times New Roman" w:hAnsi="Times New Roman" w:eastAsia="宋体" w:cs="Times New Roman"/>
          <w:lang w:val="en-US" w:eastAsia="zh-CN"/>
        </w:rPr>
      </w:pPr>
      <w:r>
        <w:rPr>
          <w:b/>
          <w:bCs/>
          <w:spacing w:val="-3"/>
        </w:rPr>
        <w:t>（二）任务来源（项目计划号</w:t>
      </w:r>
      <w:r>
        <w:rPr>
          <w:b/>
          <w:bCs/>
          <w:spacing w:val="-44"/>
        </w:rPr>
        <w:t>）：</w:t>
      </w:r>
      <w:r>
        <w:rPr>
          <w:rFonts w:hint="eastAsia"/>
          <w:b/>
          <w:bCs/>
          <w:spacing w:val="-44"/>
          <w:lang w:val="en-US" w:eastAsia="zh-CN"/>
        </w:rPr>
        <w:t>2025-Z88</w:t>
      </w:r>
    </w:p>
    <w:p w14:paraId="2FEE5EAE">
      <w:pPr>
        <w:pStyle w:val="2"/>
        <w:spacing w:before="167" w:line="219" w:lineRule="auto"/>
        <w:ind w:left="611" w:leftChars="0"/>
        <w:outlineLvl w:val="9"/>
      </w:pPr>
      <w:r>
        <w:rPr>
          <w:b/>
          <w:bCs/>
          <w:spacing w:val="-2"/>
        </w:rPr>
        <w:t>（三）起草单位：</w:t>
      </w:r>
      <w:r>
        <w:rPr>
          <w:rFonts w:hint="eastAsia"/>
          <w:b/>
          <w:bCs/>
          <w:spacing w:val="-2"/>
        </w:rPr>
        <w:t>广东省中医院海南医院</w:t>
      </w:r>
    </w:p>
    <w:p w14:paraId="2091CFEF">
      <w:pPr>
        <w:pStyle w:val="2"/>
        <w:spacing w:before="185" w:line="233" w:lineRule="auto"/>
        <w:ind w:left="611" w:leftChars="0"/>
        <w:outlineLvl w:val="9"/>
      </w:pPr>
      <w:r>
        <w:rPr>
          <w:b/>
          <w:bCs/>
          <w:spacing w:val="-3"/>
        </w:rPr>
        <w:t>（四）单位地址：</w:t>
      </w:r>
      <w:r>
        <w:rPr>
          <w:rFonts w:hint="eastAsia"/>
          <w:b/>
          <w:bCs/>
          <w:spacing w:val="-3"/>
        </w:rPr>
        <w:t>海南省海口市椰海大道东19号</w:t>
      </w:r>
    </w:p>
    <w:p w14:paraId="0096DF03">
      <w:pPr>
        <w:pStyle w:val="2"/>
        <w:spacing w:before="162" w:line="220" w:lineRule="auto"/>
        <w:ind w:left="611" w:leftChars="0"/>
        <w:outlineLvl w:val="9"/>
      </w:pPr>
      <w:r>
        <w:rPr>
          <w:b/>
          <w:bCs/>
          <w:spacing w:val="-5"/>
        </w:rPr>
        <w:t>（五）参与起草单位：</w:t>
      </w:r>
      <w:r>
        <w:rPr>
          <w:rFonts w:hint="eastAsia"/>
          <w:b/>
          <w:bCs/>
          <w:spacing w:val="-5"/>
        </w:rPr>
        <w:t>海南医科大学、白沙黎族自治县人民医院、澄迈县人民医院</w:t>
      </w:r>
    </w:p>
    <w:p w14:paraId="67E5B58C">
      <w:pPr>
        <w:pStyle w:val="2"/>
        <w:spacing w:before="185" w:line="220" w:lineRule="auto"/>
        <w:ind w:left="611" w:leftChars="0"/>
        <w:outlineLvl w:val="9"/>
      </w:pPr>
      <w:r>
        <w:rPr>
          <w:b/>
          <w:bCs/>
          <w:spacing w:val="-8"/>
        </w:rPr>
        <w:t>（六）标准起草人：</w:t>
      </w:r>
    </w:p>
    <w:p w14:paraId="49BC8202">
      <w:pPr>
        <w:spacing w:before="179" w:line="220" w:lineRule="auto"/>
        <w:ind w:left="3409"/>
        <w:rPr>
          <w:rFonts w:ascii="黑体" w:hAnsi="黑体" w:eastAsia="黑体" w:cs="黑体"/>
          <w:sz w:val="24"/>
          <w:szCs w:val="24"/>
        </w:rPr>
      </w:pPr>
      <w:r>
        <w:rPr>
          <w:rFonts w:ascii="黑体" w:hAnsi="黑体" w:eastAsia="黑体" w:cs="黑体"/>
          <w:spacing w:val="-5"/>
          <w:sz w:val="24"/>
          <w:szCs w:val="24"/>
        </w:rPr>
        <w:t>表</w:t>
      </w:r>
      <w:r>
        <w:rPr>
          <w:rFonts w:ascii="黑体" w:hAnsi="黑体" w:eastAsia="黑体" w:cs="黑体"/>
          <w:spacing w:val="-33"/>
          <w:sz w:val="24"/>
          <w:szCs w:val="24"/>
        </w:rPr>
        <w:t xml:space="preserve"> </w:t>
      </w:r>
      <w:r>
        <w:rPr>
          <w:rFonts w:ascii="黑体" w:hAnsi="黑体" w:eastAsia="黑体" w:cs="黑体"/>
          <w:spacing w:val="-5"/>
          <w:sz w:val="24"/>
          <w:szCs w:val="24"/>
        </w:rPr>
        <w:t>1 标准起草人</w:t>
      </w:r>
    </w:p>
    <w:p w14:paraId="66077120">
      <w:pPr>
        <w:spacing w:line="70" w:lineRule="exact"/>
      </w:pPr>
    </w:p>
    <w:tbl>
      <w:tblPr>
        <w:tblStyle w:val="10"/>
        <w:tblpPr w:leftFromText="180" w:rightFromText="180" w:vertAnchor="text" w:horzAnchor="page" w:tblpX="1782" w:tblpY="64"/>
        <w:tblOverlap w:val="never"/>
        <w:tblW w:w="85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855"/>
        <w:gridCol w:w="1079"/>
        <w:gridCol w:w="774"/>
        <w:gridCol w:w="1244"/>
        <w:gridCol w:w="2523"/>
        <w:gridCol w:w="1374"/>
      </w:tblGrid>
      <w:tr w14:paraId="32A51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vAlign w:val="center"/>
          </w:tcPr>
          <w:p w14:paraId="5BAEC9EA">
            <w:pPr>
              <w:pStyle w:val="11"/>
              <w:spacing w:before="49" w:line="221" w:lineRule="auto"/>
              <w:ind w:left="112"/>
              <w:jc w:val="center"/>
            </w:pPr>
            <w:r>
              <w:rPr>
                <w:spacing w:val="-2"/>
              </w:rPr>
              <w:t>序号</w:t>
            </w:r>
          </w:p>
        </w:tc>
        <w:tc>
          <w:tcPr>
            <w:tcW w:w="855" w:type="dxa"/>
            <w:vAlign w:val="center"/>
          </w:tcPr>
          <w:p w14:paraId="5E6C3BF3">
            <w:pPr>
              <w:pStyle w:val="11"/>
              <w:spacing w:before="49" w:line="220" w:lineRule="auto"/>
              <w:ind w:left="108"/>
              <w:jc w:val="center"/>
            </w:pPr>
            <w:r>
              <w:rPr>
                <w:spacing w:val="-3"/>
              </w:rPr>
              <w:t>姓名</w:t>
            </w:r>
          </w:p>
        </w:tc>
        <w:tc>
          <w:tcPr>
            <w:tcW w:w="1079" w:type="dxa"/>
            <w:vAlign w:val="center"/>
          </w:tcPr>
          <w:p w14:paraId="212E15DE">
            <w:pPr>
              <w:pStyle w:val="11"/>
              <w:spacing w:before="49" w:line="220" w:lineRule="auto"/>
              <w:ind w:left="105"/>
              <w:jc w:val="center"/>
            </w:pPr>
            <w:r>
              <w:rPr>
                <w:spacing w:val="-3"/>
              </w:rPr>
              <w:t>单位</w:t>
            </w:r>
          </w:p>
        </w:tc>
        <w:tc>
          <w:tcPr>
            <w:tcW w:w="774" w:type="dxa"/>
            <w:vAlign w:val="center"/>
          </w:tcPr>
          <w:p w14:paraId="565ED7F1">
            <w:pPr>
              <w:pStyle w:val="11"/>
              <w:spacing w:before="49" w:line="220" w:lineRule="auto"/>
              <w:ind w:left="111"/>
              <w:jc w:val="center"/>
            </w:pPr>
            <w:r>
              <w:rPr>
                <w:spacing w:val="-3"/>
              </w:rPr>
              <w:t>职务</w:t>
            </w:r>
          </w:p>
        </w:tc>
        <w:tc>
          <w:tcPr>
            <w:tcW w:w="1244" w:type="dxa"/>
            <w:vAlign w:val="center"/>
          </w:tcPr>
          <w:p w14:paraId="4FD989CE">
            <w:pPr>
              <w:pStyle w:val="11"/>
              <w:spacing w:before="49" w:line="222" w:lineRule="auto"/>
              <w:ind w:left="107"/>
              <w:jc w:val="center"/>
            </w:pPr>
            <w:r>
              <w:rPr>
                <w:spacing w:val="-3"/>
              </w:rPr>
              <w:t>职称</w:t>
            </w:r>
          </w:p>
        </w:tc>
        <w:tc>
          <w:tcPr>
            <w:tcW w:w="2523" w:type="dxa"/>
            <w:vAlign w:val="center"/>
          </w:tcPr>
          <w:p w14:paraId="2393E54D">
            <w:pPr>
              <w:pStyle w:val="11"/>
              <w:spacing w:before="49" w:line="220" w:lineRule="auto"/>
              <w:ind w:left="112"/>
              <w:jc w:val="center"/>
            </w:pPr>
            <w:r>
              <w:rPr>
                <w:spacing w:val="-2"/>
              </w:rPr>
              <w:t>任务分工</w:t>
            </w:r>
          </w:p>
        </w:tc>
        <w:tc>
          <w:tcPr>
            <w:tcW w:w="1374" w:type="dxa"/>
            <w:vAlign w:val="center"/>
          </w:tcPr>
          <w:p w14:paraId="03AE7F9F">
            <w:pPr>
              <w:pStyle w:val="11"/>
              <w:spacing w:before="49" w:line="221" w:lineRule="auto"/>
              <w:ind w:left="112"/>
              <w:jc w:val="center"/>
            </w:pPr>
            <w:r>
              <w:rPr>
                <w:spacing w:val="-2"/>
              </w:rPr>
              <w:t>联系方式</w:t>
            </w:r>
          </w:p>
        </w:tc>
      </w:tr>
      <w:tr w14:paraId="37F6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80" w:type="dxa"/>
            <w:shd w:val="clear" w:color="auto" w:fill="auto"/>
            <w:vAlign w:val="center"/>
          </w:tcPr>
          <w:p w14:paraId="796325C3">
            <w:pPr>
              <w:spacing w:before="60" w:line="235" w:lineRule="auto"/>
              <w:ind w:left="109"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w:t>
            </w:r>
          </w:p>
        </w:tc>
        <w:tc>
          <w:tcPr>
            <w:tcW w:w="855" w:type="dxa"/>
            <w:vAlign w:val="center"/>
          </w:tcPr>
          <w:p w14:paraId="5D9FF773">
            <w:pPr>
              <w:pStyle w:val="11"/>
              <w:spacing w:before="49" w:line="220" w:lineRule="auto"/>
              <w:ind w:left="108"/>
              <w:jc w:val="center"/>
              <w:rPr>
                <w:rFonts w:hint="eastAsia" w:eastAsia="宋体"/>
                <w:spacing w:val="-3"/>
                <w:lang w:val="en-US" w:eastAsia="zh-CN"/>
              </w:rPr>
            </w:pPr>
            <w:r>
              <w:rPr>
                <w:rFonts w:hint="eastAsia"/>
                <w:spacing w:val="-3"/>
                <w:lang w:val="en-US" w:eastAsia="zh-CN"/>
              </w:rPr>
              <w:t>林天东</w:t>
            </w:r>
          </w:p>
        </w:tc>
        <w:tc>
          <w:tcPr>
            <w:tcW w:w="1079" w:type="dxa"/>
            <w:vAlign w:val="center"/>
          </w:tcPr>
          <w:p w14:paraId="46B4621C">
            <w:pPr>
              <w:pStyle w:val="11"/>
              <w:spacing w:before="60" w:line="219" w:lineRule="auto"/>
              <w:ind w:left="103" w:leftChars="0"/>
              <w:jc w:val="center"/>
              <w:rPr>
                <w:spacing w:val="-3"/>
              </w:rPr>
            </w:pPr>
            <w:r>
              <w:rPr>
                <w:rFonts w:hint="eastAsia"/>
                <w:lang w:val="en-US" w:eastAsia="zh-CN"/>
              </w:rPr>
              <w:t>广东省中医院海南医院</w:t>
            </w:r>
          </w:p>
        </w:tc>
        <w:tc>
          <w:tcPr>
            <w:tcW w:w="774" w:type="dxa"/>
            <w:vAlign w:val="center"/>
          </w:tcPr>
          <w:p w14:paraId="67625943">
            <w:pPr>
              <w:pStyle w:val="11"/>
              <w:spacing w:before="68" w:line="219" w:lineRule="auto"/>
              <w:ind w:left="109" w:leftChars="0"/>
              <w:jc w:val="center"/>
              <w:rPr>
                <w:spacing w:val="-3"/>
              </w:rPr>
            </w:pPr>
            <w:r>
              <w:rPr>
                <w:rFonts w:hint="eastAsia"/>
                <w:lang w:val="en-US" w:eastAsia="zh-CN"/>
              </w:rPr>
              <w:t>/</w:t>
            </w:r>
          </w:p>
        </w:tc>
        <w:tc>
          <w:tcPr>
            <w:tcW w:w="1244" w:type="dxa"/>
            <w:vAlign w:val="center"/>
          </w:tcPr>
          <w:p w14:paraId="48A10063">
            <w:pPr>
              <w:jc w:val="center"/>
              <w:rPr>
                <w:spacing w:val="-3"/>
              </w:rPr>
            </w:pPr>
            <w:r>
              <w:rPr>
                <w:rFonts w:hint="eastAsia" w:eastAsia="宋体"/>
                <w:sz w:val="21"/>
                <w:lang w:val="en-US" w:eastAsia="zh-CN"/>
              </w:rPr>
              <w:t>主任医师</w:t>
            </w:r>
          </w:p>
        </w:tc>
        <w:tc>
          <w:tcPr>
            <w:tcW w:w="2523" w:type="dxa"/>
            <w:vAlign w:val="center"/>
          </w:tcPr>
          <w:p w14:paraId="27D86003">
            <w:pPr>
              <w:pStyle w:val="11"/>
              <w:spacing w:before="68" w:line="220" w:lineRule="auto"/>
              <w:ind w:left="114" w:leftChars="0"/>
              <w:jc w:val="center"/>
              <w:rPr>
                <w:spacing w:val="-2"/>
              </w:rPr>
            </w:pPr>
            <w:r>
              <w:rPr>
                <w:rFonts w:hint="eastAsia"/>
                <w:lang w:val="en-US" w:eastAsia="zh-CN"/>
              </w:rPr>
              <w:t>标准编写方案技术指导</w:t>
            </w:r>
          </w:p>
        </w:tc>
        <w:tc>
          <w:tcPr>
            <w:tcW w:w="1374" w:type="dxa"/>
            <w:vAlign w:val="center"/>
          </w:tcPr>
          <w:p w14:paraId="5E0FD4BF">
            <w:pPr>
              <w:pStyle w:val="11"/>
              <w:spacing w:before="49" w:line="221" w:lineRule="auto"/>
              <w:ind w:left="112"/>
              <w:jc w:val="center"/>
              <w:rPr>
                <w:spacing w:val="-2"/>
              </w:rPr>
            </w:pPr>
            <w:r>
              <w:rPr>
                <w:rFonts w:hint="eastAsia"/>
                <w:spacing w:val="-2"/>
              </w:rPr>
              <w:t>18689920201</w:t>
            </w:r>
          </w:p>
        </w:tc>
      </w:tr>
      <w:tr w14:paraId="1733C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680" w:type="dxa"/>
            <w:shd w:val="clear" w:color="auto" w:fill="auto"/>
            <w:vAlign w:val="center"/>
          </w:tcPr>
          <w:p w14:paraId="148E31C2">
            <w:pPr>
              <w:spacing w:before="240" w:line="232" w:lineRule="auto"/>
              <w:ind w:left="114"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2</w:t>
            </w:r>
          </w:p>
        </w:tc>
        <w:tc>
          <w:tcPr>
            <w:tcW w:w="855" w:type="dxa"/>
            <w:vAlign w:val="center"/>
          </w:tcPr>
          <w:p w14:paraId="37E59234">
            <w:pPr>
              <w:pStyle w:val="11"/>
              <w:spacing w:before="68" w:line="220" w:lineRule="auto"/>
              <w:ind w:left="109"/>
              <w:jc w:val="center"/>
            </w:pPr>
            <w:r>
              <w:rPr>
                <w:rFonts w:hint="eastAsia"/>
                <w:highlight w:val="none"/>
              </w:rPr>
              <w:t>蔡敏</w:t>
            </w:r>
          </w:p>
        </w:tc>
        <w:tc>
          <w:tcPr>
            <w:tcW w:w="1079" w:type="dxa"/>
            <w:vAlign w:val="center"/>
          </w:tcPr>
          <w:p w14:paraId="30C790AD">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32C5878">
            <w:pPr>
              <w:pStyle w:val="11"/>
              <w:spacing w:before="68" w:line="219" w:lineRule="auto"/>
              <w:ind w:left="109" w:leftChars="0"/>
              <w:jc w:val="center"/>
              <w:rPr>
                <w:rFonts w:hint="default" w:eastAsia="宋体"/>
                <w:lang w:val="en-US" w:eastAsia="zh-CN"/>
              </w:rPr>
            </w:pPr>
            <w:r>
              <w:rPr>
                <w:rFonts w:hint="eastAsia"/>
                <w:lang w:val="en-US" w:eastAsia="zh-CN"/>
              </w:rPr>
              <w:t>党委书记</w:t>
            </w:r>
          </w:p>
        </w:tc>
        <w:tc>
          <w:tcPr>
            <w:tcW w:w="1244" w:type="dxa"/>
            <w:vAlign w:val="center"/>
          </w:tcPr>
          <w:p w14:paraId="236E1DE7">
            <w:pPr>
              <w:jc w:val="center"/>
              <w:rPr>
                <w:rFonts w:ascii="Arial"/>
                <w:sz w:val="21"/>
              </w:rPr>
            </w:pPr>
            <w:r>
              <w:rPr>
                <w:rFonts w:hint="eastAsia" w:eastAsia="宋体"/>
                <w:sz w:val="21"/>
                <w:lang w:val="en-US" w:eastAsia="zh-CN"/>
              </w:rPr>
              <w:t>主任医师</w:t>
            </w:r>
          </w:p>
        </w:tc>
        <w:tc>
          <w:tcPr>
            <w:tcW w:w="2523" w:type="dxa"/>
            <w:vAlign w:val="center"/>
          </w:tcPr>
          <w:p w14:paraId="040B75D7">
            <w:pPr>
              <w:pStyle w:val="11"/>
              <w:spacing w:before="68" w:line="220" w:lineRule="auto"/>
              <w:ind w:left="114" w:leftChars="0"/>
              <w:jc w:val="center"/>
            </w:pPr>
            <w:r>
              <w:rPr>
                <w:rFonts w:hint="eastAsia"/>
                <w:lang w:val="en-US" w:eastAsia="zh-CN"/>
              </w:rPr>
              <w:t>标准编写方案技术指导</w:t>
            </w:r>
          </w:p>
        </w:tc>
        <w:tc>
          <w:tcPr>
            <w:tcW w:w="1374" w:type="dxa"/>
            <w:vAlign w:val="center"/>
          </w:tcPr>
          <w:p w14:paraId="27498610">
            <w:pPr>
              <w:spacing w:before="60" w:line="232" w:lineRule="auto"/>
              <w:ind w:left="128"/>
              <w:jc w:val="center"/>
              <w:rPr>
                <w:rFonts w:ascii="Times New Roman" w:hAnsi="Times New Roman" w:eastAsia="Times New Roman" w:cs="Times New Roman"/>
                <w:sz w:val="21"/>
                <w:szCs w:val="21"/>
              </w:rPr>
            </w:pPr>
            <w:r>
              <w:rPr>
                <w:rFonts w:hint="eastAsia" w:ascii="Times New Roman" w:hAnsi="Times New Roman" w:eastAsia="Times New Roman" w:cs="Times New Roman"/>
                <w:sz w:val="21"/>
                <w:szCs w:val="21"/>
              </w:rPr>
              <w:t>13807666333</w:t>
            </w:r>
          </w:p>
        </w:tc>
      </w:tr>
      <w:tr w14:paraId="6AA57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80" w:type="dxa"/>
            <w:shd w:val="clear" w:color="auto" w:fill="auto"/>
            <w:vAlign w:val="center"/>
          </w:tcPr>
          <w:p w14:paraId="38A4203C">
            <w:pPr>
              <w:spacing w:before="241" w:line="232" w:lineRule="auto"/>
              <w:ind w:left="115"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3</w:t>
            </w:r>
          </w:p>
        </w:tc>
        <w:tc>
          <w:tcPr>
            <w:tcW w:w="855" w:type="dxa"/>
            <w:vAlign w:val="center"/>
          </w:tcPr>
          <w:p w14:paraId="3655FA4F">
            <w:pPr>
              <w:pStyle w:val="11"/>
              <w:spacing w:before="204" w:line="220" w:lineRule="auto"/>
              <w:ind w:left="113"/>
              <w:jc w:val="center"/>
            </w:pPr>
            <w:r>
              <w:rPr>
                <w:rFonts w:hint="eastAsia"/>
                <w:highlight w:val="none"/>
              </w:rPr>
              <w:t>钟捷东</w:t>
            </w:r>
          </w:p>
        </w:tc>
        <w:tc>
          <w:tcPr>
            <w:tcW w:w="1079" w:type="dxa"/>
            <w:vAlign w:val="center"/>
          </w:tcPr>
          <w:p w14:paraId="45669B4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798744BF">
            <w:pPr>
              <w:pStyle w:val="11"/>
              <w:spacing w:before="68" w:line="219" w:lineRule="auto"/>
              <w:ind w:left="109" w:leftChars="0"/>
              <w:jc w:val="center"/>
              <w:rPr>
                <w:rFonts w:hint="default" w:ascii="Arial" w:eastAsia="宋体"/>
                <w:sz w:val="21"/>
                <w:lang w:val="en-US" w:eastAsia="zh-CN"/>
              </w:rPr>
            </w:pPr>
            <w:r>
              <w:rPr>
                <w:rFonts w:hint="eastAsia" w:ascii="Arial"/>
                <w:sz w:val="21"/>
                <w:lang w:val="en-US" w:eastAsia="zh-CN"/>
              </w:rPr>
              <w:t>黎族医药示范体验中心主任</w:t>
            </w:r>
          </w:p>
        </w:tc>
        <w:tc>
          <w:tcPr>
            <w:tcW w:w="1244" w:type="dxa"/>
            <w:vAlign w:val="center"/>
          </w:tcPr>
          <w:p w14:paraId="646D1916">
            <w:pPr>
              <w:jc w:val="center"/>
            </w:pPr>
            <w:r>
              <w:rPr>
                <w:rFonts w:hint="eastAsia" w:eastAsia="宋体"/>
                <w:sz w:val="21"/>
                <w:lang w:val="en-US" w:eastAsia="zh-CN"/>
              </w:rPr>
              <w:t>副主任医师</w:t>
            </w:r>
          </w:p>
        </w:tc>
        <w:tc>
          <w:tcPr>
            <w:tcW w:w="2523" w:type="dxa"/>
            <w:vAlign w:val="center"/>
          </w:tcPr>
          <w:p w14:paraId="1FB264D9">
            <w:pPr>
              <w:pStyle w:val="11"/>
              <w:spacing w:before="68" w:line="220" w:lineRule="auto"/>
              <w:ind w:left="114" w:leftChars="0"/>
              <w:jc w:val="center"/>
              <w:rPr>
                <w:rFonts w:hint="default"/>
                <w:lang w:val="en-US"/>
              </w:rPr>
            </w:pPr>
            <w:r>
              <w:rPr>
                <w:rFonts w:hint="eastAsia"/>
                <w:lang w:val="en-US" w:eastAsia="zh-CN"/>
              </w:rPr>
              <w:t>标准编写方案设计</w:t>
            </w:r>
          </w:p>
        </w:tc>
        <w:tc>
          <w:tcPr>
            <w:tcW w:w="1374" w:type="dxa"/>
            <w:vAlign w:val="center"/>
          </w:tcPr>
          <w:p w14:paraId="2277183D">
            <w:pPr>
              <w:spacing w:before="239"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13976570016</w:t>
            </w:r>
          </w:p>
        </w:tc>
      </w:tr>
      <w:tr w14:paraId="31760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0" w:type="dxa"/>
            <w:shd w:val="clear" w:color="auto" w:fill="auto"/>
            <w:vAlign w:val="center"/>
          </w:tcPr>
          <w:p w14:paraId="621BFC1C">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4</w:t>
            </w:r>
          </w:p>
        </w:tc>
        <w:tc>
          <w:tcPr>
            <w:tcW w:w="855" w:type="dxa"/>
            <w:vAlign w:val="center"/>
          </w:tcPr>
          <w:p w14:paraId="3CD930F3">
            <w:pPr>
              <w:pStyle w:val="11"/>
              <w:spacing w:before="206" w:line="222" w:lineRule="auto"/>
              <w:ind w:left="113"/>
              <w:jc w:val="center"/>
            </w:pPr>
            <w:r>
              <w:rPr>
                <w:rFonts w:hint="eastAsia"/>
                <w:highlight w:val="none"/>
                <w:shd w:val="clear"/>
              </w:rPr>
              <w:t>胡学军</w:t>
            </w:r>
          </w:p>
        </w:tc>
        <w:tc>
          <w:tcPr>
            <w:tcW w:w="1079" w:type="dxa"/>
            <w:vAlign w:val="center"/>
          </w:tcPr>
          <w:p w14:paraId="7E2CB327">
            <w:pPr>
              <w:pStyle w:val="11"/>
              <w:spacing w:before="60" w:line="219" w:lineRule="auto"/>
              <w:ind w:left="103" w:leftChars="0"/>
              <w:jc w:val="center"/>
            </w:pPr>
            <w:r>
              <w:rPr>
                <w:rFonts w:hint="eastAsia"/>
                <w:lang w:val="en-US" w:eastAsia="zh-CN"/>
              </w:rPr>
              <w:t>广东省中医院海南医院</w:t>
            </w:r>
          </w:p>
        </w:tc>
        <w:tc>
          <w:tcPr>
            <w:tcW w:w="774" w:type="dxa"/>
            <w:vAlign w:val="center"/>
          </w:tcPr>
          <w:p w14:paraId="610A67EE">
            <w:pPr>
              <w:pStyle w:val="11"/>
              <w:spacing w:before="68" w:line="219" w:lineRule="auto"/>
              <w:ind w:left="109" w:leftChars="0"/>
              <w:jc w:val="center"/>
              <w:rPr>
                <w:rFonts w:hint="eastAsia" w:eastAsia="宋体"/>
                <w:lang w:val="en-US" w:eastAsia="zh-CN"/>
              </w:rPr>
            </w:pPr>
            <w:r>
              <w:rPr>
                <w:rFonts w:hint="eastAsia"/>
                <w:lang w:val="en-US" w:eastAsia="zh-CN"/>
              </w:rPr>
              <w:t>院长</w:t>
            </w:r>
          </w:p>
        </w:tc>
        <w:tc>
          <w:tcPr>
            <w:tcW w:w="1244" w:type="dxa"/>
            <w:vAlign w:val="center"/>
          </w:tcPr>
          <w:p w14:paraId="2575CADC">
            <w:pPr>
              <w:jc w:val="center"/>
            </w:pPr>
            <w:r>
              <w:rPr>
                <w:rFonts w:hint="eastAsia" w:eastAsia="宋体"/>
                <w:sz w:val="21"/>
                <w:lang w:val="en-US" w:eastAsia="zh-CN"/>
              </w:rPr>
              <w:t>副主任医师</w:t>
            </w:r>
          </w:p>
        </w:tc>
        <w:tc>
          <w:tcPr>
            <w:tcW w:w="2523" w:type="dxa"/>
            <w:vAlign w:val="center"/>
          </w:tcPr>
          <w:p w14:paraId="4A20D02C">
            <w:pPr>
              <w:pStyle w:val="11"/>
              <w:spacing w:before="68" w:line="220" w:lineRule="auto"/>
              <w:ind w:left="114" w:leftChars="0"/>
              <w:jc w:val="center"/>
            </w:pPr>
            <w:r>
              <w:rPr>
                <w:rFonts w:hint="eastAsia"/>
                <w:lang w:val="en-US" w:eastAsia="zh-CN"/>
              </w:rPr>
              <w:t>标准编写方案设计</w:t>
            </w:r>
          </w:p>
        </w:tc>
        <w:tc>
          <w:tcPr>
            <w:tcW w:w="1374" w:type="dxa"/>
            <w:vAlign w:val="center"/>
          </w:tcPr>
          <w:p w14:paraId="1ED81C28">
            <w:pPr>
              <w:spacing w:before="241"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13826112252</w:t>
            </w:r>
          </w:p>
        </w:tc>
      </w:tr>
      <w:tr w14:paraId="0C2F1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14FF492">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5</w:t>
            </w:r>
          </w:p>
        </w:tc>
        <w:tc>
          <w:tcPr>
            <w:tcW w:w="855" w:type="dxa"/>
            <w:vAlign w:val="center"/>
          </w:tcPr>
          <w:p w14:paraId="6C0C9D4D">
            <w:pPr>
              <w:pStyle w:val="11"/>
              <w:spacing w:before="208" w:line="219" w:lineRule="auto"/>
              <w:ind w:left="110"/>
              <w:jc w:val="center"/>
            </w:pPr>
            <w:r>
              <w:rPr>
                <w:rFonts w:hint="eastAsia"/>
                <w:highlight w:val="none"/>
              </w:rPr>
              <w:t>董秀娟</w:t>
            </w:r>
          </w:p>
        </w:tc>
        <w:tc>
          <w:tcPr>
            <w:tcW w:w="1079" w:type="dxa"/>
            <w:vAlign w:val="center"/>
          </w:tcPr>
          <w:p w14:paraId="53E0F7F0">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7FE847A4">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6628D917">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3A259618">
            <w:pPr>
              <w:pStyle w:val="11"/>
              <w:spacing w:before="208" w:line="220" w:lineRule="auto"/>
              <w:ind w:left="115"/>
              <w:jc w:val="center"/>
              <w:rPr>
                <w:rFonts w:hint="default" w:eastAsia="宋体"/>
                <w:lang w:val="en-US" w:eastAsia="zh-CN"/>
              </w:rPr>
            </w:pPr>
            <w:r>
              <w:rPr>
                <w:rFonts w:hint="eastAsia"/>
                <w:lang w:val="en-US" w:eastAsia="zh-CN"/>
              </w:rPr>
              <w:t>标准文本结构设计</w:t>
            </w:r>
          </w:p>
        </w:tc>
        <w:tc>
          <w:tcPr>
            <w:tcW w:w="1374" w:type="dxa"/>
            <w:vAlign w:val="center"/>
          </w:tcPr>
          <w:p w14:paraId="5CB380DF">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18976669955</w:t>
            </w:r>
          </w:p>
        </w:tc>
      </w:tr>
      <w:tr w14:paraId="1EEC6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999336D">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6</w:t>
            </w:r>
          </w:p>
        </w:tc>
        <w:tc>
          <w:tcPr>
            <w:tcW w:w="855" w:type="dxa"/>
            <w:vAlign w:val="center"/>
          </w:tcPr>
          <w:p w14:paraId="7D0D8D33">
            <w:pPr>
              <w:pStyle w:val="11"/>
              <w:spacing w:before="208" w:line="219" w:lineRule="auto"/>
              <w:ind w:left="110"/>
              <w:jc w:val="center"/>
              <w:rPr>
                <w:rFonts w:hint="eastAsia"/>
                <w:highlight w:val="none"/>
              </w:rPr>
            </w:pPr>
            <w:r>
              <w:rPr>
                <w:rFonts w:hint="eastAsia"/>
                <w:highlight w:val="none"/>
                <w:lang w:val="en-US" w:eastAsia="zh-CN"/>
              </w:rPr>
              <w:t>赵帅</w:t>
            </w:r>
          </w:p>
        </w:tc>
        <w:tc>
          <w:tcPr>
            <w:tcW w:w="1079" w:type="dxa"/>
            <w:vAlign w:val="center"/>
          </w:tcPr>
          <w:p w14:paraId="65430BAE">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6F477543">
            <w:pPr>
              <w:jc w:val="center"/>
              <w:rPr>
                <w:rFonts w:hint="eastAsia" w:ascii="Arial" w:eastAsia="宋体"/>
                <w:sz w:val="21"/>
                <w:lang w:val="en-US" w:eastAsia="zh-CN"/>
              </w:rPr>
            </w:pPr>
            <w:r>
              <w:rPr>
                <w:rFonts w:hint="eastAsia" w:eastAsia="宋体"/>
                <w:sz w:val="21"/>
                <w:lang w:val="en-US" w:eastAsia="zh-CN"/>
              </w:rPr>
              <w:t>副院长</w:t>
            </w:r>
          </w:p>
        </w:tc>
        <w:tc>
          <w:tcPr>
            <w:tcW w:w="1244" w:type="dxa"/>
            <w:vAlign w:val="center"/>
          </w:tcPr>
          <w:p w14:paraId="7BBDF58D">
            <w:pPr>
              <w:pStyle w:val="11"/>
              <w:spacing w:before="208" w:line="220" w:lineRule="auto"/>
              <w:jc w:val="center"/>
              <w:rPr>
                <w:rFonts w:hint="default" w:eastAsia="宋体"/>
                <w:lang w:val="en-US" w:eastAsia="zh-CN"/>
              </w:rPr>
            </w:pPr>
            <w:r>
              <w:rPr>
                <w:rFonts w:hint="eastAsia"/>
                <w:lang w:val="en-US" w:eastAsia="zh-CN"/>
              </w:rPr>
              <w:t>副主任医师</w:t>
            </w:r>
          </w:p>
        </w:tc>
        <w:tc>
          <w:tcPr>
            <w:tcW w:w="2523" w:type="dxa"/>
            <w:vAlign w:val="center"/>
          </w:tcPr>
          <w:p w14:paraId="083E6E38">
            <w:pPr>
              <w:pStyle w:val="11"/>
              <w:spacing w:before="208" w:line="220" w:lineRule="auto"/>
              <w:ind w:left="115"/>
              <w:jc w:val="center"/>
            </w:pPr>
            <w:r>
              <w:rPr>
                <w:rFonts w:hint="eastAsia"/>
                <w:lang w:val="en-US" w:eastAsia="zh-CN"/>
              </w:rPr>
              <w:t>标准文本结构设计</w:t>
            </w:r>
          </w:p>
        </w:tc>
        <w:tc>
          <w:tcPr>
            <w:tcW w:w="1374" w:type="dxa"/>
            <w:vAlign w:val="center"/>
          </w:tcPr>
          <w:p w14:paraId="5B08C98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13829772812</w:t>
            </w:r>
          </w:p>
        </w:tc>
      </w:tr>
      <w:tr w14:paraId="25974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43664A15">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7</w:t>
            </w:r>
          </w:p>
        </w:tc>
        <w:tc>
          <w:tcPr>
            <w:tcW w:w="855" w:type="dxa"/>
            <w:vAlign w:val="center"/>
          </w:tcPr>
          <w:p w14:paraId="41064A7F">
            <w:pPr>
              <w:pStyle w:val="11"/>
              <w:spacing w:before="208" w:line="219" w:lineRule="auto"/>
              <w:ind w:left="110"/>
              <w:jc w:val="center"/>
              <w:rPr>
                <w:rFonts w:hint="eastAsia"/>
                <w:highlight w:val="none"/>
              </w:rPr>
            </w:pPr>
            <w:r>
              <w:rPr>
                <w:rFonts w:hint="eastAsia"/>
                <w:highlight w:val="none"/>
              </w:rPr>
              <w:t>柯维华</w:t>
            </w:r>
          </w:p>
        </w:tc>
        <w:tc>
          <w:tcPr>
            <w:tcW w:w="1079" w:type="dxa"/>
            <w:vAlign w:val="center"/>
          </w:tcPr>
          <w:p w14:paraId="4745E334">
            <w:pPr>
              <w:pStyle w:val="11"/>
              <w:spacing w:before="65" w:line="220" w:lineRule="auto"/>
              <w:ind w:left="105"/>
              <w:jc w:val="center"/>
              <w:rPr>
                <w:rFonts w:hint="default" w:eastAsia="宋体"/>
                <w:lang w:val="en-US" w:eastAsia="zh-CN"/>
              </w:rPr>
            </w:pPr>
            <w:r>
              <w:rPr>
                <w:rFonts w:hint="eastAsia"/>
                <w:lang w:val="en-US" w:eastAsia="zh-CN"/>
              </w:rPr>
              <w:t>广东省中医药海南医院</w:t>
            </w:r>
          </w:p>
        </w:tc>
        <w:tc>
          <w:tcPr>
            <w:tcW w:w="774" w:type="dxa"/>
            <w:vAlign w:val="center"/>
          </w:tcPr>
          <w:p w14:paraId="46E394F4">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25357472">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163E9CEF">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1083B4C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13379864369</w:t>
            </w:r>
          </w:p>
        </w:tc>
      </w:tr>
      <w:tr w14:paraId="113F8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B9D2926">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8</w:t>
            </w:r>
          </w:p>
        </w:tc>
        <w:tc>
          <w:tcPr>
            <w:tcW w:w="855" w:type="dxa"/>
            <w:vAlign w:val="center"/>
          </w:tcPr>
          <w:p w14:paraId="0F1367E7">
            <w:pPr>
              <w:pStyle w:val="11"/>
              <w:spacing w:before="208" w:line="219" w:lineRule="auto"/>
              <w:ind w:left="110"/>
              <w:jc w:val="center"/>
              <w:rPr>
                <w:rFonts w:hint="eastAsia"/>
                <w:highlight w:val="none"/>
              </w:rPr>
            </w:pPr>
            <w:r>
              <w:rPr>
                <w:rFonts w:hint="eastAsia"/>
                <w:highlight w:val="none"/>
                <w:lang w:val="en-US" w:eastAsia="zh-CN"/>
              </w:rPr>
              <w:t>张达坤</w:t>
            </w:r>
          </w:p>
        </w:tc>
        <w:tc>
          <w:tcPr>
            <w:tcW w:w="1079" w:type="dxa"/>
            <w:vAlign w:val="center"/>
          </w:tcPr>
          <w:p w14:paraId="70ACD265">
            <w:pPr>
              <w:pStyle w:val="11"/>
              <w:spacing w:before="65" w:line="220" w:lineRule="auto"/>
              <w:ind w:left="105"/>
              <w:jc w:val="center"/>
              <w:rPr>
                <w:rFonts w:hint="default" w:eastAsia="宋体"/>
                <w:lang w:val="en-US" w:eastAsia="zh-CN"/>
              </w:rPr>
            </w:pPr>
            <w:r>
              <w:rPr>
                <w:rFonts w:hint="eastAsia"/>
                <w:lang w:val="en-US" w:eastAsia="zh-CN"/>
              </w:rPr>
              <w:t>广东省中医院海南医院</w:t>
            </w:r>
          </w:p>
        </w:tc>
        <w:tc>
          <w:tcPr>
            <w:tcW w:w="774" w:type="dxa"/>
            <w:vAlign w:val="center"/>
          </w:tcPr>
          <w:p w14:paraId="3535D86E">
            <w:pPr>
              <w:jc w:val="center"/>
              <w:rPr>
                <w:rFonts w:hint="default" w:ascii="Arial" w:eastAsia="宋体"/>
                <w:sz w:val="21"/>
                <w:lang w:val="en-US" w:eastAsia="zh-CN"/>
              </w:rPr>
            </w:pPr>
            <w:r>
              <w:rPr>
                <w:rFonts w:hint="eastAsia" w:eastAsia="宋体"/>
                <w:sz w:val="21"/>
                <w:lang w:val="en-US" w:eastAsia="zh-CN"/>
              </w:rPr>
              <w:t>肝病科主任</w:t>
            </w:r>
          </w:p>
        </w:tc>
        <w:tc>
          <w:tcPr>
            <w:tcW w:w="1244" w:type="dxa"/>
            <w:vAlign w:val="center"/>
          </w:tcPr>
          <w:p w14:paraId="11519849">
            <w:pPr>
              <w:pStyle w:val="11"/>
              <w:spacing w:before="208" w:line="220" w:lineRule="auto"/>
              <w:ind w:left="109"/>
              <w:jc w:val="center"/>
              <w:rPr>
                <w:rFonts w:hint="default" w:eastAsia="宋体"/>
                <w:lang w:val="en-US" w:eastAsia="zh-CN"/>
              </w:rPr>
            </w:pPr>
            <w:r>
              <w:rPr>
                <w:rFonts w:hint="eastAsia"/>
                <w:lang w:val="en-US" w:eastAsia="zh-CN"/>
              </w:rPr>
              <w:t>主任医师</w:t>
            </w:r>
          </w:p>
        </w:tc>
        <w:tc>
          <w:tcPr>
            <w:tcW w:w="2523" w:type="dxa"/>
            <w:vAlign w:val="center"/>
          </w:tcPr>
          <w:p w14:paraId="6E65DD6A">
            <w:pPr>
              <w:pStyle w:val="11"/>
              <w:spacing w:before="208" w:line="220" w:lineRule="auto"/>
              <w:ind w:left="115"/>
              <w:jc w:val="center"/>
              <w:rPr>
                <w:rFonts w:hint="default" w:eastAsia="宋体"/>
                <w:lang w:val="en-US" w:eastAsia="zh-CN"/>
              </w:rPr>
            </w:pPr>
            <w:r>
              <w:rPr>
                <w:rFonts w:hint="eastAsia"/>
                <w:lang w:val="en-US" w:eastAsia="zh-CN"/>
              </w:rPr>
              <w:t>标准文本编写</w:t>
            </w:r>
          </w:p>
        </w:tc>
        <w:tc>
          <w:tcPr>
            <w:tcW w:w="1374" w:type="dxa"/>
            <w:vAlign w:val="center"/>
          </w:tcPr>
          <w:p w14:paraId="050D4B8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18976336670</w:t>
            </w:r>
          </w:p>
        </w:tc>
      </w:tr>
      <w:tr w14:paraId="50BF7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0232F07F">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9</w:t>
            </w:r>
          </w:p>
        </w:tc>
        <w:tc>
          <w:tcPr>
            <w:tcW w:w="855" w:type="dxa"/>
            <w:vAlign w:val="center"/>
          </w:tcPr>
          <w:p w14:paraId="7B9BBA22">
            <w:pPr>
              <w:pStyle w:val="11"/>
              <w:spacing w:before="208" w:line="219" w:lineRule="auto"/>
              <w:ind w:left="110"/>
              <w:jc w:val="center"/>
              <w:rPr>
                <w:rFonts w:hint="eastAsia"/>
                <w:highlight w:val="none"/>
                <w:lang w:val="en-US" w:eastAsia="zh-CN"/>
              </w:rPr>
            </w:pPr>
            <w:r>
              <w:rPr>
                <w:rFonts w:hint="eastAsia"/>
                <w:highlight w:val="none"/>
                <w:lang w:val="en-US" w:eastAsia="zh-CN"/>
              </w:rPr>
              <w:t>蔡媛媛</w:t>
            </w:r>
          </w:p>
        </w:tc>
        <w:tc>
          <w:tcPr>
            <w:tcW w:w="1079" w:type="dxa"/>
            <w:vAlign w:val="center"/>
          </w:tcPr>
          <w:p w14:paraId="6D5F15AA">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7DAA2158">
            <w:pPr>
              <w:jc w:val="center"/>
              <w:rPr>
                <w:rFonts w:hint="eastAsia" w:ascii="Arial" w:eastAsia="宋体"/>
                <w:sz w:val="21"/>
                <w:lang w:val="en-US" w:eastAsia="zh-CN"/>
              </w:rPr>
            </w:pPr>
            <w:r>
              <w:rPr>
                <w:rFonts w:hint="eastAsia" w:eastAsia="宋体"/>
                <w:sz w:val="21"/>
                <w:lang w:val="en-US" w:eastAsia="zh-CN"/>
              </w:rPr>
              <w:t>/</w:t>
            </w:r>
          </w:p>
        </w:tc>
        <w:tc>
          <w:tcPr>
            <w:tcW w:w="1244" w:type="dxa"/>
            <w:vAlign w:val="center"/>
          </w:tcPr>
          <w:p w14:paraId="64389D8F">
            <w:pPr>
              <w:pStyle w:val="11"/>
              <w:spacing w:before="208" w:line="220" w:lineRule="auto"/>
              <w:ind w:left="109" w:leftChars="0"/>
              <w:jc w:val="center"/>
            </w:pPr>
            <w:r>
              <w:rPr>
                <w:rFonts w:hint="eastAsia"/>
                <w:lang w:val="en-US" w:eastAsia="zh-CN"/>
              </w:rPr>
              <w:t>主任医师</w:t>
            </w:r>
          </w:p>
        </w:tc>
        <w:tc>
          <w:tcPr>
            <w:tcW w:w="2523" w:type="dxa"/>
            <w:vAlign w:val="center"/>
          </w:tcPr>
          <w:p w14:paraId="49296FD6">
            <w:pPr>
              <w:pStyle w:val="11"/>
              <w:spacing w:before="208" w:line="220" w:lineRule="auto"/>
              <w:ind w:left="115"/>
              <w:jc w:val="center"/>
            </w:pPr>
            <w:r>
              <w:rPr>
                <w:rFonts w:hint="eastAsia"/>
                <w:lang w:val="en-US" w:eastAsia="zh-CN"/>
              </w:rPr>
              <w:t>标准文本编写</w:t>
            </w:r>
          </w:p>
        </w:tc>
        <w:tc>
          <w:tcPr>
            <w:tcW w:w="1374" w:type="dxa"/>
            <w:vAlign w:val="center"/>
          </w:tcPr>
          <w:p w14:paraId="15B1B697">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18089855566</w:t>
            </w:r>
          </w:p>
        </w:tc>
      </w:tr>
      <w:tr w14:paraId="6BD58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1EAC0047">
            <w:pPr>
              <w:spacing w:before="243" w:line="232" w:lineRule="auto"/>
              <w:ind w:left="113" w:leftChars="0"/>
              <w:jc w:val="center"/>
              <w:rPr>
                <w:rFonts w:hint="eastAsia"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10</w:t>
            </w:r>
          </w:p>
        </w:tc>
        <w:tc>
          <w:tcPr>
            <w:tcW w:w="855" w:type="dxa"/>
            <w:vAlign w:val="center"/>
          </w:tcPr>
          <w:p w14:paraId="0C012E3C">
            <w:pPr>
              <w:pStyle w:val="11"/>
              <w:spacing w:before="208" w:line="219" w:lineRule="auto"/>
              <w:ind w:left="110"/>
              <w:jc w:val="center"/>
              <w:rPr>
                <w:rFonts w:hint="eastAsia"/>
                <w:highlight w:val="none"/>
                <w:lang w:val="en-US" w:eastAsia="zh-CN"/>
              </w:rPr>
            </w:pPr>
            <w:r>
              <w:rPr>
                <w:rFonts w:hint="eastAsia"/>
                <w:highlight w:val="none"/>
              </w:rPr>
              <w:t>符照鑫</w:t>
            </w:r>
          </w:p>
        </w:tc>
        <w:tc>
          <w:tcPr>
            <w:tcW w:w="1079" w:type="dxa"/>
            <w:vAlign w:val="center"/>
          </w:tcPr>
          <w:p w14:paraId="23904FF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4544247A">
            <w:pPr>
              <w:jc w:val="center"/>
              <w:rPr>
                <w:rFonts w:hint="default" w:ascii="Arial" w:eastAsia="宋体"/>
                <w:sz w:val="21"/>
                <w:lang w:val="en-US" w:eastAsia="zh-CN"/>
              </w:rPr>
            </w:pPr>
            <w:r>
              <w:rPr>
                <w:rFonts w:hint="eastAsia" w:eastAsia="宋体"/>
                <w:sz w:val="21"/>
                <w:lang w:val="en-US" w:eastAsia="zh-CN"/>
              </w:rPr>
              <w:t>药剂科主任</w:t>
            </w:r>
          </w:p>
        </w:tc>
        <w:tc>
          <w:tcPr>
            <w:tcW w:w="1244" w:type="dxa"/>
            <w:vAlign w:val="center"/>
          </w:tcPr>
          <w:p w14:paraId="4E5EF021">
            <w:pPr>
              <w:pStyle w:val="11"/>
              <w:spacing w:before="208" w:line="220" w:lineRule="auto"/>
              <w:ind w:left="109" w:leftChars="0"/>
              <w:jc w:val="center"/>
            </w:pPr>
            <w:r>
              <w:rPr>
                <w:rFonts w:hint="eastAsia"/>
                <w:lang w:val="en-US" w:eastAsia="zh-CN"/>
              </w:rPr>
              <w:t>主管药师</w:t>
            </w:r>
          </w:p>
        </w:tc>
        <w:tc>
          <w:tcPr>
            <w:tcW w:w="2523" w:type="dxa"/>
            <w:vAlign w:val="center"/>
          </w:tcPr>
          <w:p w14:paraId="3A881AAB">
            <w:pPr>
              <w:pStyle w:val="11"/>
              <w:spacing w:before="208" w:line="220" w:lineRule="auto"/>
              <w:ind w:left="115" w:leftChars="0"/>
              <w:jc w:val="center"/>
              <w:rPr>
                <w:rFonts w:hint="default"/>
                <w:lang w:val="en-US"/>
              </w:rPr>
            </w:pPr>
            <w:r>
              <w:rPr>
                <w:rFonts w:hint="eastAsia"/>
                <w:lang w:val="en-US" w:eastAsia="zh-CN"/>
              </w:rPr>
              <w:t>文献资料搜集整理</w:t>
            </w:r>
          </w:p>
        </w:tc>
        <w:tc>
          <w:tcPr>
            <w:tcW w:w="1374" w:type="dxa"/>
            <w:vAlign w:val="center"/>
          </w:tcPr>
          <w:p w14:paraId="153DE531">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18689675067</w:t>
            </w:r>
          </w:p>
        </w:tc>
      </w:tr>
      <w:tr w14:paraId="6D4D8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C31C798">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11</w:t>
            </w:r>
          </w:p>
        </w:tc>
        <w:tc>
          <w:tcPr>
            <w:tcW w:w="855" w:type="dxa"/>
            <w:vAlign w:val="center"/>
          </w:tcPr>
          <w:p w14:paraId="6CBCBA12">
            <w:pPr>
              <w:pStyle w:val="11"/>
              <w:spacing w:before="208" w:line="219" w:lineRule="auto"/>
              <w:ind w:left="110"/>
              <w:jc w:val="center"/>
              <w:rPr>
                <w:rFonts w:hint="eastAsia"/>
                <w:highlight w:val="none"/>
                <w:lang w:val="en-US" w:eastAsia="zh-CN"/>
              </w:rPr>
            </w:pPr>
            <w:r>
              <w:rPr>
                <w:rFonts w:hint="eastAsia"/>
                <w:highlight w:val="none"/>
              </w:rPr>
              <w:t>王珊</w:t>
            </w:r>
          </w:p>
        </w:tc>
        <w:tc>
          <w:tcPr>
            <w:tcW w:w="1079" w:type="dxa"/>
            <w:vAlign w:val="center"/>
          </w:tcPr>
          <w:p w14:paraId="35545667">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1D109CB">
            <w:pPr>
              <w:jc w:val="center"/>
              <w:rPr>
                <w:rFonts w:ascii="Arial"/>
                <w:sz w:val="21"/>
              </w:rPr>
            </w:pPr>
            <w:r>
              <w:rPr>
                <w:rFonts w:hint="eastAsia" w:eastAsia="宋体"/>
                <w:sz w:val="21"/>
                <w:lang w:val="en-US" w:eastAsia="zh-CN"/>
              </w:rPr>
              <w:t>/</w:t>
            </w:r>
          </w:p>
        </w:tc>
        <w:tc>
          <w:tcPr>
            <w:tcW w:w="1244" w:type="dxa"/>
            <w:vAlign w:val="center"/>
          </w:tcPr>
          <w:p w14:paraId="73A9508B">
            <w:pPr>
              <w:pStyle w:val="11"/>
              <w:spacing w:before="208" w:line="220" w:lineRule="auto"/>
              <w:ind w:left="109" w:leftChars="0"/>
              <w:jc w:val="center"/>
              <w:rPr>
                <w:rFonts w:hint="default"/>
                <w:lang w:val="en-US"/>
              </w:rPr>
            </w:pPr>
            <w:r>
              <w:rPr>
                <w:rFonts w:hint="eastAsia"/>
                <w:lang w:val="en-US" w:eastAsia="zh-CN"/>
              </w:rPr>
              <w:t>主治医师</w:t>
            </w:r>
          </w:p>
        </w:tc>
        <w:tc>
          <w:tcPr>
            <w:tcW w:w="2523" w:type="dxa"/>
            <w:vAlign w:val="center"/>
          </w:tcPr>
          <w:p w14:paraId="5E3882FA">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7599969C">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15595789299</w:t>
            </w:r>
          </w:p>
        </w:tc>
      </w:tr>
      <w:tr w14:paraId="446F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691656D1">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12</w:t>
            </w:r>
          </w:p>
        </w:tc>
        <w:tc>
          <w:tcPr>
            <w:tcW w:w="855" w:type="dxa"/>
            <w:vAlign w:val="center"/>
          </w:tcPr>
          <w:p w14:paraId="0DDC7C0E">
            <w:pPr>
              <w:pStyle w:val="11"/>
              <w:spacing w:before="208" w:line="219" w:lineRule="auto"/>
              <w:ind w:left="110"/>
              <w:jc w:val="center"/>
              <w:rPr>
                <w:rFonts w:hint="eastAsia"/>
                <w:highlight w:val="none"/>
              </w:rPr>
            </w:pPr>
            <w:r>
              <w:rPr>
                <w:rFonts w:hint="eastAsia"/>
                <w:highlight w:val="none"/>
              </w:rPr>
              <w:t>伍小丹</w:t>
            </w:r>
          </w:p>
        </w:tc>
        <w:tc>
          <w:tcPr>
            <w:tcW w:w="1079" w:type="dxa"/>
            <w:vAlign w:val="center"/>
          </w:tcPr>
          <w:p w14:paraId="10A6947C">
            <w:pPr>
              <w:pStyle w:val="11"/>
              <w:spacing w:before="65" w:line="220" w:lineRule="auto"/>
              <w:ind w:left="105" w:leftChars="0"/>
              <w:jc w:val="center"/>
            </w:pPr>
            <w:r>
              <w:rPr>
                <w:rFonts w:hint="eastAsia"/>
                <w:lang w:val="en-US" w:eastAsia="zh-CN"/>
              </w:rPr>
              <w:t>广东省中医院海南医院</w:t>
            </w:r>
          </w:p>
        </w:tc>
        <w:tc>
          <w:tcPr>
            <w:tcW w:w="774" w:type="dxa"/>
            <w:vAlign w:val="center"/>
          </w:tcPr>
          <w:p w14:paraId="6CAA4D0A">
            <w:pPr>
              <w:jc w:val="center"/>
              <w:rPr>
                <w:rFonts w:ascii="Arial"/>
                <w:sz w:val="21"/>
              </w:rPr>
            </w:pPr>
            <w:r>
              <w:rPr>
                <w:rFonts w:hint="eastAsia" w:eastAsia="宋体"/>
                <w:sz w:val="21"/>
                <w:lang w:val="en-US" w:eastAsia="zh-CN"/>
              </w:rPr>
              <w:t>/</w:t>
            </w:r>
          </w:p>
        </w:tc>
        <w:tc>
          <w:tcPr>
            <w:tcW w:w="1244" w:type="dxa"/>
            <w:vAlign w:val="center"/>
          </w:tcPr>
          <w:p w14:paraId="3D544989">
            <w:pPr>
              <w:pStyle w:val="11"/>
              <w:spacing w:before="208" w:line="220" w:lineRule="auto"/>
              <w:ind w:left="109" w:leftChars="0"/>
              <w:jc w:val="center"/>
              <w:rPr>
                <w:rFonts w:hint="eastAsia" w:eastAsia="宋体"/>
                <w:lang w:val="en-US" w:eastAsia="zh-CN"/>
              </w:rPr>
            </w:pPr>
            <w:r>
              <w:rPr>
                <w:rFonts w:hint="eastAsia"/>
                <w:lang w:val="en-US" w:eastAsia="zh-CN"/>
              </w:rPr>
              <w:t>主管护师</w:t>
            </w:r>
          </w:p>
        </w:tc>
        <w:tc>
          <w:tcPr>
            <w:tcW w:w="2523" w:type="dxa"/>
            <w:vAlign w:val="center"/>
          </w:tcPr>
          <w:p w14:paraId="551A7D04">
            <w:pPr>
              <w:pStyle w:val="11"/>
              <w:spacing w:before="208" w:line="220" w:lineRule="auto"/>
              <w:ind w:left="115" w:leftChars="0"/>
              <w:jc w:val="center"/>
            </w:pPr>
            <w:r>
              <w:rPr>
                <w:rFonts w:hint="eastAsia"/>
                <w:lang w:val="en-US" w:eastAsia="zh-CN"/>
              </w:rPr>
              <w:t>文献资料搜集整理</w:t>
            </w:r>
          </w:p>
        </w:tc>
        <w:tc>
          <w:tcPr>
            <w:tcW w:w="1374" w:type="dxa"/>
            <w:vAlign w:val="center"/>
          </w:tcPr>
          <w:p w14:paraId="38ADE8DD">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18976972197</w:t>
            </w:r>
          </w:p>
        </w:tc>
      </w:tr>
      <w:tr w14:paraId="0475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87F2359">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13</w:t>
            </w:r>
          </w:p>
        </w:tc>
        <w:tc>
          <w:tcPr>
            <w:tcW w:w="855" w:type="dxa"/>
            <w:vAlign w:val="center"/>
          </w:tcPr>
          <w:p w14:paraId="03704974">
            <w:pPr>
              <w:pStyle w:val="11"/>
              <w:spacing w:before="208" w:line="219" w:lineRule="auto"/>
              <w:ind w:left="110"/>
              <w:jc w:val="center"/>
              <w:rPr>
                <w:rFonts w:hint="eastAsia"/>
                <w:highlight w:val="none"/>
              </w:rPr>
            </w:pPr>
            <w:r>
              <w:rPr>
                <w:rFonts w:hint="eastAsia"/>
                <w:highlight w:val="none"/>
                <w:shd w:val="clear"/>
              </w:rPr>
              <w:t>赖名殷</w:t>
            </w:r>
          </w:p>
        </w:tc>
        <w:tc>
          <w:tcPr>
            <w:tcW w:w="1079" w:type="dxa"/>
            <w:vAlign w:val="center"/>
          </w:tcPr>
          <w:p w14:paraId="1638C2C2">
            <w:pPr>
              <w:pStyle w:val="11"/>
              <w:spacing w:before="65" w:line="220" w:lineRule="auto"/>
              <w:ind w:left="105"/>
              <w:jc w:val="center"/>
              <w:rPr>
                <w:rFonts w:hint="default" w:eastAsia="宋体"/>
                <w:lang w:val="en-US" w:eastAsia="zh-CN"/>
              </w:rPr>
            </w:pPr>
            <w:r>
              <w:rPr>
                <w:rFonts w:hint="eastAsia"/>
                <w:lang w:val="en-US" w:eastAsia="zh-CN"/>
              </w:rPr>
              <w:t>海南医科大学</w:t>
            </w:r>
          </w:p>
        </w:tc>
        <w:tc>
          <w:tcPr>
            <w:tcW w:w="774" w:type="dxa"/>
            <w:vAlign w:val="center"/>
          </w:tcPr>
          <w:p w14:paraId="0C9BFC0E">
            <w:pPr>
              <w:jc w:val="center"/>
              <w:rPr>
                <w:rFonts w:hint="default" w:ascii="Arial" w:eastAsia="宋体"/>
                <w:sz w:val="21"/>
                <w:lang w:val="en-US" w:eastAsia="zh-CN"/>
              </w:rPr>
            </w:pPr>
            <w:r>
              <w:rPr>
                <w:rFonts w:hint="eastAsia" w:eastAsia="宋体"/>
                <w:sz w:val="21"/>
                <w:lang w:val="en-US" w:eastAsia="zh-CN"/>
              </w:rPr>
              <w:t>/</w:t>
            </w:r>
          </w:p>
        </w:tc>
        <w:tc>
          <w:tcPr>
            <w:tcW w:w="1244" w:type="dxa"/>
            <w:vAlign w:val="center"/>
          </w:tcPr>
          <w:p w14:paraId="39C064FA">
            <w:pPr>
              <w:pStyle w:val="11"/>
              <w:spacing w:before="208" w:line="220" w:lineRule="auto"/>
              <w:ind w:left="109"/>
              <w:jc w:val="center"/>
              <w:rPr>
                <w:rFonts w:hint="default" w:eastAsia="宋体"/>
                <w:lang w:val="en-US" w:eastAsia="zh-CN"/>
              </w:rPr>
            </w:pPr>
            <w:r>
              <w:rPr>
                <w:rFonts w:hint="eastAsia"/>
                <w:lang w:val="en-US" w:eastAsia="zh-CN"/>
              </w:rPr>
              <w:t>讲师</w:t>
            </w:r>
          </w:p>
        </w:tc>
        <w:tc>
          <w:tcPr>
            <w:tcW w:w="2523" w:type="dxa"/>
            <w:vAlign w:val="center"/>
          </w:tcPr>
          <w:p w14:paraId="5C5A62FE">
            <w:pPr>
              <w:pStyle w:val="11"/>
              <w:spacing w:before="208" w:line="220" w:lineRule="auto"/>
              <w:ind w:left="115"/>
              <w:jc w:val="center"/>
            </w:pPr>
            <w:r>
              <w:rPr>
                <w:rFonts w:hint="eastAsia"/>
                <w:lang w:val="en-US" w:eastAsia="zh-CN"/>
              </w:rPr>
              <w:t>文献资料搜集整理</w:t>
            </w:r>
          </w:p>
        </w:tc>
        <w:tc>
          <w:tcPr>
            <w:tcW w:w="1374" w:type="dxa"/>
            <w:vAlign w:val="center"/>
          </w:tcPr>
          <w:p w14:paraId="6D4BC32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13807565666</w:t>
            </w:r>
          </w:p>
        </w:tc>
      </w:tr>
      <w:tr w14:paraId="07B2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29A1494E">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14</w:t>
            </w:r>
          </w:p>
        </w:tc>
        <w:tc>
          <w:tcPr>
            <w:tcW w:w="855" w:type="dxa"/>
            <w:vAlign w:val="center"/>
          </w:tcPr>
          <w:p w14:paraId="02A4BF39">
            <w:pPr>
              <w:pStyle w:val="11"/>
              <w:spacing w:before="208" w:line="219" w:lineRule="auto"/>
              <w:ind w:left="110"/>
              <w:jc w:val="center"/>
              <w:rPr>
                <w:rFonts w:hint="eastAsia"/>
                <w:highlight w:val="none"/>
              </w:rPr>
            </w:pPr>
            <w:r>
              <w:rPr>
                <w:rFonts w:hint="eastAsia"/>
                <w:highlight w:val="none"/>
              </w:rPr>
              <w:t>王开琼</w:t>
            </w:r>
          </w:p>
        </w:tc>
        <w:tc>
          <w:tcPr>
            <w:tcW w:w="1079" w:type="dxa"/>
            <w:vAlign w:val="center"/>
          </w:tcPr>
          <w:p w14:paraId="0D2F0F48">
            <w:pPr>
              <w:pStyle w:val="11"/>
              <w:spacing w:before="65" w:line="220" w:lineRule="auto"/>
              <w:ind w:left="105"/>
              <w:jc w:val="center"/>
              <w:rPr>
                <w:rFonts w:hint="default" w:eastAsia="宋体"/>
                <w:lang w:val="en-US" w:eastAsia="zh-CN"/>
              </w:rPr>
            </w:pPr>
            <w:r>
              <w:rPr>
                <w:rFonts w:hint="eastAsia"/>
                <w:lang w:val="en-US" w:eastAsia="zh-CN"/>
              </w:rPr>
              <w:t>白沙县人民医院</w:t>
            </w:r>
          </w:p>
        </w:tc>
        <w:tc>
          <w:tcPr>
            <w:tcW w:w="774" w:type="dxa"/>
            <w:vAlign w:val="center"/>
          </w:tcPr>
          <w:p w14:paraId="713B51B1">
            <w:pPr>
              <w:jc w:val="center"/>
              <w:rPr>
                <w:rFonts w:hint="eastAsia" w:ascii="Arial" w:eastAsia="宋体"/>
                <w:sz w:val="21"/>
                <w:lang w:val="en-US" w:eastAsia="zh-CN"/>
              </w:rPr>
            </w:pPr>
            <w:r>
              <w:rPr>
                <w:rFonts w:hint="eastAsia" w:eastAsia="宋体"/>
                <w:sz w:val="21"/>
                <w:lang w:val="en-US" w:eastAsia="zh-CN"/>
              </w:rPr>
              <w:t>院长</w:t>
            </w:r>
          </w:p>
        </w:tc>
        <w:tc>
          <w:tcPr>
            <w:tcW w:w="1244" w:type="dxa"/>
            <w:vAlign w:val="center"/>
          </w:tcPr>
          <w:p w14:paraId="1DF7D402">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64CB9CA9">
            <w:pPr>
              <w:pStyle w:val="11"/>
              <w:spacing w:before="208" w:line="220" w:lineRule="auto"/>
              <w:ind w:left="115"/>
              <w:jc w:val="center"/>
            </w:pPr>
            <w:r>
              <w:rPr>
                <w:rFonts w:hint="eastAsia"/>
                <w:lang w:val="en-US" w:eastAsia="zh-CN"/>
              </w:rPr>
              <w:t>标准文本编写</w:t>
            </w:r>
          </w:p>
        </w:tc>
        <w:tc>
          <w:tcPr>
            <w:tcW w:w="1374" w:type="dxa"/>
            <w:vAlign w:val="center"/>
          </w:tcPr>
          <w:p w14:paraId="40C18080">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13389897337</w:t>
            </w:r>
          </w:p>
        </w:tc>
      </w:tr>
      <w:tr w14:paraId="009F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shd w:val="clear" w:color="auto" w:fill="auto"/>
            <w:vAlign w:val="center"/>
          </w:tcPr>
          <w:p w14:paraId="3A6AFE73">
            <w:pPr>
              <w:spacing w:before="243" w:line="232" w:lineRule="auto"/>
              <w:ind w:left="113" w:leftChars="0"/>
              <w:jc w:val="center"/>
              <w:rPr>
                <w:rFonts w:hint="default" w:ascii="Times New Roman" w:hAnsi="Times New Roman" w:eastAsia="宋体" w:cs="Times New Roman"/>
                <w:snapToGrid w:val="0"/>
                <w:color w:val="000000"/>
                <w:kern w:val="0"/>
                <w:sz w:val="21"/>
                <w:szCs w:val="21"/>
                <w:lang w:val="en-US" w:eastAsia="zh-CN" w:bidi="ar-SA"/>
              </w:rPr>
            </w:pPr>
            <w:r>
              <w:rPr>
                <w:rFonts w:hint="eastAsia" w:ascii="Times New Roman" w:hAnsi="Times New Roman" w:eastAsia="宋体" w:cs="Times New Roman"/>
                <w:sz w:val="21"/>
                <w:szCs w:val="21"/>
                <w:lang w:val="en-US" w:eastAsia="zh-CN"/>
              </w:rPr>
              <w:t>15</w:t>
            </w:r>
          </w:p>
        </w:tc>
        <w:tc>
          <w:tcPr>
            <w:tcW w:w="855" w:type="dxa"/>
            <w:vAlign w:val="center"/>
          </w:tcPr>
          <w:p w14:paraId="1936ABB7">
            <w:pPr>
              <w:pStyle w:val="11"/>
              <w:spacing w:before="208" w:line="219" w:lineRule="auto"/>
              <w:ind w:left="110"/>
              <w:jc w:val="center"/>
              <w:rPr>
                <w:rFonts w:hint="eastAsia"/>
                <w:highlight w:val="none"/>
              </w:rPr>
            </w:pPr>
            <w:r>
              <w:rPr>
                <w:rFonts w:hint="eastAsia"/>
                <w:highlight w:val="none"/>
              </w:rPr>
              <w:t>符建人</w:t>
            </w:r>
          </w:p>
        </w:tc>
        <w:tc>
          <w:tcPr>
            <w:tcW w:w="1079" w:type="dxa"/>
            <w:vAlign w:val="center"/>
          </w:tcPr>
          <w:p w14:paraId="35417C85">
            <w:pPr>
              <w:pStyle w:val="11"/>
              <w:spacing w:before="65" w:line="220" w:lineRule="auto"/>
              <w:ind w:left="105"/>
              <w:jc w:val="center"/>
            </w:pPr>
            <w:r>
              <w:rPr>
                <w:rFonts w:hint="eastAsia"/>
                <w:lang w:val="en-US" w:eastAsia="zh-CN"/>
              </w:rPr>
              <w:t>白沙县人民医院</w:t>
            </w:r>
          </w:p>
        </w:tc>
        <w:tc>
          <w:tcPr>
            <w:tcW w:w="774" w:type="dxa"/>
            <w:vAlign w:val="center"/>
          </w:tcPr>
          <w:p w14:paraId="16D01836">
            <w:pPr>
              <w:jc w:val="center"/>
              <w:rPr>
                <w:rFonts w:hint="default" w:ascii="Arial" w:eastAsia="宋体"/>
                <w:sz w:val="21"/>
                <w:lang w:val="en-US" w:eastAsia="zh-CN"/>
              </w:rPr>
            </w:pPr>
            <w:r>
              <w:rPr>
                <w:rFonts w:hint="eastAsia" w:eastAsia="宋体"/>
                <w:sz w:val="21"/>
                <w:lang w:val="en-US" w:eastAsia="zh-CN"/>
              </w:rPr>
              <w:t>黎族医药示范体验中心负责人</w:t>
            </w:r>
          </w:p>
        </w:tc>
        <w:tc>
          <w:tcPr>
            <w:tcW w:w="1244" w:type="dxa"/>
            <w:vAlign w:val="center"/>
          </w:tcPr>
          <w:p w14:paraId="4A9FACB1">
            <w:pPr>
              <w:pStyle w:val="11"/>
              <w:spacing w:before="208" w:line="220" w:lineRule="auto"/>
              <w:ind w:left="109"/>
              <w:jc w:val="center"/>
              <w:rPr>
                <w:rFonts w:hint="eastAsia" w:eastAsia="宋体"/>
                <w:lang w:val="en-US" w:eastAsia="zh-CN"/>
              </w:rPr>
            </w:pPr>
            <w:r>
              <w:rPr>
                <w:rFonts w:hint="eastAsia"/>
                <w:lang w:val="en-US" w:eastAsia="zh-CN"/>
              </w:rPr>
              <w:t>医师</w:t>
            </w:r>
          </w:p>
        </w:tc>
        <w:tc>
          <w:tcPr>
            <w:tcW w:w="2523" w:type="dxa"/>
            <w:vAlign w:val="center"/>
          </w:tcPr>
          <w:p w14:paraId="3F3A90E7">
            <w:pPr>
              <w:pStyle w:val="11"/>
              <w:spacing w:before="208" w:line="220" w:lineRule="auto"/>
              <w:ind w:left="115"/>
              <w:jc w:val="center"/>
            </w:pPr>
            <w:r>
              <w:rPr>
                <w:rFonts w:hint="eastAsia"/>
                <w:lang w:val="en-US" w:eastAsia="zh-CN"/>
              </w:rPr>
              <w:t>标准文本编写</w:t>
            </w:r>
          </w:p>
        </w:tc>
        <w:tc>
          <w:tcPr>
            <w:tcW w:w="1374" w:type="dxa"/>
            <w:vAlign w:val="center"/>
          </w:tcPr>
          <w:p w14:paraId="5B591275">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13976518963</w:t>
            </w:r>
          </w:p>
        </w:tc>
      </w:tr>
      <w:tr w14:paraId="394ED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80" w:type="dxa"/>
            <w:vAlign w:val="center"/>
          </w:tcPr>
          <w:p w14:paraId="22D237D3">
            <w:pPr>
              <w:spacing w:before="243" w:line="232" w:lineRule="auto"/>
              <w:ind w:left="113"/>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w:t>
            </w:r>
          </w:p>
        </w:tc>
        <w:tc>
          <w:tcPr>
            <w:tcW w:w="855" w:type="dxa"/>
            <w:vAlign w:val="center"/>
          </w:tcPr>
          <w:p w14:paraId="40EA2759">
            <w:pPr>
              <w:pStyle w:val="11"/>
              <w:spacing w:before="208" w:line="219" w:lineRule="auto"/>
              <w:ind w:left="110"/>
              <w:jc w:val="center"/>
              <w:rPr>
                <w:rFonts w:hint="eastAsia"/>
                <w:highlight w:val="none"/>
              </w:rPr>
            </w:pPr>
            <w:r>
              <w:rPr>
                <w:rFonts w:hint="eastAsia"/>
                <w:highlight w:val="none"/>
                <w:lang w:val="en-US" w:eastAsia="zh-CN"/>
              </w:rPr>
              <w:t>陈星余</w:t>
            </w:r>
          </w:p>
        </w:tc>
        <w:tc>
          <w:tcPr>
            <w:tcW w:w="1079" w:type="dxa"/>
            <w:vAlign w:val="center"/>
          </w:tcPr>
          <w:p w14:paraId="4C1577C7">
            <w:pPr>
              <w:pStyle w:val="11"/>
              <w:spacing w:before="65" w:line="220" w:lineRule="auto"/>
              <w:ind w:left="105"/>
              <w:jc w:val="center"/>
              <w:rPr>
                <w:rFonts w:hint="default" w:eastAsia="宋体"/>
                <w:lang w:val="en-US" w:eastAsia="zh-CN"/>
              </w:rPr>
            </w:pPr>
            <w:r>
              <w:rPr>
                <w:rFonts w:hint="eastAsia"/>
                <w:lang w:val="en-US" w:eastAsia="zh-CN"/>
              </w:rPr>
              <w:t>澄迈县人民医院</w:t>
            </w:r>
          </w:p>
        </w:tc>
        <w:tc>
          <w:tcPr>
            <w:tcW w:w="774" w:type="dxa"/>
            <w:vAlign w:val="center"/>
          </w:tcPr>
          <w:p w14:paraId="4D6D9DCB">
            <w:pPr>
              <w:jc w:val="center"/>
              <w:rPr>
                <w:rFonts w:hint="default" w:ascii="Arial" w:eastAsia="宋体"/>
                <w:sz w:val="21"/>
                <w:lang w:val="en-US" w:eastAsia="zh-CN"/>
              </w:rPr>
            </w:pPr>
            <w:r>
              <w:rPr>
                <w:rFonts w:hint="eastAsia" w:eastAsia="宋体"/>
                <w:sz w:val="21"/>
                <w:lang w:val="en-US" w:eastAsia="zh-CN"/>
              </w:rPr>
              <w:t>中医科主任</w:t>
            </w:r>
          </w:p>
        </w:tc>
        <w:tc>
          <w:tcPr>
            <w:tcW w:w="1244" w:type="dxa"/>
            <w:vAlign w:val="center"/>
          </w:tcPr>
          <w:p w14:paraId="71CCB54C">
            <w:pPr>
              <w:pStyle w:val="11"/>
              <w:spacing w:before="208" w:line="220" w:lineRule="auto"/>
              <w:ind w:left="109"/>
              <w:jc w:val="center"/>
              <w:rPr>
                <w:rFonts w:hint="default" w:eastAsia="宋体"/>
                <w:lang w:val="en-US" w:eastAsia="zh-CN"/>
              </w:rPr>
            </w:pPr>
            <w:r>
              <w:rPr>
                <w:rFonts w:hint="eastAsia"/>
                <w:lang w:val="en-US" w:eastAsia="zh-CN"/>
              </w:rPr>
              <w:t>副主任医师</w:t>
            </w:r>
          </w:p>
        </w:tc>
        <w:tc>
          <w:tcPr>
            <w:tcW w:w="2523" w:type="dxa"/>
            <w:vAlign w:val="center"/>
          </w:tcPr>
          <w:p w14:paraId="55316213">
            <w:pPr>
              <w:pStyle w:val="11"/>
              <w:spacing w:before="208" w:line="220" w:lineRule="auto"/>
              <w:ind w:left="115"/>
              <w:jc w:val="center"/>
            </w:pPr>
            <w:r>
              <w:rPr>
                <w:rFonts w:hint="eastAsia"/>
                <w:lang w:val="en-US" w:eastAsia="zh-CN"/>
              </w:rPr>
              <w:t>文献资料搜集整理</w:t>
            </w:r>
          </w:p>
        </w:tc>
        <w:tc>
          <w:tcPr>
            <w:tcW w:w="1374" w:type="dxa"/>
            <w:vAlign w:val="center"/>
          </w:tcPr>
          <w:p w14:paraId="1929C6F2">
            <w:pPr>
              <w:spacing w:before="243" w:line="232" w:lineRule="auto"/>
              <w:ind w:left="128"/>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18689602512</w:t>
            </w:r>
          </w:p>
        </w:tc>
      </w:tr>
    </w:tbl>
    <w:p w14:paraId="5C63F375">
      <w:pPr>
        <w:spacing w:before="175" w:line="218" w:lineRule="auto"/>
        <w:ind w:left="130"/>
        <w:outlineLvl w:val="0"/>
        <w:rPr>
          <w:rFonts w:ascii="黑体" w:hAnsi="黑体" w:eastAsia="黑体" w:cs="黑体"/>
          <w:sz w:val="28"/>
          <w:szCs w:val="28"/>
        </w:rPr>
      </w:pPr>
      <w:bookmarkStart w:id="1" w:name="_Toc1389"/>
      <w:r>
        <w:rPr>
          <w:rFonts w:ascii="黑体" w:hAnsi="黑体" w:eastAsia="黑体" w:cs="黑体"/>
          <w:spacing w:val="-1"/>
          <w:sz w:val="28"/>
          <w:szCs w:val="28"/>
        </w:rPr>
        <w:t>二、编制情况</w:t>
      </w:r>
      <w:bookmarkEnd w:id="1"/>
    </w:p>
    <w:p w14:paraId="7F0B25ED">
      <w:pPr>
        <w:pStyle w:val="2"/>
        <w:spacing w:before="233" w:line="220" w:lineRule="auto"/>
        <w:ind w:left="611"/>
        <w:outlineLvl w:val="1"/>
      </w:pPr>
      <w:bookmarkStart w:id="2" w:name="_Toc24269"/>
      <w:r>
        <w:rPr>
          <w:b/>
          <w:bCs/>
          <w:spacing w:val="-4"/>
        </w:rPr>
        <w:t>（一）编制标准的必要性和意义及背景</w:t>
      </w:r>
      <w:bookmarkEnd w:id="2"/>
    </w:p>
    <w:p w14:paraId="04716965">
      <w:pPr>
        <w:pStyle w:val="2"/>
        <w:spacing w:before="7" w:line="359" w:lineRule="auto"/>
        <w:ind w:left="23" w:right="31" w:firstLine="480"/>
        <w:jc w:val="both"/>
        <w:rPr>
          <w:rFonts w:hint="eastAsia"/>
        </w:rPr>
      </w:pPr>
      <w:r>
        <w:rPr>
          <w:rFonts w:hint="eastAsia"/>
        </w:rPr>
        <w:t>我国高度重视中医药及民族医药的传承与发展。《中华人民共和国中医药法》明确将少数民族医药纳入中医药范畴予以法律保护，并在第七条中规定“国家支持中医药和其他民族医药的传承、创新”，第三十五条强调保护少数民族医药知识产权，第六十二条授权地方政府制定促进和规范本地区少数民族医药发展的具体办法。国家《中医药发展战略规划纲要（2016-2030年）》、《关于加强新时代少数民族医药工作的若干意见》等一系列顶层设计文件，均对加强少数民族医药的挖掘、保护、传承与创新提出了明确要求。海南省积极响应国家号召，先后出台《关于促进中医药在海南自由贸易港传承创新发展的实施意见》、《海南省中医药健康服务发展“十四五”规划》等政策，明确提出要大力发展黎药，实施黎族医药传承发展工程。编制本标准，正是将上述法律法规和政策精神转化为具体行动和可操作技术规范的关键步骤，是依法依规推动黎族医药事业发展的具体体现，有助于在法律和政策框架内为其规范化、可持续发展提供坚实保障。</w:t>
      </w:r>
    </w:p>
    <w:p w14:paraId="078FD844">
      <w:pPr>
        <w:pStyle w:val="2"/>
        <w:spacing w:before="7" w:line="359" w:lineRule="auto"/>
        <w:ind w:left="23" w:right="31" w:firstLine="480"/>
        <w:jc w:val="both"/>
        <w:rPr>
          <w:rFonts w:hint="eastAsia"/>
        </w:rPr>
      </w:pPr>
      <w:r>
        <w:rPr>
          <w:rFonts w:hint="eastAsia"/>
        </w:rPr>
        <w:t>当前，我国民族医药标准化工作虽持续推进，但针对黎医走蛇罐疗法的专门标准尚属空白。明确指出，省内虽有多家医疗机构开展此项服务，但存在操作差异、效果不一的问题。这种标准的缺失导致该疗法在技术传承、临床应用和质量控制上缺乏统一依据，其独特的器具（如海南花梨木蛇罐）、药物配方（如生姜、艾叶、散血丹等）及“走罐”结合“药灸”的复合手法缺乏规范，阻碍了其科学评价与广泛推广。本标准的制定将首次为黎医走蛇罐疗法建立一套完整、科学的技术操作体系，从根本上改变“凭经验、各师各法”的局面，引领行业从经验传承迈向标准规范的新阶段，对保障疗法疗效的稳定性和可重复性至关重要。</w:t>
      </w:r>
    </w:p>
    <w:p w14:paraId="4B357EAD">
      <w:pPr>
        <w:pStyle w:val="2"/>
        <w:spacing w:before="7" w:line="359" w:lineRule="auto"/>
        <w:ind w:left="23" w:right="31" w:firstLine="480"/>
        <w:jc w:val="both"/>
        <w:rPr>
          <w:rFonts w:hint="eastAsia"/>
        </w:rPr>
      </w:pPr>
      <w:r>
        <w:rPr>
          <w:rFonts w:hint="eastAsia"/>
        </w:rPr>
        <w:t>黎医走蛇罐疗法不仅是医疗技术，更是珍贵的非物质文化遗产。通过标准化手段，将散落于民间的核心技艺、特定器具形制、药物配伍知识和“直走法”、“蛇形走法”等操作要领进行系统梳理与固化，是对这一文化遗产最有效的“活态”保护。标准的推广过程本身也能提升社会对黎医独特价值的认知，增强民族文化自信与认同，吸引更多人才投身传承，对促进民族团结与社会和谐具有积极作用。</w:t>
      </w:r>
    </w:p>
    <w:p w14:paraId="201247E4">
      <w:pPr>
        <w:pStyle w:val="2"/>
        <w:spacing w:before="7" w:line="359" w:lineRule="auto"/>
        <w:ind w:left="23" w:right="31" w:firstLine="480"/>
        <w:jc w:val="both"/>
        <w:rPr>
          <w:rFonts w:hint="eastAsia"/>
        </w:rPr>
      </w:pPr>
      <w:r>
        <w:rPr>
          <w:rFonts w:hint="eastAsia"/>
        </w:rPr>
        <w:t>保障医疗安全与患者权益是本标准的核心目标。走蛇罐疗法涉及明火操作与体表热熨，安全风险较高。本标准将传统经验与现代医学安全规范紧密结合，在“基本要求”中明确了对人员资质、环境消毒（引用GB 15982）、手卫生（引用WS/T 313）的严格要求；在“操作流程”和“注意事项”中详细规定了药团火头与皮肤的距离、治疗时间（30分钟为宜）、禁忌症（如青光眼、孕妇、严重心肺疾病患者禁用）以及不同体质患者的处置区别。这为从业人员提供了清晰的安全操作指南，能最大程度降低烫伤等医疗风险，提升疗法的公信力，使其能更安全、更规范地服务民众健康需求，融入现代医疗卫生服务体系。</w:t>
      </w:r>
    </w:p>
    <w:p w14:paraId="654980A2">
      <w:pPr>
        <w:pStyle w:val="2"/>
        <w:spacing w:before="7" w:line="359" w:lineRule="auto"/>
        <w:ind w:left="23" w:right="31" w:firstLine="480"/>
        <w:jc w:val="both"/>
        <w:rPr>
          <w:rFonts w:hint="eastAsia"/>
        </w:rPr>
      </w:pPr>
      <w:r>
        <w:rPr>
          <w:rFonts w:hint="eastAsia"/>
        </w:rPr>
        <w:t>从产业发展视角看，标准化是黎医药融入海南自由贸易港建设、培育特色健康产业的基础前提。本标准将为走蛇罐疗法的技术培训、服务提供、特色器具（蛇罐）生产、黎药种植与加工以及质量控制提供统一依据，有助于培育规范市场，带动相关产业链发展。它也是黎医药对外交流与合作的“技术语言”和“通行证”，能推动其从地方特色疗法转化为具有市场竞争力的健康服务与文化旅游品牌，为海南自贸港大健康产业创造独特的经济与社会价值。</w:t>
      </w:r>
    </w:p>
    <w:p w14:paraId="11BE5793">
      <w:pPr>
        <w:pStyle w:val="2"/>
        <w:spacing w:before="7" w:line="359" w:lineRule="auto"/>
        <w:ind w:left="23" w:right="31" w:firstLine="480"/>
        <w:jc w:val="both"/>
      </w:pPr>
      <w:r>
        <w:rPr>
          <w:rFonts w:hint="eastAsia"/>
        </w:rPr>
        <w:t>编制此项标准是一项系统工程，关乎技术规范、文化传承、医疗安全与产业发展。它不仅是破解当前发展瓶颈的迫切需要，更是引领黎族医药迈向规范化、现代化，从而在健康中国战略与海南自贸港建设中发挥独特作用的重要基石。</w:t>
      </w:r>
    </w:p>
    <w:p w14:paraId="38E2DE5C">
      <w:pPr>
        <w:pStyle w:val="2"/>
        <w:spacing w:before="1" w:line="218" w:lineRule="auto"/>
        <w:ind w:left="511"/>
        <w:outlineLvl w:val="1"/>
      </w:pPr>
      <w:bookmarkStart w:id="3" w:name="_Toc16674"/>
      <w:r>
        <w:rPr>
          <w:b/>
          <w:bCs/>
          <w:spacing w:val="-5"/>
        </w:rPr>
        <w:t>（二）编制过程简介</w:t>
      </w:r>
      <w:bookmarkEnd w:id="3"/>
    </w:p>
    <w:p w14:paraId="7B8C7D2B">
      <w:pPr>
        <w:pStyle w:val="2"/>
        <w:spacing w:before="162" w:line="290" w:lineRule="auto"/>
        <w:ind w:left="26" w:right="76" w:firstLine="474"/>
      </w:pPr>
      <w:r>
        <w:rPr>
          <w:b/>
          <w:bCs/>
          <w:spacing w:val="-4"/>
        </w:rPr>
        <w:t>1.</w:t>
      </w:r>
      <w:r>
        <w:rPr>
          <w:rFonts w:hint="eastAsia"/>
          <w:b w:val="0"/>
          <w:bCs w:val="0"/>
          <w:spacing w:val="-4"/>
          <w:lang w:val="en-US" w:eastAsia="zh-CN"/>
        </w:rPr>
        <w:t>2025年6月13日，收到《海南省市场监督管理局关于2025年度第一批拟立项地方标准项目的公示》后，</w:t>
      </w:r>
      <w:r>
        <w:rPr>
          <w:rFonts w:hint="eastAsia" w:ascii="宋体" w:hAnsi="宋体" w:eastAsia="宋体" w:cs="宋体"/>
          <w:snapToGrid w:val="0"/>
          <w:color w:val="000000"/>
          <w:kern w:val="0"/>
          <w:sz w:val="24"/>
          <w:szCs w:val="24"/>
          <w:lang w:val="en-US" w:eastAsia="zh-CN" w:bidi="ar"/>
        </w:rPr>
        <w:t>成立标准编制小组，成员有</w:t>
      </w:r>
      <w:r>
        <w:rPr>
          <w:rFonts w:hint="eastAsia"/>
          <w:highlight w:val="none"/>
        </w:rPr>
        <w:t>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ascii="宋体" w:hAnsi="宋体" w:eastAsia="宋体" w:cs="宋体"/>
          <w:snapToGrid w:val="0"/>
          <w:color w:val="000000"/>
          <w:kern w:val="0"/>
          <w:sz w:val="24"/>
          <w:szCs w:val="24"/>
          <w:lang w:val="en-US" w:eastAsia="zh-CN" w:bidi="ar"/>
        </w:rPr>
        <w:t>。</w:t>
      </w:r>
    </w:p>
    <w:p w14:paraId="77BA3E74">
      <w:pPr>
        <w:pStyle w:val="2"/>
        <w:numPr>
          <w:ilvl w:val="0"/>
          <w:numId w:val="3"/>
        </w:numPr>
        <w:spacing w:before="12" w:line="362" w:lineRule="auto"/>
        <w:ind w:left="26" w:right="82" w:firstLine="480"/>
        <w:rPr>
          <w:rFonts w:hint="eastAsia"/>
          <w:spacing w:val="-3"/>
        </w:rPr>
      </w:pPr>
      <w:r>
        <w:rPr>
          <w:rFonts w:hint="eastAsia"/>
          <w:b/>
          <w:bCs/>
          <w:spacing w:val="-2"/>
          <w:lang w:val="en-US" w:eastAsia="zh-CN"/>
        </w:rPr>
        <w:t>标准起草过程</w:t>
      </w:r>
      <w:r>
        <w:rPr>
          <w:rFonts w:hint="eastAsia"/>
          <w:b/>
          <w:bCs/>
          <w:spacing w:val="-2"/>
          <w:lang w:eastAsia="zh-CN"/>
        </w:rPr>
        <w:t>：</w:t>
      </w:r>
      <w:r>
        <w:rPr>
          <w:rFonts w:hint="eastAsia"/>
          <w:b w:val="0"/>
          <w:bCs w:val="0"/>
          <w:spacing w:val="-2"/>
          <w:lang w:val="en-US" w:eastAsia="zh-CN"/>
        </w:rPr>
        <w:t>为推动标准立项和编制，编制组在申报地方标准制修订项目前期和立项编制过程中，展开充分调研，</w:t>
      </w:r>
      <w:r>
        <w:rPr>
          <w:rFonts w:hint="eastAsia" w:ascii="宋体" w:hAnsi="宋体" w:eastAsia="宋体" w:cs="宋体"/>
          <w:snapToGrid w:val="0"/>
          <w:color w:val="000000"/>
          <w:kern w:val="0"/>
          <w:sz w:val="24"/>
          <w:szCs w:val="24"/>
          <w:lang w:val="en-US" w:eastAsia="en-US" w:bidi="ar-SA"/>
        </w:rPr>
        <w:t>调研了黎医</w:t>
      </w:r>
      <w:r>
        <w:rPr>
          <w:rFonts w:hint="eastAsia" w:cs="宋体"/>
          <w:snapToGrid w:val="0"/>
          <w:color w:val="000000"/>
          <w:kern w:val="0"/>
          <w:sz w:val="24"/>
          <w:szCs w:val="24"/>
          <w:lang w:val="en-US" w:eastAsia="zh-CN" w:bidi="ar-SA"/>
        </w:rPr>
        <w:t>走蛇罐</w:t>
      </w:r>
      <w:r>
        <w:rPr>
          <w:rFonts w:hint="eastAsia" w:ascii="宋体" w:hAnsi="宋体" w:eastAsia="宋体" w:cs="宋体"/>
          <w:snapToGrid w:val="0"/>
          <w:color w:val="000000"/>
          <w:kern w:val="0"/>
          <w:sz w:val="24"/>
          <w:szCs w:val="24"/>
          <w:lang w:val="en-US" w:eastAsia="en-US" w:bidi="ar-SA"/>
        </w:rPr>
        <w:t>疗法在国内外的标准化现状；总结了</w:t>
      </w:r>
      <w:r>
        <w:rPr>
          <w:rFonts w:hint="eastAsia" w:cs="宋体"/>
          <w:snapToGrid w:val="0"/>
          <w:color w:val="000000"/>
          <w:kern w:val="0"/>
          <w:sz w:val="24"/>
          <w:szCs w:val="24"/>
          <w:lang w:val="en-US" w:eastAsia="zh-CN" w:bidi="ar-SA"/>
        </w:rPr>
        <w:t>起草单位及其他医疗机构</w:t>
      </w:r>
      <w:r>
        <w:rPr>
          <w:rFonts w:hint="eastAsia" w:ascii="宋体" w:hAnsi="宋体" w:eastAsia="宋体" w:cs="宋体"/>
          <w:snapToGrid w:val="0"/>
          <w:color w:val="000000"/>
          <w:kern w:val="0"/>
          <w:sz w:val="24"/>
          <w:szCs w:val="24"/>
          <w:lang w:val="en-US" w:eastAsia="en-US" w:bidi="ar-SA"/>
        </w:rPr>
        <w:t>近三年的临床应用数据及技术传承经验。</w:t>
      </w:r>
      <w:r>
        <w:rPr>
          <w:spacing w:val="1"/>
        </w:rPr>
        <w:t>收到标准成功立项公告后，标准编制工</w:t>
      </w:r>
      <w:r>
        <w:t>作组第一</w:t>
      </w:r>
      <w:r>
        <w:rPr>
          <w:spacing w:val="-4"/>
        </w:rPr>
        <w:t>时间将</w:t>
      </w:r>
      <w:r>
        <w:rPr>
          <w:rFonts w:hint="eastAsia"/>
          <w:spacing w:val="-4"/>
          <w:lang w:val="en-US" w:eastAsia="zh-CN"/>
        </w:rPr>
        <w:t>立项评审会</w:t>
      </w:r>
      <w:r>
        <w:rPr>
          <w:spacing w:val="-4"/>
        </w:rPr>
        <w:t>专家的立项评审意见进行汇总，并与相关专家及研发技</w:t>
      </w:r>
      <w:r>
        <w:rPr>
          <w:spacing w:val="-6"/>
        </w:rPr>
        <w:t>术人员通过线上沟通，线下讨论等形式对</w:t>
      </w:r>
      <w:r>
        <w:rPr>
          <w:rFonts w:hint="eastAsia"/>
          <w:spacing w:val="-6"/>
          <w:lang w:val="en-US" w:eastAsia="zh-CN"/>
        </w:rPr>
        <w:t>评审专家</w:t>
      </w:r>
      <w:r>
        <w:rPr>
          <w:spacing w:val="-6"/>
        </w:rPr>
        <w:t>的意见进行分析采纳，</w:t>
      </w:r>
      <w:r>
        <w:rPr>
          <w:spacing w:val="-2"/>
        </w:rPr>
        <w:t>并对标准草案进一步完善</w:t>
      </w:r>
      <w:r>
        <w:rPr>
          <w:rFonts w:hint="eastAsia"/>
          <w:spacing w:val="-2"/>
          <w:lang w:eastAsia="zh-CN"/>
        </w:rPr>
        <w:t>。</w:t>
      </w:r>
      <w:r>
        <w:rPr>
          <w:rFonts w:hint="eastAsia"/>
          <w:spacing w:val="-3"/>
          <w:lang w:val="en-US" w:eastAsia="zh-CN"/>
        </w:rPr>
        <w:t>2025年6月-2025年12月，</w:t>
      </w:r>
      <w:r>
        <w:rPr>
          <w:rFonts w:hint="eastAsia"/>
          <w:spacing w:val="-3"/>
        </w:rPr>
        <w:t>标准项目起草组召开会议讨论标准编制方案，明确任务分工，广泛查阅相关文献、规范</w:t>
      </w:r>
      <w:r>
        <w:rPr>
          <w:rFonts w:hint="eastAsia"/>
          <w:spacing w:val="-3"/>
          <w:lang w:eastAsia="zh-CN"/>
        </w:rPr>
        <w:t>、</w:t>
      </w:r>
      <w:r>
        <w:rPr>
          <w:rFonts w:hint="eastAsia"/>
          <w:spacing w:val="-3"/>
          <w:lang w:val="en-US" w:eastAsia="zh-CN"/>
        </w:rPr>
        <w:t>汇总临床实践经验数据</w:t>
      </w:r>
      <w:r>
        <w:rPr>
          <w:rFonts w:hint="eastAsia"/>
          <w:spacing w:val="-3"/>
        </w:rPr>
        <w:t>，在前期工作的基础上，根据</w:t>
      </w:r>
      <w:r>
        <w:rPr>
          <w:rFonts w:hint="eastAsia"/>
          <w:spacing w:val="-3"/>
          <w:lang w:val="en-US" w:eastAsia="zh-CN"/>
        </w:rPr>
        <w:t>临床</w:t>
      </w:r>
      <w:r>
        <w:rPr>
          <w:rFonts w:hint="eastAsia"/>
          <w:spacing w:val="-3"/>
        </w:rPr>
        <w:t>工作</w:t>
      </w:r>
      <w:r>
        <w:rPr>
          <w:rFonts w:hint="eastAsia"/>
          <w:spacing w:val="-3"/>
          <w:lang w:val="en-US" w:eastAsia="zh-CN"/>
        </w:rPr>
        <w:t>开展黎医草线灸疗法的</w:t>
      </w:r>
      <w:r>
        <w:rPr>
          <w:rFonts w:hint="eastAsia"/>
          <w:spacing w:val="-3"/>
        </w:rPr>
        <w:t>实际需求，起草完成标准初稿。202</w:t>
      </w:r>
      <w:r>
        <w:rPr>
          <w:rFonts w:hint="eastAsia"/>
          <w:spacing w:val="-3"/>
          <w:lang w:val="en-US" w:eastAsia="zh-CN"/>
        </w:rPr>
        <w:t>6</w:t>
      </w:r>
      <w:r>
        <w:rPr>
          <w:rFonts w:hint="eastAsia"/>
          <w:spacing w:val="-3"/>
        </w:rPr>
        <w:t>年</w:t>
      </w:r>
      <w:r>
        <w:rPr>
          <w:rFonts w:hint="eastAsia"/>
          <w:spacing w:val="-3"/>
          <w:lang w:val="en-US" w:eastAsia="zh-CN"/>
        </w:rPr>
        <w:t>1</w:t>
      </w:r>
      <w:r>
        <w:rPr>
          <w:rFonts w:hint="eastAsia"/>
          <w:spacing w:val="-3"/>
        </w:rPr>
        <w:t>月</w:t>
      </w:r>
      <w:r>
        <w:rPr>
          <w:rFonts w:hint="eastAsia"/>
          <w:spacing w:val="-3"/>
          <w:lang w:val="en-US" w:eastAsia="zh-CN"/>
        </w:rPr>
        <w:t>-2月</w:t>
      </w:r>
      <w:r>
        <w:rPr>
          <w:rFonts w:hint="eastAsia"/>
          <w:spacing w:val="-3"/>
        </w:rPr>
        <w:t>，经过进一步调研、小范围专家咨询和研</w:t>
      </w:r>
      <w:r>
        <w:rPr>
          <w:rFonts w:hint="eastAsia"/>
          <w:spacing w:val="-3"/>
          <w:lang w:val="en-US" w:eastAsia="zh-CN"/>
        </w:rPr>
        <w:t>讨，</w:t>
      </w:r>
      <w:r>
        <w:rPr>
          <w:rFonts w:hint="eastAsia"/>
          <w:spacing w:val="-3"/>
        </w:rPr>
        <w:t xml:space="preserve">对初稿进行修改，形成《黎医疗法操作规范  </w:t>
      </w:r>
      <w:r>
        <w:rPr>
          <w:rFonts w:hint="eastAsia"/>
          <w:spacing w:val="-3"/>
          <w:lang w:val="en-US" w:eastAsia="zh-CN"/>
        </w:rPr>
        <w:t>走蛇罐</w:t>
      </w:r>
      <w:r>
        <w:rPr>
          <w:rFonts w:hint="eastAsia"/>
          <w:spacing w:val="-3"/>
        </w:rPr>
        <w:t>疗法》征求意见稿、征求意见稿编制说明。</w:t>
      </w:r>
    </w:p>
    <w:p w14:paraId="5F24D668">
      <w:pPr>
        <w:pStyle w:val="2"/>
        <w:numPr>
          <w:ilvl w:val="0"/>
          <w:numId w:val="0"/>
        </w:numPr>
        <w:spacing w:before="12" w:line="362" w:lineRule="auto"/>
        <w:ind w:right="82" w:rightChars="0" w:firstLine="468" w:firstLineChars="200"/>
        <w:rPr>
          <w:rFonts w:hint="eastAsia"/>
          <w:spacing w:val="-3"/>
        </w:rPr>
      </w:pPr>
      <w:r>
        <w:rPr>
          <w:rFonts w:hint="eastAsia"/>
          <w:spacing w:val="-3"/>
        </w:rPr>
        <w:t>现将此征求意见稿通过网站、公函等方式征求各位专家、企业、协会及相关单位意见。</w:t>
      </w:r>
    </w:p>
    <w:p w14:paraId="1A08D003">
      <w:pPr>
        <w:pStyle w:val="2"/>
        <w:spacing w:before="1" w:line="218" w:lineRule="auto"/>
        <w:ind w:left="511"/>
        <w:outlineLvl w:val="1"/>
      </w:pPr>
      <w:bookmarkStart w:id="4" w:name="_Toc2549"/>
      <w:r>
        <w:rPr>
          <w:b/>
          <w:bCs/>
          <w:spacing w:val="-2"/>
        </w:rPr>
        <w:t>（三）制定标准的原则和依据，与现行法律法</w:t>
      </w:r>
      <w:r>
        <w:rPr>
          <w:b/>
          <w:bCs/>
          <w:spacing w:val="-3"/>
        </w:rPr>
        <w:t>规、标准的关系</w:t>
      </w:r>
      <w:bookmarkEnd w:id="4"/>
    </w:p>
    <w:p w14:paraId="71CBF296">
      <w:pPr>
        <w:pStyle w:val="2"/>
        <w:spacing w:before="181" w:line="233" w:lineRule="auto"/>
        <w:ind w:left="511"/>
        <w:outlineLvl w:val="2"/>
      </w:pPr>
      <w:r>
        <w:rPr>
          <w:rFonts w:ascii="Times New Roman" w:hAnsi="Times New Roman" w:eastAsia="Times New Roman" w:cs="Times New Roman"/>
          <w:b/>
          <w:bCs/>
          <w:spacing w:val="-9"/>
        </w:rPr>
        <w:t>1</w:t>
      </w:r>
      <w:r>
        <w:rPr>
          <w:rFonts w:ascii="Times New Roman" w:hAnsi="Times New Roman" w:eastAsia="Times New Roman" w:cs="Times New Roman"/>
          <w:b/>
          <w:bCs/>
          <w:spacing w:val="-31"/>
        </w:rPr>
        <w:t xml:space="preserve"> </w:t>
      </w:r>
      <w:r>
        <w:rPr>
          <w:b/>
          <w:bCs/>
          <w:spacing w:val="-9"/>
        </w:rPr>
        <w:t>、编制原则</w:t>
      </w:r>
    </w:p>
    <w:p w14:paraId="7A7C2919">
      <w:pPr>
        <w:pStyle w:val="2"/>
        <w:spacing w:before="166" w:line="233" w:lineRule="auto"/>
        <w:ind w:left="511" w:leftChars="0"/>
        <w:outlineLvl w:val="3"/>
      </w:pPr>
      <w:r>
        <w:rPr>
          <w:spacing w:val="-4"/>
        </w:rPr>
        <w:t>（</w:t>
      </w:r>
      <w:r>
        <w:rPr>
          <w:rFonts w:ascii="Times New Roman" w:hAnsi="Times New Roman" w:eastAsia="Times New Roman" w:cs="Times New Roman"/>
          <w:spacing w:val="-4"/>
        </w:rPr>
        <w:t>1</w:t>
      </w:r>
      <w:r>
        <w:rPr>
          <w:spacing w:val="-4"/>
        </w:rPr>
        <w:t>）科学性</w:t>
      </w:r>
    </w:p>
    <w:p w14:paraId="40683C04">
      <w:pPr>
        <w:pStyle w:val="2"/>
        <w:spacing w:before="161" w:line="362" w:lineRule="auto"/>
        <w:ind w:left="41" w:right="86" w:firstLine="464"/>
      </w:pPr>
      <w:r>
        <w:rPr>
          <w:rFonts w:hint="eastAsia"/>
        </w:rPr>
        <w:t>本标准在充分调查研究的基础上，结合</w:t>
      </w:r>
      <w:r>
        <w:rPr>
          <w:rFonts w:hint="eastAsia"/>
          <w:lang w:val="en-US" w:eastAsia="zh-CN"/>
        </w:rPr>
        <w:t>临床</w:t>
      </w:r>
      <w:r>
        <w:rPr>
          <w:rFonts w:hint="eastAsia"/>
        </w:rPr>
        <w:t>工作的实际情况，参考现行国家、行业标准、相关技术文件及资料等制定。</w:t>
      </w:r>
    </w:p>
    <w:p w14:paraId="0E5D8362">
      <w:pPr>
        <w:pStyle w:val="2"/>
        <w:spacing w:line="234" w:lineRule="auto"/>
        <w:ind w:left="511" w:leftChars="0"/>
        <w:outlineLvl w:val="3"/>
      </w:pPr>
      <w:r>
        <w:rPr>
          <w:spacing w:val="-4"/>
        </w:rPr>
        <w:t>（</w:t>
      </w:r>
      <w:r>
        <w:rPr>
          <w:rFonts w:ascii="Times New Roman" w:hAnsi="Times New Roman" w:eastAsia="Times New Roman" w:cs="Times New Roman"/>
          <w:spacing w:val="-4"/>
        </w:rPr>
        <w:t>2</w:t>
      </w:r>
      <w:r>
        <w:rPr>
          <w:spacing w:val="-4"/>
        </w:rPr>
        <w:t>）可行性</w:t>
      </w:r>
    </w:p>
    <w:p w14:paraId="19BD6E95">
      <w:pPr>
        <w:pStyle w:val="2"/>
        <w:spacing w:before="163" w:line="360" w:lineRule="auto"/>
        <w:ind w:left="26" w:right="87" w:firstLine="479"/>
        <w:rPr>
          <w:rFonts w:hint="eastAsia" w:eastAsia="宋体"/>
          <w:lang w:eastAsia="zh-CN"/>
        </w:rPr>
      </w:pPr>
      <w:r>
        <w:rPr>
          <w:rFonts w:ascii="宋体" w:hAnsi="宋体" w:eastAsia="宋体" w:cs="宋体"/>
          <w:sz w:val="24"/>
          <w:szCs w:val="24"/>
        </w:rPr>
        <w:t>本标准编制时充分兼顾与同领域标准的协调性，合理引用已有标准中的技术条款，同时以相关法律法规、政策文件为依据，确保标准切实可行</w:t>
      </w:r>
      <w:r>
        <w:rPr>
          <w:rFonts w:hint="eastAsia"/>
        </w:rPr>
        <w:t>。操作流程设计充分考虑现有医疗条件与从业人员技能水平，确保标准可落地、可操作</w:t>
      </w:r>
      <w:r>
        <w:rPr>
          <w:rFonts w:hint="eastAsia"/>
          <w:lang w:eastAsia="zh-CN"/>
        </w:rPr>
        <w:t>。</w:t>
      </w:r>
    </w:p>
    <w:p w14:paraId="163DC1B8">
      <w:pPr>
        <w:pStyle w:val="2"/>
        <w:numPr>
          <w:ilvl w:val="0"/>
          <w:numId w:val="4"/>
        </w:numPr>
        <w:spacing w:before="1" w:line="234" w:lineRule="auto"/>
        <w:ind w:left="511" w:leftChars="0"/>
        <w:outlineLvl w:val="3"/>
        <w:rPr>
          <w:spacing w:val="-4"/>
        </w:rPr>
      </w:pPr>
      <w:r>
        <w:rPr>
          <w:spacing w:val="-4"/>
        </w:rPr>
        <w:t>规范性</w:t>
      </w:r>
    </w:p>
    <w:p w14:paraId="6F99AB57">
      <w:pPr>
        <w:pStyle w:val="2"/>
        <w:spacing w:before="163" w:line="360" w:lineRule="auto"/>
        <w:ind w:left="26" w:right="87" w:firstLine="479"/>
        <w:rPr>
          <w:rFonts w:ascii="宋体" w:hAnsi="宋体" w:eastAsia="宋体" w:cs="宋体"/>
          <w:sz w:val="24"/>
          <w:szCs w:val="24"/>
        </w:rPr>
      </w:pPr>
      <w:r>
        <w:rPr>
          <w:rFonts w:hint="eastAsia" w:ascii="宋体" w:hAnsi="宋体" w:eastAsia="宋体" w:cs="宋体"/>
          <w:sz w:val="24"/>
          <w:szCs w:val="24"/>
        </w:rPr>
        <w:t>本标准依据《标准化工作导则第 1 部分：标准的结构和编写》（GB/T 1.1-2020</w:t>
      </w:r>
      <w:r>
        <w:rPr>
          <w:rFonts w:hint="eastAsia" w:ascii="宋体" w:hAnsi="宋体" w:eastAsia="宋体" w:cs="宋体"/>
          <w:sz w:val="24"/>
          <w:szCs w:val="24"/>
          <w:lang w:eastAsia="zh-CN"/>
        </w:rPr>
        <w:t>）、</w:t>
      </w:r>
      <w:r>
        <w:rPr>
          <w:rFonts w:hint="eastAsia" w:ascii="宋体" w:hAnsi="宋体" w:eastAsia="宋体" w:cs="宋体"/>
          <w:sz w:val="24"/>
          <w:szCs w:val="24"/>
        </w:rPr>
        <w:t>《地方标准制修订工作规范》（DB 46/T 74-2021）的规定进行编写，符合标准编写要求。本标准的所有条目在表述上力求做到清晰明确，无模棱两可、含糊其辞或易于产生歧义的表达。</w:t>
      </w:r>
    </w:p>
    <w:p w14:paraId="52CE5323">
      <w:pPr>
        <w:pStyle w:val="2"/>
        <w:spacing w:before="15" w:line="233" w:lineRule="auto"/>
        <w:ind w:left="501"/>
        <w:outlineLvl w:val="2"/>
      </w:pPr>
      <w:r>
        <w:rPr>
          <w:rFonts w:ascii="Times New Roman" w:hAnsi="Times New Roman" w:eastAsia="Times New Roman" w:cs="Times New Roman"/>
          <w:b/>
          <w:bCs/>
          <w:spacing w:val="-4"/>
        </w:rPr>
        <w:t>2</w:t>
      </w:r>
      <w:r>
        <w:rPr>
          <w:rFonts w:ascii="Times New Roman" w:hAnsi="Times New Roman" w:eastAsia="Times New Roman" w:cs="Times New Roman"/>
          <w:b/>
          <w:bCs/>
          <w:spacing w:val="-34"/>
        </w:rPr>
        <w:t xml:space="preserve"> </w:t>
      </w:r>
      <w:r>
        <w:rPr>
          <w:b/>
          <w:bCs/>
          <w:spacing w:val="-4"/>
        </w:rPr>
        <w:t>、确定本标准主要内容的依据</w:t>
      </w:r>
    </w:p>
    <w:p w14:paraId="39E9873C">
      <w:pPr>
        <w:pStyle w:val="2"/>
        <w:spacing w:before="189" w:line="213" w:lineRule="auto"/>
        <w:ind w:left="514"/>
        <w:rPr>
          <w:rFonts w:hint="eastAsia"/>
        </w:rPr>
      </w:pPr>
      <w:r>
        <w:rPr>
          <w:rFonts w:hint="eastAsia"/>
          <w:lang w:val="en-US" w:eastAsia="zh-CN"/>
        </w:rPr>
        <w:t>[1]</w:t>
      </w:r>
      <w:r>
        <w:rPr>
          <w:rFonts w:hint="eastAsia"/>
        </w:rPr>
        <w:t xml:space="preserve">GB 15982 医院消毒卫生标准 </w:t>
      </w:r>
    </w:p>
    <w:p w14:paraId="596A9D23">
      <w:pPr>
        <w:pStyle w:val="2"/>
        <w:spacing w:before="189" w:line="213" w:lineRule="auto"/>
        <w:ind w:left="514"/>
        <w:rPr>
          <w:rFonts w:hint="eastAsia"/>
        </w:rPr>
      </w:pPr>
      <w:r>
        <w:rPr>
          <w:rFonts w:hint="eastAsia"/>
          <w:lang w:val="en-US" w:eastAsia="zh-CN"/>
        </w:rPr>
        <w:t>[2]</w:t>
      </w:r>
      <w:r>
        <w:rPr>
          <w:rFonts w:hint="eastAsia"/>
        </w:rPr>
        <w:t xml:space="preserve">WS/T 311 医院隔离技术规范 </w:t>
      </w:r>
    </w:p>
    <w:p w14:paraId="6F80F31E">
      <w:pPr>
        <w:pStyle w:val="2"/>
        <w:spacing w:before="189" w:line="213" w:lineRule="auto"/>
        <w:ind w:left="514"/>
        <w:rPr>
          <w:rFonts w:hint="eastAsia"/>
        </w:rPr>
      </w:pPr>
      <w:r>
        <w:rPr>
          <w:rFonts w:hint="eastAsia"/>
          <w:lang w:val="en-US" w:eastAsia="zh-CN"/>
        </w:rPr>
        <w:t>[3]</w:t>
      </w:r>
      <w:r>
        <w:rPr>
          <w:rFonts w:hint="eastAsia"/>
        </w:rPr>
        <w:t>WS/T 313 医务人员手卫生规范</w:t>
      </w:r>
    </w:p>
    <w:p w14:paraId="52FBE5C6">
      <w:pPr>
        <w:pStyle w:val="2"/>
        <w:spacing w:before="189" w:line="213" w:lineRule="auto"/>
        <w:ind w:left="514"/>
        <w:rPr>
          <w:rFonts w:hint="eastAsia"/>
        </w:rPr>
      </w:pPr>
      <w:r>
        <w:rPr>
          <w:rFonts w:hint="eastAsia"/>
          <w:lang w:val="en-US" w:eastAsia="zh-CN"/>
        </w:rPr>
        <w:t>[4]</w:t>
      </w:r>
      <w:r>
        <w:rPr>
          <w:rFonts w:hint="eastAsia"/>
        </w:rPr>
        <w:t>GB/T 12346 经穴名称与定位</w:t>
      </w:r>
    </w:p>
    <w:p w14:paraId="75BB31F3">
      <w:pPr>
        <w:pStyle w:val="2"/>
        <w:spacing w:before="189" w:line="213" w:lineRule="auto"/>
        <w:ind w:left="514"/>
        <w:rPr>
          <w:rFonts w:hint="eastAsia"/>
        </w:rPr>
      </w:pPr>
      <w:r>
        <w:rPr>
          <w:rFonts w:hint="eastAsia"/>
          <w:lang w:val="en-US" w:eastAsia="zh-CN"/>
        </w:rPr>
        <w:t>[5]</w:t>
      </w:r>
      <w:r>
        <w:rPr>
          <w:rFonts w:hint="eastAsia"/>
        </w:rPr>
        <w:t xml:space="preserve">GB/T 21709.1 针灸技术操作规范 第1部分：艾灸 </w:t>
      </w:r>
    </w:p>
    <w:p w14:paraId="35E6CE62">
      <w:pPr>
        <w:pStyle w:val="2"/>
        <w:spacing w:before="189" w:line="213" w:lineRule="auto"/>
        <w:ind w:left="514"/>
        <w:rPr>
          <w:rFonts w:hint="eastAsia"/>
        </w:rPr>
      </w:pPr>
      <w:r>
        <w:rPr>
          <w:rFonts w:hint="eastAsia"/>
          <w:lang w:val="en-US" w:eastAsia="zh-CN"/>
        </w:rPr>
        <w:t>[6]</w:t>
      </w:r>
      <w:r>
        <w:rPr>
          <w:rFonts w:hint="eastAsia"/>
        </w:rPr>
        <w:t xml:space="preserve">GB/T 21709.5 针灸技术操作规范 第5部分：拔罐 </w:t>
      </w:r>
    </w:p>
    <w:p w14:paraId="5424BFF3">
      <w:pPr>
        <w:pStyle w:val="2"/>
        <w:spacing w:before="189" w:line="213" w:lineRule="auto"/>
        <w:ind w:left="514"/>
      </w:pPr>
      <w:r>
        <w:rPr>
          <w:rFonts w:hint="eastAsia"/>
          <w:lang w:val="en-US" w:eastAsia="zh-CN"/>
        </w:rPr>
        <w:t>[7]</w:t>
      </w:r>
      <w:r>
        <w:rPr>
          <w:rFonts w:hint="eastAsia"/>
        </w:rPr>
        <w:t>GB/T 21709.22 针灸技术操作规范 第22部分：刮痧</w:t>
      </w:r>
    </w:p>
    <w:p w14:paraId="10B64CE6">
      <w:pPr>
        <w:pStyle w:val="2"/>
        <w:spacing w:before="194" w:line="233" w:lineRule="auto"/>
        <w:ind w:left="499"/>
        <w:outlineLvl w:val="2"/>
      </w:pPr>
      <w:r>
        <w:rPr>
          <w:rFonts w:ascii="Times New Roman" w:hAnsi="Times New Roman" w:eastAsia="Times New Roman" w:cs="Times New Roman"/>
          <w:b/>
          <w:bCs/>
          <w:spacing w:val="-4"/>
        </w:rPr>
        <w:t>3</w:t>
      </w:r>
      <w:r>
        <w:rPr>
          <w:rFonts w:ascii="Times New Roman" w:hAnsi="Times New Roman" w:eastAsia="Times New Roman" w:cs="Times New Roman"/>
          <w:b/>
          <w:bCs/>
          <w:spacing w:val="-26"/>
        </w:rPr>
        <w:t xml:space="preserve"> </w:t>
      </w:r>
      <w:r>
        <w:rPr>
          <w:b/>
          <w:bCs/>
          <w:spacing w:val="-4"/>
        </w:rPr>
        <w:t>、与现行法律法规、标准的关系</w:t>
      </w:r>
    </w:p>
    <w:p w14:paraId="0793B511">
      <w:pPr>
        <w:pStyle w:val="2"/>
        <w:spacing w:before="163" w:line="360" w:lineRule="auto"/>
        <w:ind w:left="26" w:right="258" w:firstLine="479"/>
        <w:jc w:val="both"/>
      </w:pPr>
      <w:r>
        <w:rPr>
          <w:rFonts w:hint="eastAsia" w:ascii="宋体" w:hAnsi="宋体" w:eastAsia="宋体" w:cs="宋体"/>
          <w:sz w:val="24"/>
          <w:szCs w:val="24"/>
        </w:rPr>
        <w:t>本标准符合我国现行法律要求，遵守《中华人民共和国标准化法》</w:t>
      </w:r>
      <w:r>
        <w:rPr>
          <w:rFonts w:hint="eastAsia" w:ascii="宋体" w:hAnsi="宋体" w:eastAsia="宋体" w:cs="宋体"/>
          <w:sz w:val="24"/>
          <w:szCs w:val="24"/>
          <w:lang w:eastAsia="zh-CN"/>
        </w:rPr>
        <w:t>、</w:t>
      </w:r>
      <w:r>
        <w:rPr>
          <w:rFonts w:hint="eastAsia" w:ascii="宋体" w:hAnsi="宋体" w:eastAsia="宋体" w:cs="宋体"/>
          <w:sz w:val="24"/>
          <w:szCs w:val="24"/>
        </w:rPr>
        <w:t>《中华人民共和国中医药法》等相关法律，遵守《中华人民共和国标准化法实施条例》、《国家标准管理办法》等相关法规，与现行的法规和强制性标准无相悖之处。</w:t>
      </w:r>
    </w:p>
    <w:p w14:paraId="732CF7A0">
      <w:pPr>
        <w:pStyle w:val="2"/>
        <w:spacing w:before="1" w:line="219" w:lineRule="auto"/>
        <w:ind w:left="511"/>
        <w:outlineLvl w:val="1"/>
      </w:pPr>
      <w:bookmarkStart w:id="5" w:name="_Toc28281"/>
      <w:r>
        <w:rPr>
          <w:b/>
          <w:bCs/>
          <w:spacing w:val="-3"/>
        </w:rPr>
        <w:t>（四）主要条款的说明，主要技术指标、参数、试验验证的论述</w:t>
      </w:r>
      <w:bookmarkEnd w:id="5"/>
    </w:p>
    <w:p w14:paraId="04A2D855">
      <w:pPr>
        <w:pStyle w:val="2"/>
        <w:spacing w:before="185" w:line="233" w:lineRule="auto"/>
        <w:ind w:left="511"/>
        <w:outlineLvl w:val="2"/>
      </w:pPr>
      <w:r>
        <w:rPr>
          <w:rFonts w:ascii="Times New Roman" w:hAnsi="Times New Roman" w:eastAsia="Times New Roman" w:cs="Times New Roman"/>
          <w:b/>
          <w:bCs/>
          <w:spacing w:val="-6"/>
        </w:rPr>
        <w:t>1</w:t>
      </w:r>
      <w:r>
        <w:rPr>
          <w:b/>
          <w:bCs/>
          <w:spacing w:val="-6"/>
        </w:rPr>
        <w:t>、主要条款</w:t>
      </w:r>
    </w:p>
    <w:p w14:paraId="77C6EF61">
      <w:pPr>
        <w:pStyle w:val="2"/>
        <w:spacing w:before="164" w:line="360" w:lineRule="auto"/>
        <w:ind w:left="7" w:firstLine="497"/>
        <w:rPr>
          <w:rFonts w:hint="eastAsia" w:eastAsia="宋体"/>
          <w:lang w:eastAsia="zh-CN"/>
        </w:rPr>
      </w:pPr>
      <w:r>
        <w:rPr>
          <w:rFonts w:hint="eastAsia"/>
        </w:rPr>
        <w:t>本标准的章节由范围、规范性引用文件、术语和定义、基本</w:t>
      </w:r>
      <w:r>
        <w:rPr>
          <w:rFonts w:hint="eastAsia"/>
          <w:lang w:val="en-US" w:eastAsia="zh-CN"/>
        </w:rPr>
        <w:t>要求</w:t>
      </w:r>
      <w:r>
        <w:rPr>
          <w:rFonts w:hint="eastAsia"/>
        </w:rPr>
        <w:t>、</w:t>
      </w:r>
      <w:r>
        <w:rPr>
          <w:rFonts w:hint="eastAsia"/>
          <w:lang w:val="en-US" w:eastAsia="zh-CN"/>
        </w:rPr>
        <w:t>适应症和禁忌症</w:t>
      </w:r>
      <w:r>
        <w:rPr>
          <w:rFonts w:hint="eastAsia"/>
        </w:rPr>
        <w:t>、</w:t>
      </w:r>
      <w:r>
        <w:rPr>
          <w:rFonts w:hint="eastAsia"/>
          <w:lang w:val="en-US" w:eastAsia="zh-CN"/>
        </w:rPr>
        <w:t>操作流程</w:t>
      </w:r>
      <w:r>
        <w:rPr>
          <w:rFonts w:hint="eastAsia"/>
        </w:rPr>
        <w:t>、</w:t>
      </w:r>
      <w:r>
        <w:rPr>
          <w:rFonts w:hint="eastAsia"/>
          <w:lang w:val="en-US" w:eastAsia="zh-CN"/>
        </w:rPr>
        <w:t>注意事项</w:t>
      </w:r>
      <w:r>
        <w:rPr>
          <w:rFonts w:hint="eastAsia"/>
        </w:rPr>
        <w:t>组成。其中“</w:t>
      </w:r>
      <w:r>
        <w:rPr>
          <w:rFonts w:hint="eastAsia"/>
          <w:lang w:val="en-US" w:eastAsia="zh-CN"/>
        </w:rPr>
        <w:t>基本要求</w:t>
      </w:r>
      <w:r>
        <w:rPr>
          <w:rFonts w:hint="eastAsia"/>
        </w:rPr>
        <w:t>”</w:t>
      </w:r>
      <w:r>
        <w:rPr>
          <w:rFonts w:hint="eastAsia"/>
          <w:lang w:eastAsia="zh-CN"/>
        </w:rPr>
        <w:t>、</w:t>
      </w:r>
      <w:r>
        <w:rPr>
          <w:rFonts w:hint="eastAsia"/>
        </w:rPr>
        <w:t>“</w:t>
      </w:r>
      <w:r>
        <w:rPr>
          <w:rFonts w:hint="eastAsia"/>
          <w:lang w:val="en-US" w:eastAsia="zh-CN"/>
        </w:rPr>
        <w:t>适应症和禁忌症</w:t>
      </w:r>
      <w:r>
        <w:rPr>
          <w:rFonts w:hint="eastAsia"/>
        </w:rPr>
        <w:t>”</w:t>
      </w:r>
      <w:r>
        <w:rPr>
          <w:rFonts w:hint="eastAsia"/>
          <w:lang w:eastAsia="zh-CN"/>
        </w:rPr>
        <w:t>、</w:t>
      </w:r>
      <w:r>
        <w:rPr>
          <w:rFonts w:hint="eastAsia"/>
        </w:rPr>
        <w:t>“</w:t>
      </w:r>
      <w:r>
        <w:rPr>
          <w:rFonts w:hint="eastAsia"/>
          <w:lang w:val="en-US" w:eastAsia="zh-CN"/>
        </w:rPr>
        <w:t>操作流程</w:t>
      </w:r>
      <w:r>
        <w:rPr>
          <w:rFonts w:hint="eastAsia"/>
        </w:rPr>
        <w:t>”</w:t>
      </w:r>
      <w:r>
        <w:rPr>
          <w:rFonts w:hint="eastAsia"/>
          <w:lang w:eastAsia="zh-CN"/>
        </w:rPr>
        <w:t>、“</w:t>
      </w:r>
      <w:r>
        <w:rPr>
          <w:rFonts w:hint="eastAsia"/>
          <w:lang w:val="en-US" w:eastAsia="zh-CN"/>
        </w:rPr>
        <w:t>注意事项</w:t>
      </w:r>
      <w:r>
        <w:rPr>
          <w:rFonts w:hint="eastAsia"/>
          <w:lang w:eastAsia="zh-CN"/>
        </w:rPr>
        <w:t>”</w:t>
      </w:r>
      <w:r>
        <w:rPr>
          <w:rFonts w:hint="eastAsia"/>
        </w:rPr>
        <w:t>是本标准的主要技术内容</w:t>
      </w:r>
      <w:r>
        <w:rPr>
          <w:rFonts w:hint="eastAsia"/>
          <w:lang w:eastAsia="zh-CN"/>
        </w:rPr>
        <w:t>。</w:t>
      </w:r>
    </w:p>
    <w:p w14:paraId="08DEAB84">
      <w:pPr>
        <w:pStyle w:val="2"/>
        <w:spacing w:line="233" w:lineRule="auto"/>
        <w:ind w:left="501"/>
        <w:outlineLvl w:val="2"/>
      </w:pPr>
      <w:r>
        <w:rPr>
          <w:rFonts w:ascii="Times New Roman" w:hAnsi="Times New Roman" w:eastAsia="Times New Roman" w:cs="Times New Roman"/>
          <w:b/>
          <w:bCs/>
          <w:spacing w:val="-3"/>
        </w:rPr>
        <w:t>2</w:t>
      </w:r>
      <w:r>
        <w:rPr>
          <w:b/>
          <w:bCs/>
          <w:spacing w:val="-3"/>
        </w:rPr>
        <w:t>、主要技术指标、参数</w:t>
      </w:r>
    </w:p>
    <w:p w14:paraId="44AD1969">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标准名称：《黎医疗法操作规范 走蛇罐疗法》旨在用于指导开展黎医走蛇罐疗法的规范化操作，为走蛇罐疗法的技术实施、临床应用、质量管控提供科学依据与实操指引，形成一套安全、规范、可复制的黎医特色疗法操作流程。综合相关医疗机构、传承单位及民族医药专家意见，将 “黎医疗法操作规范 走蛇罐疗法” 作为本文件的名称。</w:t>
      </w:r>
    </w:p>
    <w:p w14:paraId="20F8E46E">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rPr>
        <w:t>术语和定义</w:t>
      </w:r>
      <w:r>
        <w:rPr>
          <w:rFonts w:hint="eastAsia"/>
          <w:lang w:eastAsia="zh-CN"/>
        </w:rPr>
        <w:t>：走蛇罐疗法</w:t>
      </w:r>
      <w:r>
        <w:rPr>
          <w:rFonts w:hint="eastAsia"/>
          <w:lang w:val="en-US" w:eastAsia="zh-CN"/>
        </w:rPr>
        <w:t>是</w:t>
      </w:r>
      <w:r>
        <w:rPr>
          <w:rFonts w:hint="eastAsia"/>
          <w:lang w:eastAsia="zh-CN"/>
        </w:rPr>
        <w:t>选用海南花梨木蛇罐，将点燃的药团置于罐内固定住，反扣在患处进行刮拭。通过热、药、按摩的作用，达到祛风活血、通经活络、消肿止痛功效。蛇罐</w:t>
      </w:r>
      <w:r>
        <w:rPr>
          <w:rFonts w:hint="eastAsia"/>
          <w:lang w:val="en-US" w:eastAsia="zh-CN"/>
        </w:rPr>
        <w:t>是</w:t>
      </w:r>
      <w:r>
        <w:rPr>
          <w:rFonts w:hint="eastAsia"/>
          <w:lang w:eastAsia="zh-CN"/>
        </w:rPr>
        <w:t>选用海南花梨木优质木材为原料制成的杯装罐，罐直径7-10cm，高25cm，罐壁较厚，可达2cm，罐壁有一定量的排气孔，罐口边缘呈蛇形波浪状，罐内底部嵌有一支钢针用于固定药团。</w:t>
      </w:r>
    </w:p>
    <w:p w14:paraId="228E35FF">
      <w:pPr>
        <w:pStyle w:val="2"/>
        <w:spacing w:before="179" w:line="291" w:lineRule="auto"/>
        <w:ind w:left="23" w:right="87" w:firstLine="487"/>
        <w:rPr>
          <w:rFonts w:hint="default" w:eastAsia="宋体"/>
          <w:lang w:val="en-US" w:eastAsia="zh-CN"/>
        </w:rPr>
      </w:pPr>
      <w:r>
        <w:rPr>
          <w:rFonts w:hint="eastAsia"/>
          <w:lang w:eastAsia="zh-CN"/>
        </w:rPr>
        <w:t>（</w:t>
      </w:r>
      <w:r>
        <w:rPr>
          <w:rFonts w:hint="eastAsia"/>
          <w:lang w:val="en-US" w:eastAsia="zh-CN"/>
        </w:rPr>
        <w:t>3</w:t>
      </w:r>
      <w:r>
        <w:rPr>
          <w:rFonts w:hint="eastAsia"/>
          <w:lang w:eastAsia="zh-CN"/>
        </w:rPr>
        <w:t>）</w:t>
      </w:r>
      <w:r>
        <w:rPr>
          <w:rFonts w:hint="eastAsia"/>
        </w:rPr>
        <w:t>基本要求</w:t>
      </w:r>
      <w:r>
        <w:rPr>
          <w:rFonts w:hint="eastAsia"/>
          <w:lang w:eastAsia="zh-CN"/>
        </w:rPr>
        <w:t>：</w:t>
      </w:r>
      <w:r>
        <w:rPr>
          <w:rFonts w:hint="eastAsia"/>
          <w:lang w:val="en-US" w:eastAsia="zh-CN"/>
        </w:rPr>
        <w:t>在人员资质、操作人员、环境要求三方面进行了相关要求规定。</w:t>
      </w:r>
    </w:p>
    <w:p w14:paraId="40F45660">
      <w:pPr>
        <w:pStyle w:val="2"/>
        <w:spacing w:before="179" w:line="291" w:lineRule="auto"/>
        <w:ind w:left="23" w:right="87" w:firstLine="487"/>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rPr>
        <w:t>适应症和禁忌症</w:t>
      </w:r>
      <w:r>
        <w:rPr>
          <w:rFonts w:hint="eastAsia"/>
          <w:lang w:eastAsia="zh-CN"/>
        </w:rPr>
        <w:t>：</w:t>
      </w:r>
    </w:p>
    <w:p w14:paraId="4298D96C">
      <w:pPr>
        <w:pStyle w:val="2"/>
        <w:spacing w:before="179" w:line="291" w:lineRule="auto"/>
        <w:ind w:left="23" w:right="87" w:firstLine="487"/>
        <w:rPr>
          <w:rFonts w:hint="eastAsia"/>
          <w:lang w:eastAsia="zh-CN"/>
        </w:rPr>
      </w:pPr>
      <w:r>
        <w:rPr>
          <w:rFonts w:hint="eastAsia"/>
          <w:lang w:val="en-US" w:eastAsia="zh-CN"/>
        </w:rPr>
        <w:t>1）</w:t>
      </w:r>
      <w:r>
        <w:rPr>
          <w:rFonts w:hint="eastAsia"/>
        </w:rPr>
        <w:t>适应症</w:t>
      </w:r>
      <w:r>
        <w:rPr>
          <w:rFonts w:hint="eastAsia"/>
          <w:lang w:eastAsia="zh-CN"/>
        </w:rPr>
        <w:t>：感冒头疼、腰肌劳损、腰背痛、产后腹痛、痛经、闭经、颈椎病、肩周炎、风湿关节炎等。</w:t>
      </w:r>
    </w:p>
    <w:p w14:paraId="0442433D">
      <w:pPr>
        <w:pStyle w:val="2"/>
        <w:spacing w:before="179" w:line="291" w:lineRule="auto"/>
        <w:ind w:left="23" w:right="87" w:firstLine="487"/>
        <w:rPr>
          <w:rFonts w:hint="eastAsia"/>
          <w:lang w:val="en-US" w:eastAsia="zh-CN"/>
        </w:rPr>
      </w:pPr>
      <w:r>
        <w:rPr>
          <w:rFonts w:hint="eastAsia"/>
          <w:lang w:val="en-US" w:eastAsia="zh-CN"/>
        </w:rPr>
        <w:t>2）</w:t>
      </w:r>
      <w:r>
        <w:rPr>
          <w:rFonts w:hint="eastAsia"/>
        </w:rPr>
        <w:t>禁忌症</w:t>
      </w:r>
      <w:r>
        <w:rPr>
          <w:rFonts w:hint="eastAsia"/>
          <w:lang w:eastAsia="zh-CN"/>
        </w:rPr>
        <w:t>：青光眼、眼底出血、孕妇、心脏病、呼吸衰竭、哮喘及高血压并发症期间等病症禁用。</w:t>
      </w:r>
    </w:p>
    <w:p w14:paraId="159F0651">
      <w:pPr>
        <w:pStyle w:val="2"/>
        <w:spacing w:before="179" w:line="291" w:lineRule="auto"/>
        <w:ind w:left="23" w:right="87" w:firstLine="487"/>
        <w:rPr>
          <w:rFonts w:hint="eastAsia"/>
        </w:rPr>
      </w:pPr>
      <w:r>
        <w:rPr>
          <w:rFonts w:hint="eastAsia"/>
          <w:lang w:eastAsia="zh-CN"/>
        </w:rPr>
        <w:t>（</w:t>
      </w:r>
      <w:r>
        <w:rPr>
          <w:rFonts w:hint="eastAsia"/>
          <w:lang w:val="en-US" w:eastAsia="zh-CN"/>
        </w:rPr>
        <w:t>5</w:t>
      </w:r>
      <w:r>
        <w:rPr>
          <w:rFonts w:hint="eastAsia"/>
          <w:lang w:eastAsia="zh-CN"/>
        </w:rPr>
        <w:t>）</w:t>
      </w:r>
      <w:r>
        <w:rPr>
          <w:rFonts w:hint="eastAsia"/>
        </w:rPr>
        <w:t>操作流程</w:t>
      </w:r>
    </w:p>
    <w:p w14:paraId="1A330A67">
      <w:pPr>
        <w:pStyle w:val="2"/>
        <w:spacing w:before="179" w:line="291" w:lineRule="auto"/>
        <w:ind w:left="23" w:right="87" w:firstLine="487"/>
        <w:rPr>
          <w:rFonts w:hint="eastAsia"/>
          <w:lang w:val="en-US" w:eastAsia="zh-CN"/>
        </w:rPr>
      </w:pPr>
      <w:r>
        <w:rPr>
          <w:rFonts w:hint="eastAsia"/>
          <w:lang w:val="en-US" w:eastAsia="zh-CN"/>
        </w:rPr>
        <w:t>1）签署知情同意书</w:t>
      </w:r>
    </w:p>
    <w:p w14:paraId="65DE28F7">
      <w:pPr>
        <w:pStyle w:val="2"/>
        <w:spacing w:before="179" w:line="291" w:lineRule="auto"/>
        <w:ind w:left="23" w:right="87" w:firstLine="487"/>
        <w:rPr>
          <w:rFonts w:hint="eastAsia"/>
          <w:lang w:val="en-US" w:eastAsia="zh-CN"/>
        </w:rPr>
      </w:pPr>
      <w:r>
        <w:rPr>
          <w:rFonts w:hint="eastAsia"/>
          <w:lang w:val="en-US" w:eastAsia="zh-CN"/>
        </w:rPr>
        <w:t>诊疗前，对患者进行适应症、禁忌症评估。应获得患者同意，并取得患者或家属签署的诊疗知情同意书。</w:t>
      </w:r>
    </w:p>
    <w:p w14:paraId="071393BD">
      <w:pPr>
        <w:pStyle w:val="2"/>
        <w:spacing w:before="179" w:line="291" w:lineRule="auto"/>
        <w:ind w:left="23" w:right="87" w:firstLine="487"/>
        <w:rPr>
          <w:rFonts w:hint="eastAsia"/>
          <w:lang w:val="en-US" w:eastAsia="zh-CN"/>
        </w:rPr>
      </w:pPr>
      <w:r>
        <w:rPr>
          <w:rFonts w:hint="eastAsia"/>
          <w:lang w:val="en-US" w:eastAsia="zh-CN"/>
        </w:rPr>
        <w:t>2）药物制备</w:t>
      </w:r>
    </w:p>
    <w:p w14:paraId="2154AE36">
      <w:pPr>
        <w:pStyle w:val="2"/>
        <w:spacing w:before="179" w:line="291" w:lineRule="auto"/>
        <w:ind w:left="23" w:right="87" w:firstLine="487"/>
        <w:rPr>
          <w:rFonts w:hint="eastAsia"/>
          <w:lang w:val="en-US" w:eastAsia="zh-CN"/>
        </w:rPr>
      </w:pPr>
      <w:r>
        <w:rPr>
          <w:rFonts w:hint="eastAsia"/>
          <w:lang w:val="en-US" w:eastAsia="zh-CN"/>
        </w:rPr>
        <w:t>生姜400g、艾叶400g、散血丹250g、糯米10g、沉香5g、粗盐5g，共捣烂，根据病情需要捏实成小药团，晒干备用。</w:t>
      </w:r>
    </w:p>
    <w:p w14:paraId="41EFFBEA">
      <w:pPr>
        <w:pStyle w:val="2"/>
        <w:spacing w:before="179" w:line="291" w:lineRule="auto"/>
        <w:ind w:left="23" w:right="87" w:firstLine="487"/>
        <w:rPr>
          <w:rFonts w:hint="eastAsia"/>
          <w:lang w:val="en-US" w:eastAsia="zh-CN"/>
        </w:rPr>
      </w:pPr>
      <w:r>
        <w:rPr>
          <w:rFonts w:hint="eastAsia"/>
          <w:lang w:val="en-US" w:eastAsia="zh-CN"/>
        </w:rPr>
        <w:t>3）体位选择</w:t>
      </w:r>
    </w:p>
    <w:p w14:paraId="53DD44DA">
      <w:pPr>
        <w:pStyle w:val="2"/>
        <w:spacing w:before="179" w:line="291" w:lineRule="auto"/>
        <w:ind w:left="23" w:right="87" w:firstLine="487"/>
        <w:rPr>
          <w:rFonts w:hint="eastAsia"/>
          <w:lang w:val="en-US" w:eastAsia="zh-CN"/>
        </w:rPr>
      </w:pPr>
      <w:r>
        <w:rPr>
          <w:rFonts w:hint="eastAsia"/>
          <w:lang w:val="en-US" w:eastAsia="zh-CN"/>
        </w:rPr>
        <w:t>以患者舒适并能较长时间保持体位为原则。可选择坐位、仰卧位、俯卧位。</w:t>
      </w:r>
    </w:p>
    <w:p w14:paraId="68DA2481">
      <w:pPr>
        <w:pStyle w:val="2"/>
        <w:spacing w:before="179" w:line="291" w:lineRule="auto"/>
        <w:ind w:left="23" w:right="87" w:firstLine="487"/>
        <w:rPr>
          <w:rFonts w:hint="eastAsia"/>
          <w:lang w:val="en-US" w:eastAsia="zh-CN"/>
        </w:rPr>
      </w:pPr>
      <w:r>
        <w:rPr>
          <w:rFonts w:hint="eastAsia"/>
          <w:lang w:val="en-US" w:eastAsia="zh-CN"/>
        </w:rPr>
        <w:t>4）施术方法</w:t>
      </w:r>
    </w:p>
    <w:p w14:paraId="1E9D3D0B">
      <w:pPr>
        <w:pStyle w:val="2"/>
        <w:spacing w:before="179" w:line="291" w:lineRule="auto"/>
        <w:ind w:left="23" w:right="87" w:firstLine="487"/>
        <w:rPr>
          <w:rFonts w:hint="eastAsia"/>
          <w:lang w:val="en-US" w:eastAsia="zh-CN"/>
        </w:rPr>
      </w:pPr>
      <w:r>
        <w:rPr>
          <w:rFonts w:hint="eastAsia"/>
          <w:lang w:val="en-US" w:eastAsia="zh-CN"/>
        </w:rPr>
        <w:t>①先用山柚油涂搽患处部位。</w:t>
      </w:r>
    </w:p>
    <w:p w14:paraId="5F7EF79C">
      <w:pPr>
        <w:pStyle w:val="2"/>
        <w:spacing w:before="179" w:line="291" w:lineRule="auto"/>
        <w:ind w:left="23" w:right="87" w:firstLine="487"/>
        <w:rPr>
          <w:rFonts w:hint="eastAsia"/>
          <w:lang w:val="en-US" w:eastAsia="zh-CN"/>
        </w:rPr>
      </w:pPr>
      <w:r>
        <w:rPr>
          <w:rFonts w:hint="eastAsia"/>
          <w:lang w:val="en-US" w:eastAsia="zh-CN"/>
        </w:rPr>
        <w:t>②将药团插在罐内底部的针上，点燃。握住点燃的蛇罐，反扣，在身体上方移动，至皮肤发红，深部组织发热为度。详见附录A。</w:t>
      </w:r>
    </w:p>
    <w:p w14:paraId="3660485C">
      <w:pPr>
        <w:pStyle w:val="2"/>
        <w:spacing w:before="179" w:line="291" w:lineRule="auto"/>
        <w:ind w:left="23" w:right="87" w:firstLine="487"/>
        <w:rPr>
          <w:rFonts w:hint="eastAsia"/>
          <w:lang w:val="en-US" w:eastAsia="zh-CN"/>
        </w:rPr>
      </w:pPr>
      <w:r>
        <w:rPr>
          <w:rFonts w:hint="eastAsia"/>
          <w:lang w:val="en-US" w:eastAsia="zh-CN"/>
        </w:rPr>
        <w:t>③一般步骤是由上而下，由内到外。方法有直走法，蛇形走法，时间以30分钟为宜。</w:t>
      </w:r>
    </w:p>
    <w:p w14:paraId="42F669AF">
      <w:pPr>
        <w:pStyle w:val="2"/>
        <w:spacing w:before="179" w:line="291" w:lineRule="auto"/>
        <w:ind w:left="23" w:right="87" w:firstLine="487"/>
        <w:rPr>
          <w:rFonts w:hint="eastAsia"/>
          <w:lang w:val="en-US" w:eastAsia="zh-CN"/>
        </w:rPr>
      </w:pPr>
      <w:r>
        <w:rPr>
          <w:rFonts w:hint="eastAsia"/>
          <w:lang w:val="en-US" w:eastAsia="zh-CN"/>
        </w:rPr>
        <w:t>④注意掌握距离频率和力度，注意避免烫伤。</w:t>
      </w:r>
    </w:p>
    <w:p w14:paraId="2E988681">
      <w:pPr>
        <w:pStyle w:val="2"/>
        <w:spacing w:before="179" w:line="291" w:lineRule="auto"/>
        <w:ind w:left="23" w:right="87" w:firstLine="487"/>
        <w:rPr>
          <w:rFonts w:hint="eastAsia"/>
        </w:rPr>
      </w:pPr>
      <w:r>
        <w:rPr>
          <w:rFonts w:hint="eastAsia"/>
          <w:lang w:eastAsia="zh-CN"/>
        </w:rPr>
        <w:t>（</w:t>
      </w:r>
      <w:r>
        <w:rPr>
          <w:rFonts w:hint="eastAsia"/>
          <w:lang w:val="en-US" w:eastAsia="zh-CN"/>
        </w:rPr>
        <w:t>6</w:t>
      </w:r>
      <w:r>
        <w:rPr>
          <w:rFonts w:hint="eastAsia"/>
          <w:lang w:eastAsia="zh-CN"/>
        </w:rPr>
        <w:t>）</w:t>
      </w:r>
      <w:r>
        <w:rPr>
          <w:rFonts w:hint="eastAsia"/>
        </w:rPr>
        <w:t>注意事项</w:t>
      </w:r>
    </w:p>
    <w:p w14:paraId="40A5297E">
      <w:pPr>
        <w:pStyle w:val="2"/>
        <w:spacing w:before="179" w:line="291" w:lineRule="auto"/>
        <w:ind w:left="23" w:right="87" w:firstLine="487"/>
        <w:rPr>
          <w:rFonts w:hint="eastAsia"/>
          <w:lang w:val="en-US" w:eastAsia="zh-CN"/>
        </w:rPr>
      </w:pPr>
      <w:r>
        <w:rPr>
          <w:rFonts w:hint="eastAsia"/>
          <w:lang w:val="en-US" w:eastAsia="zh-CN"/>
        </w:rPr>
        <w:t>1）药团火头应与皮肤保持距离，切忌火头接触皮肤，以免烫伤。</w:t>
      </w:r>
    </w:p>
    <w:p w14:paraId="1FE8BAD0">
      <w:pPr>
        <w:pStyle w:val="2"/>
        <w:spacing w:before="179" w:line="291" w:lineRule="auto"/>
        <w:ind w:left="23" w:right="87" w:firstLine="487"/>
        <w:rPr>
          <w:rFonts w:hint="eastAsia"/>
          <w:lang w:val="en-US" w:eastAsia="zh-CN"/>
        </w:rPr>
      </w:pPr>
      <w:r>
        <w:rPr>
          <w:rFonts w:hint="eastAsia"/>
          <w:lang w:val="en-US" w:eastAsia="zh-CN"/>
        </w:rPr>
        <w:t>2）随时注意患者表情并询问患者感受，以患者能忍受为度，以避免灼伤。</w:t>
      </w:r>
    </w:p>
    <w:p w14:paraId="2A0455C1">
      <w:pPr>
        <w:pStyle w:val="2"/>
        <w:spacing w:before="179" w:line="291" w:lineRule="auto"/>
        <w:ind w:left="23" w:right="87" w:firstLine="487"/>
        <w:rPr>
          <w:rFonts w:hint="eastAsia"/>
          <w:lang w:val="en-US" w:eastAsia="zh-CN"/>
        </w:rPr>
      </w:pPr>
      <w:r>
        <w:rPr>
          <w:rFonts w:hint="eastAsia"/>
          <w:lang w:val="en-US" w:eastAsia="zh-CN"/>
        </w:rPr>
        <w:t>3）治疗后，请勿即刻洗涤、吹风。</w:t>
      </w:r>
    </w:p>
    <w:p w14:paraId="72D66873">
      <w:pPr>
        <w:pStyle w:val="2"/>
        <w:spacing w:before="179" w:line="291" w:lineRule="auto"/>
        <w:ind w:left="23" w:right="87" w:firstLine="487"/>
        <w:rPr>
          <w:rFonts w:hint="eastAsia"/>
          <w:lang w:val="en-US" w:eastAsia="zh-CN"/>
        </w:rPr>
      </w:pPr>
      <w:r>
        <w:rPr>
          <w:rFonts w:hint="eastAsia"/>
          <w:lang w:val="en-US" w:eastAsia="zh-CN"/>
        </w:rPr>
        <w:t>4）对体质虚弱、神经衰弱的患者，治疗时火力宜小，饥饿的患者应先进食或饮用糖水。</w:t>
      </w:r>
    </w:p>
    <w:p w14:paraId="5551DEA3">
      <w:pPr>
        <w:pStyle w:val="2"/>
        <w:spacing w:before="179" w:line="291" w:lineRule="auto"/>
        <w:ind w:left="23" w:right="87" w:firstLine="487"/>
        <w:rPr>
          <w:rFonts w:hint="eastAsia"/>
          <w:lang w:val="en-US" w:eastAsia="zh-CN"/>
        </w:rPr>
      </w:pPr>
      <w:r>
        <w:rPr>
          <w:rFonts w:hint="eastAsia"/>
          <w:lang w:val="en-US" w:eastAsia="zh-CN"/>
        </w:rPr>
        <w:t>5）治疗过程中注意对患者其他暴露部位保暖。</w:t>
      </w:r>
    </w:p>
    <w:p w14:paraId="4B7CF512">
      <w:pPr>
        <w:pStyle w:val="2"/>
        <w:spacing w:before="179" w:line="235" w:lineRule="auto"/>
        <w:ind w:left="499"/>
        <w:outlineLvl w:val="2"/>
        <w:rPr>
          <w:b/>
          <w:bCs/>
          <w:spacing w:val="-3"/>
        </w:rPr>
      </w:pPr>
      <w:r>
        <w:rPr>
          <w:rFonts w:ascii="Times New Roman" w:hAnsi="Times New Roman" w:eastAsia="Times New Roman" w:cs="Times New Roman"/>
          <w:b/>
          <w:bCs/>
          <w:spacing w:val="-3"/>
        </w:rPr>
        <w:t>3</w:t>
      </w:r>
      <w:r>
        <w:rPr>
          <w:b/>
          <w:bCs/>
          <w:spacing w:val="-3"/>
        </w:rPr>
        <w:t>、试验验证的论述</w:t>
      </w:r>
    </w:p>
    <w:p w14:paraId="01427046">
      <w:pPr>
        <w:pStyle w:val="2"/>
        <w:keepNext w:val="0"/>
        <w:keepLines w:val="0"/>
        <w:pageBreakBefore w:val="0"/>
        <w:widowControl/>
        <w:kinsoku w:val="0"/>
        <w:wordWrap/>
        <w:overflowPunct/>
        <w:topLinePunct w:val="0"/>
        <w:autoSpaceDE w:val="0"/>
        <w:autoSpaceDN w:val="0"/>
        <w:bidi w:val="0"/>
        <w:adjustRightInd w:val="0"/>
        <w:snapToGrid w:val="0"/>
        <w:spacing w:before="179" w:line="291" w:lineRule="auto"/>
        <w:ind w:firstLine="480" w:firstLineChars="200"/>
        <w:textAlignment w:val="baseline"/>
        <w:outlineLvl w:val="9"/>
        <w:rPr>
          <w:rFonts w:hint="eastAsia"/>
          <w:lang w:val="en-US" w:eastAsia="zh-CN"/>
        </w:rPr>
      </w:pPr>
      <w:r>
        <w:rPr>
          <w:rFonts w:hint="eastAsia"/>
        </w:rPr>
        <w:t>标准中规定的适应症、禁忌症、操作方法及技术参数，主要基于黎医传统理论、起草单位及相关医疗机构长期的临床应用实践和经验总结。</w:t>
      </w:r>
      <w:r>
        <w:rPr>
          <w:rFonts w:hint="eastAsia"/>
          <w:lang w:val="en-US" w:eastAsia="zh-CN"/>
        </w:rPr>
        <w:t>走蛇罐</w:t>
      </w:r>
      <w:r>
        <w:rPr>
          <w:rFonts w:hint="eastAsia"/>
        </w:rPr>
        <w:t>疗法在海南地区对于特定病症的应用已积累了一定的实践基础，其疗效和安全性在特定范围内得到了验证。本标准将这些实践经验进行系统总结和规范，为其进一步的安全应用和临床研究提供了基础框架</w:t>
      </w:r>
      <w:r>
        <w:rPr>
          <w:rFonts w:hint="eastAsia"/>
          <w:lang w:val="en-US" w:eastAsia="zh-CN"/>
        </w:rPr>
        <w:t>。</w:t>
      </w:r>
    </w:p>
    <w:p w14:paraId="1B32C14C">
      <w:pPr>
        <w:pStyle w:val="2"/>
        <w:spacing w:line="219" w:lineRule="auto"/>
        <w:ind w:left="511"/>
        <w:outlineLvl w:val="1"/>
      </w:pPr>
      <w:bookmarkStart w:id="6" w:name="_Toc6307"/>
      <w:r>
        <w:rPr>
          <w:b/>
          <w:bCs/>
          <w:spacing w:val="-3"/>
        </w:rPr>
        <w:t>（五）标准中如果涉及专利，应有明确的知识产权说明</w:t>
      </w:r>
      <w:bookmarkEnd w:id="6"/>
    </w:p>
    <w:p w14:paraId="4318D41E">
      <w:pPr>
        <w:pStyle w:val="2"/>
        <w:spacing w:before="185" w:line="220" w:lineRule="auto"/>
        <w:ind w:left="508"/>
      </w:pPr>
      <w:r>
        <w:rPr>
          <w:rFonts w:hint="eastAsia"/>
          <w:lang w:val="en-US" w:eastAsia="zh-CN"/>
        </w:rPr>
        <w:t>未涉及专利。</w:t>
      </w:r>
    </w:p>
    <w:p w14:paraId="47FD331C">
      <w:pPr>
        <w:pStyle w:val="2"/>
        <w:spacing w:before="177" w:line="291" w:lineRule="auto"/>
        <w:ind w:left="25" w:right="121" w:firstLine="485"/>
        <w:outlineLvl w:val="1"/>
      </w:pPr>
      <w:bookmarkStart w:id="7" w:name="_Toc5359"/>
      <w:r>
        <w:rPr>
          <w:b/>
          <w:bCs/>
          <w:spacing w:val="1"/>
        </w:rPr>
        <w:t>（六）采用国际标准或国外先进标准的，说明采标程度，以及国内外同类</w:t>
      </w:r>
      <w:r>
        <w:rPr>
          <w:b/>
          <w:bCs/>
          <w:spacing w:val="-3"/>
        </w:rPr>
        <w:t>标准水平的对比情况</w:t>
      </w:r>
      <w:bookmarkEnd w:id="7"/>
    </w:p>
    <w:p w14:paraId="427769AE">
      <w:pPr>
        <w:pStyle w:val="2"/>
        <w:spacing w:before="183" w:line="360" w:lineRule="auto"/>
        <w:ind w:left="24" w:firstLine="503"/>
        <w:rPr>
          <w:rFonts w:hint="eastAsia" w:eastAsia="宋体"/>
          <w:lang w:eastAsia="zh-CN"/>
        </w:rPr>
      </w:pPr>
      <w:r>
        <w:rPr>
          <w:rFonts w:hint="eastAsia"/>
          <w:lang w:val="en-US" w:eastAsia="zh-CN"/>
        </w:rPr>
        <w:t>未采用国际标准或国外先进标准。无</w:t>
      </w:r>
      <w:r>
        <w:rPr>
          <w:b w:val="0"/>
          <w:bCs w:val="0"/>
          <w:spacing w:val="1"/>
        </w:rPr>
        <w:t>国内外同类</w:t>
      </w:r>
      <w:r>
        <w:rPr>
          <w:b w:val="0"/>
          <w:bCs w:val="0"/>
          <w:spacing w:val="-3"/>
        </w:rPr>
        <w:t>标准</w:t>
      </w:r>
      <w:r>
        <w:rPr>
          <w:rFonts w:hint="eastAsia"/>
          <w:b w:val="0"/>
          <w:bCs w:val="0"/>
          <w:spacing w:val="-3"/>
          <w:lang w:eastAsia="zh-CN"/>
        </w:rPr>
        <w:t>。</w:t>
      </w:r>
    </w:p>
    <w:p w14:paraId="25D43ACA">
      <w:pPr>
        <w:pStyle w:val="2"/>
        <w:spacing w:before="1" w:line="218" w:lineRule="auto"/>
        <w:ind w:left="511"/>
        <w:outlineLvl w:val="1"/>
      </w:pPr>
      <w:bookmarkStart w:id="8" w:name="_Toc27105"/>
      <w:r>
        <w:rPr>
          <w:b/>
          <w:bCs/>
          <w:spacing w:val="-4"/>
        </w:rPr>
        <w:t>（七）重大分歧意见的处理依据和结果</w:t>
      </w:r>
      <w:bookmarkEnd w:id="8"/>
    </w:p>
    <w:p w14:paraId="17B18262">
      <w:pPr>
        <w:pStyle w:val="2"/>
        <w:spacing w:before="181" w:line="220" w:lineRule="auto"/>
        <w:ind w:left="506"/>
        <w:rPr>
          <w:rFonts w:hint="eastAsia" w:eastAsia="宋体"/>
          <w:lang w:eastAsia="zh-CN"/>
        </w:rPr>
      </w:pPr>
      <w:r>
        <w:t>无</w:t>
      </w:r>
      <w:r>
        <w:rPr>
          <w:rFonts w:hint="eastAsia"/>
          <w:lang w:eastAsia="zh-CN"/>
        </w:rPr>
        <w:t>。</w:t>
      </w:r>
    </w:p>
    <w:p w14:paraId="57B065E6">
      <w:pPr>
        <w:pStyle w:val="2"/>
        <w:numPr>
          <w:ilvl w:val="0"/>
          <w:numId w:val="5"/>
        </w:numPr>
        <w:spacing w:before="183" w:line="291" w:lineRule="auto"/>
        <w:ind w:left="30" w:right="27" w:firstLine="480"/>
        <w:outlineLvl w:val="1"/>
        <w:rPr>
          <w:b/>
          <w:bCs/>
          <w:spacing w:val="-7"/>
        </w:rPr>
      </w:pPr>
      <w:bookmarkStart w:id="9" w:name="_Toc7930"/>
      <w:r>
        <w:rPr>
          <w:b/>
          <w:bCs/>
          <w:spacing w:val="-3"/>
        </w:rPr>
        <w:t>贯彻标准的要求和措施建议（包括组织措</w:t>
      </w:r>
      <w:r>
        <w:rPr>
          <w:b/>
          <w:bCs/>
          <w:spacing w:val="-4"/>
        </w:rPr>
        <w:t>施、技术措施、过渡办法、</w:t>
      </w:r>
      <w:r>
        <w:rPr>
          <w:b/>
          <w:bCs/>
          <w:spacing w:val="-7"/>
        </w:rPr>
        <w:t>实施日期等）</w:t>
      </w:r>
      <w:bookmarkEnd w:id="9"/>
    </w:p>
    <w:p w14:paraId="6377F349">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rPr>
        <w:t>1.组织措施：标准颁布后，广东省中医院海南医院负责推广和贯标工作，成立推广领导小组，依托行业主管部门，联合省内中医医疗机构及医药高校，在海南省卫生健康委员会的指导下，组织相关的宣传、培训推广等工作，培训的对象主要为医护人员；培训方式灵活多样，可以为现场培训、视频会议等方式。培训频次和时间可根据卫健委要求进行调整。</w:t>
      </w:r>
    </w:p>
    <w:p w14:paraId="0781EA83">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rPr>
        <w:t>2.技术措施：依托广东省中医院海南医院等单位成立技术指导中心，通过现场指导、技术咨询、学术交流等方式提供技术支持。</w:t>
      </w:r>
    </w:p>
    <w:p w14:paraId="6BF001B5">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rPr>
        <w:t>3.监督检查：由省级相关部门成立监督检查小组，通过定期检查、随机抽查、数据分析评估等方式，对标准的实施情况进行监督。</w:t>
      </w:r>
    </w:p>
    <w:p w14:paraId="36702DE0">
      <w:pPr>
        <w:pStyle w:val="2"/>
        <w:numPr>
          <w:ilvl w:val="0"/>
          <w:numId w:val="0"/>
        </w:numPr>
        <w:spacing w:before="183" w:line="291" w:lineRule="auto"/>
        <w:ind w:left="0" w:leftChars="0" w:right="27" w:rightChars="0" w:firstLine="452" w:firstLineChars="200"/>
        <w:outlineLvl w:val="9"/>
        <w:rPr>
          <w:b/>
          <w:bCs/>
          <w:spacing w:val="-7"/>
        </w:rPr>
      </w:pPr>
      <w:r>
        <w:rPr>
          <w:rFonts w:hint="eastAsia"/>
          <w:b w:val="0"/>
          <w:bCs w:val="0"/>
          <w:spacing w:val="-7"/>
        </w:rPr>
        <w:t>4.实施日期：建议自标准发布之日起实施，最终由海南省卫生健康委员会及相关主管部门商议决定。</w:t>
      </w:r>
    </w:p>
    <w:p w14:paraId="7DFAC062">
      <w:pPr>
        <w:pStyle w:val="2"/>
        <w:numPr>
          <w:ilvl w:val="0"/>
          <w:numId w:val="5"/>
        </w:numPr>
        <w:spacing w:before="1" w:line="220" w:lineRule="auto"/>
        <w:ind w:left="30" w:leftChars="0" w:firstLine="480" w:firstLineChars="0"/>
        <w:outlineLvl w:val="1"/>
        <w:rPr>
          <w:b/>
          <w:bCs/>
          <w:spacing w:val="-7"/>
        </w:rPr>
      </w:pPr>
      <w:bookmarkStart w:id="10" w:name="_Toc28561"/>
      <w:r>
        <w:rPr>
          <w:b/>
          <w:bCs/>
          <w:spacing w:val="-7"/>
        </w:rPr>
        <w:t>预期效果</w:t>
      </w:r>
      <w:bookmarkEnd w:id="10"/>
    </w:p>
    <w:p w14:paraId="3FD3EDF0">
      <w:pPr>
        <w:pStyle w:val="2"/>
        <w:numPr>
          <w:ilvl w:val="0"/>
          <w:numId w:val="0"/>
        </w:numPr>
        <w:spacing w:before="183" w:line="291" w:lineRule="auto"/>
        <w:ind w:left="0" w:leftChars="0" w:right="27" w:rightChars="0" w:firstLine="452" w:firstLineChars="200"/>
        <w:outlineLvl w:val="9"/>
        <w:rPr>
          <w:rFonts w:hint="eastAsia"/>
          <w:b w:val="0"/>
          <w:bCs w:val="0"/>
          <w:spacing w:val="-7"/>
        </w:rPr>
      </w:pPr>
      <w:r>
        <w:rPr>
          <w:rFonts w:hint="eastAsia"/>
          <w:b w:val="0"/>
          <w:bCs w:val="0"/>
          <w:spacing w:val="-7"/>
        </w:rPr>
        <w:t>通过统一全省黎医走蛇罐疗法的技术操作，可提升服务质量与疗效稳定性，同时以明确的安全规范和禁忌症保障医疗安全、降低治疗风险；既能为该疗法的传承、教学培训及学术研究提供权威规范文本，促进人才培养与技艺传承，又能带动相关器具制作、健康服务、文化旅游等产业链发展，系统梳理并固化黎族传统走蛇罐疗法知识，推动非物质文化遗产的保护与传承。</w:t>
      </w:r>
    </w:p>
    <w:p w14:paraId="3A581053">
      <w:pPr>
        <w:pStyle w:val="2"/>
        <w:numPr>
          <w:ilvl w:val="0"/>
          <w:numId w:val="0"/>
        </w:numPr>
        <w:spacing w:before="183" w:line="291" w:lineRule="auto"/>
        <w:ind w:right="27" w:rightChars="0" w:firstLine="454" w:firstLineChars="200"/>
        <w:outlineLvl w:val="1"/>
        <w:rPr>
          <w:rFonts w:hint="eastAsia"/>
          <w:b/>
          <w:bCs/>
          <w:spacing w:val="-7"/>
        </w:rPr>
      </w:pPr>
      <w:bookmarkStart w:id="11" w:name="_Toc19221"/>
      <w:r>
        <w:rPr>
          <w:rFonts w:hint="eastAsia"/>
          <w:b/>
          <w:bCs/>
          <w:spacing w:val="-7"/>
        </w:rPr>
        <w:t>（十）其他应予说明的事项</w:t>
      </w:r>
      <w:bookmarkEnd w:id="11"/>
    </w:p>
    <w:p w14:paraId="3F9932EC">
      <w:pPr>
        <w:pStyle w:val="2"/>
        <w:spacing w:before="184" w:line="220" w:lineRule="auto"/>
        <w:ind w:left="506"/>
        <w:rPr>
          <w:rFonts w:hint="eastAsia" w:eastAsia="宋体"/>
          <w:lang w:val="en-US" w:eastAsia="zh-CN"/>
        </w:rPr>
      </w:pPr>
      <w:r>
        <w:rPr>
          <w:rFonts w:hint="eastAsia"/>
          <w:lang w:val="en-US" w:eastAsia="zh-CN"/>
        </w:rPr>
        <w:t>无。</w:t>
      </w:r>
    </w:p>
    <w:sectPr>
      <w:footerReference r:id="rId7" w:type="default"/>
      <w:pgSz w:w="11905" w:h="16840"/>
      <w:pgMar w:top="1431" w:right="1785" w:bottom="1255" w:left="1785" w:header="0" w:footer="10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525B8C8-A971-4A66-AD4F-1A4584D05685}"/>
  </w:font>
  <w:font w:name="黑体">
    <w:panose1 w:val="02010609060101010101"/>
    <w:charset w:val="86"/>
    <w:family w:val="auto"/>
    <w:pitch w:val="default"/>
    <w:sig w:usb0="800002BF" w:usb1="38CF7CFA" w:usb2="00000016" w:usb3="00000000" w:csb0="00040001" w:csb1="00000000"/>
    <w:embedRegular r:id="rId2" w:fontKey="{3937F4A8-DC95-47B3-9AFB-4A4289D11C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50B54CC2-8876-4B1C-B769-E0098D62197F}"/>
  </w:font>
  <w:font w:name="方正小标宋简体">
    <w:panose1 w:val="02000000000000000000"/>
    <w:charset w:val="86"/>
    <w:family w:val="script"/>
    <w:pitch w:val="default"/>
    <w:sig w:usb0="00000001" w:usb1="08000000" w:usb2="00000000" w:usb3="00000000" w:csb0="00040000" w:csb1="00000000"/>
    <w:embedRegular r:id="rId4" w:fontKey="{518B222B-6D57-4A10-A65D-5C513A5CB068}"/>
  </w:font>
  <w:font w:name="方正公文小标宋">
    <w:panose1 w:val="02000500000000000000"/>
    <w:charset w:val="86"/>
    <w:family w:val="auto"/>
    <w:pitch w:val="default"/>
    <w:sig w:usb0="A00002BF" w:usb1="38CF7CFA" w:usb2="00000016" w:usb3="00000000" w:csb0="00040001" w:csb1="00000000"/>
    <w:embedRegular r:id="rId5" w:fontKey="{C979A6C7-C89E-4885-B2D7-31EC37D35B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71838">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51002">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6351002">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92E7">
    <w:pPr>
      <w:spacing w:line="223" w:lineRule="auto"/>
      <w:ind w:left="4282"/>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FC4A">
    <w:pPr>
      <w:spacing w:line="223" w:lineRule="auto"/>
      <w:ind w:left="4282"/>
      <w:rPr>
        <w:rFonts w:ascii="Times New Roman" w:hAnsi="Times New Roman" w:eastAsia="Times New Roman" w:cs="Times New Roman"/>
        <w:sz w:val="18"/>
        <w:szCs w:val="18"/>
      </w:rPr>
    </w:pPr>
    <w:bookmarkStart w:id="12" w:name="_GoBack"/>
    <w:bookmarkEnd w:id="12"/>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3DBEA">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83DBEA">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3F67B"/>
    <w:multiLevelType w:val="singleLevel"/>
    <w:tmpl w:val="AF23F67B"/>
    <w:lvl w:ilvl="0" w:tentative="0">
      <w:start w:val="2"/>
      <w:numFmt w:val="decimal"/>
      <w:suff w:val="nothing"/>
      <w:lvlText w:val="%1."/>
      <w:lvlJc w:val="left"/>
      <w:rPr>
        <w:rFonts w:hint="default"/>
        <w:b/>
        <w:bCs/>
      </w:rPr>
    </w:lvl>
  </w:abstractNum>
  <w:abstractNum w:abstractNumId="1">
    <w:nsid w:val="FF4B294A"/>
    <w:multiLevelType w:val="singleLevel"/>
    <w:tmpl w:val="FF4B294A"/>
    <w:lvl w:ilvl="0" w:tentative="0">
      <w:start w:val="3"/>
      <w:numFmt w:val="decimal"/>
      <w:suff w:val="nothing"/>
      <w:lvlText w:val="（%1）"/>
      <w:lvlJc w:val="left"/>
    </w:lvl>
  </w:abstractNum>
  <w:abstractNum w:abstractNumId="2">
    <w:nsid w:val="2C5917C3"/>
    <w:multiLevelType w:val="multilevel"/>
    <w:tmpl w:val="2C5917C3"/>
    <w:lvl w:ilvl="0" w:tentative="0">
      <w:start w:val="1"/>
      <w:numFmt w:val="none"/>
      <w:pStyle w:val="19"/>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
    <w:nsid w:val="5E7FD17E"/>
    <w:multiLevelType w:val="singleLevel"/>
    <w:tmpl w:val="5E7FD17E"/>
    <w:lvl w:ilvl="0" w:tentative="0">
      <w:start w:val="8"/>
      <w:numFmt w:val="chineseCounting"/>
      <w:suff w:val="nothing"/>
      <w:lvlText w:val="（%1）"/>
      <w:lvlJc w:val="left"/>
      <w:rPr>
        <w:rFonts w:hint="eastAsia"/>
      </w:r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6"/>
      <w:suff w:val="nothing"/>
      <w:lvlText w:val="%1%2　"/>
      <w:lvlJc w:val="left"/>
      <w:pPr>
        <w:ind w:left="0" w:firstLine="0"/>
      </w:pPr>
      <w:rPr>
        <w:rFonts w:hint="eastAsia" w:ascii="黑体" w:eastAsia="黑体"/>
        <w:b w:val="0"/>
        <w:i w:val="0"/>
        <w:sz w:val="21"/>
      </w:rPr>
    </w:lvl>
    <w:lvl w:ilvl="2" w:tentative="0">
      <w:start w:val="1"/>
      <w:numFmt w:val="decimal"/>
      <w:pStyle w:val="1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8"/>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032F8C"/>
    <w:rsid w:val="017E579A"/>
    <w:rsid w:val="02183E0E"/>
    <w:rsid w:val="0F1225AC"/>
    <w:rsid w:val="119A3908"/>
    <w:rsid w:val="1CD34B8E"/>
    <w:rsid w:val="1E5A332C"/>
    <w:rsid w:val="21746591"/>
    <w:rsid w:val="25531B06"/>
    <w:rsid w:val="2E7F3812"/>
    <w:rsid w:val="311D0750"/>
    <w:rsid w:val="33195B29"/>
    <w:rsid w:val="3A5308B9"/>
    <w:rsid w:val="415C741A"/>
    <w:rsid w:val="41771FC5"/>
    <w:rsid w:val="450F198F"/>
    <w:rsid w:val="4AC5374D"/>
    <w:rsid w:val="50236BAB"/>
    <w:rsid w:val="557F2595"/>
    <w:rsid w:val="75560814"/>
    <w:rsid w:val="75F23E97"/>
    <w:rsid w:val="776E1C43"/>
    <w:rsid w:val="787D213D"/>
    <w:rsid w:val="7D2D7769"/>
    <w:rsid w:val="7E9975A5"/>
    <w:rsid w:val="7FE012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toc 3"/>
    <w:basedOn w:val="1"/>
    <w:next w:val="1"/>
    <w:uiPriority w:val="0"/>
    <w:pPr>
      <w:ind w:left="840" w:leftChars="4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1"/>
    <w:basedOn w:val="1"/>
    <w:next w:val="1"/>
    <w:qFormat/>
    <w:uiPriority w:val="0"/>
  </w:style>
  <w:style w:type="paragraph" w:styleId="6">
    <w:name w:val="toc 4"/>
    <w:basedOn w:val="1"/>
    <w:next w:val="1"/>
    <w:qFormat/>
    <w:uiPriority w:val="0"/>
    <w:pPr>
      <w:ind w:left="1260" w:leftChars="600"/>
    </w:pPr>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paragraph" w:customStyle="1" w:styleId="1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标准文件_术语条一"/>
    <w:basedOn w:val="14"/>
    <w:next w:val="12"/>
    <w:qFormat/>
    <w:uiPriority w:val="0"/>
  </w:style>
  <w:style w:type="paragraph" w:customStyle="1" w:styleId="14">
    <w:name w:val="标准文件_一级无标题"/>
    <w:basedOn w:val="15"/>
    <w:qFormat/>
    <w:uiPriority w:val="0"/>
    <w:pPr>
      <w:spacing w:before="0" w:beforeLines="0" w:after="0" w:afterLines="0"/>
      <w:outlineLvl w:val="9"/>
    </w:pPr>
    <w:rPr>
      <w:rFonts w:ascii="宋体" w:eastAsia="宋体"/>
    </w:rPr>
  </w:style>
  <w:style w:type="paragraph" w:customStyle="1" w:styleId="15">
    <w:name w:val="标准文件_一级条标题"/>
    <w:basedOn w:val="16"/>
    <w:next w:val="12"/>
    <w:qFormat/>
    <w:uiPriority w:val="0"/>
    <w:pPr>
      <w:numPr>
        <w:ilvl w:val="2"/>
      </w:numPr>
      <w:spacing w:before="50" w:beforeLines="50" w:after="50" w:afterLines="50"/>
      <w:outlineLvl w:val="1"/>
    </w:pPr>
  </w:style>
  <w:style w:type="paragraph" w:customStyle="1" w:styleId="16">
    <w:name w:val="标准文件_章标题"/>
    <w:next w:val="12"/>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
    <w:name w:val="标准文件_二级无标题"/>
    <w:basedOn w:val="18"/>
    <w:qFormat/>
    <w:uiPriority w:val="0"/>
    <w:pPr>
      <w:spacing w:before="0" w:beforeLines="0" w:after="0" w:afterLines="0"/>
      <w:outlineLvl w:val="9"/>
    </w:pPr>
    <w:rPr>
      <w:rFonts w:ascii="宋体" w:eastAsia="宋体"/>
    </w:rPr>
  </w:style>
  <w:style w:type="paragraph" w:customStyle="1" w:styleId="18">
    <w:name w:val="标准文件_二级条标题"/>
    <w:next w:val="12"/>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9">
    <w:name w:val="标准文件_一级项"/>
    <w:qFormat/>
    <w:uiPriority w:val="0"/>
    <w:pPr>
      <w:numPr>
        <w:ilvl w:val="0"/>
        <w:numId w:val="2"/>
      </w:numPr>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5246</Words>
  <Characters>5590</Characters>
  <TotalTime>0</TotalTime>
  <ScaleCrop>false</ScaleCrop>
  <LinksUpToDate>false</LinksUpToDate>
  <CharactersWithSpaces>5669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2026-02-25T08:35:00Z</dcterms:created>
  <dc:creator>aaa</dc:creator>
  <cp:lastModifiedBy>JoJo ke</cp:lastModifiedBy>
  <dcterms:modified xsi:type="dcterms:W3CDTF">2026-02-28T04:12:34Z</dcterms:modified>
  <dc:title>《自动气象站场室防雷技术规范》编制说明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2026-02-27T02:20:15Z</vt:filetime>
  </property>
  <property fmtid="{D5CDD505-2E9C-101B-9397-08002B2CF9AE}" pid="4" name="KSOTemplateDocerSaveRecord">
    <vt:lpwstr>eyJoZGlkIjoiYzYzMjI3MDczMTE2NDQ3YTFmYTYwMmMwOWMwMGRhZDciLCJ1c2VySWQiOiIyNzk2ODUxMTEifQ==</vt:lpwstr>
  </property>
  <property fmtid="{D5CDD505-2E9C-101B-9397-08002B2CF9AE}" pid="5" name="KSOProductBuildVer">
    <vt:lpwstr>2052-12.1.0.25225</vt:lpwstr>
  </property>
  <property fmtid="{D5CDD505-2E9C-101B-9397-08002B2CF9AE}" pid="6" name="ICV">
    <vt:lpwstr>96C9BD968B74487088A1ACFB60F42043_12</vt:lpwstr>
  </property>
</Properties>
</file>