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795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A2AD475">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8253CAE">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11.020</w:t>
            </w:r>
            <w:r>
              <w:rPr>
                <w:rFonts w:ascii="黑体" w:hAnsi="黑体" w:eastAsia="黑体"/>
                <w:sz w:val="21"/>
                <w:szCs w:val="21"/>
              </w:rPr>
              <w:t xml:space="preserve"> </w:t>
            </w:r>
            <w:r>
              <w:rPr>
                <w:rFonts w:ascii="黑体" w:hAnsi="黑体" w:eastAsia="黑体"/>
                <w:sz w:val="21"/>
                <w:szCs w:val="21"/>
              </w:rPr>
              <w:fldChar w:fldCharType="end"/>
            </w:r>
            <w:bookmarkEnd w:id="0"/>
          </w:p>
        </w:tc>
      </w:tr>
      <w:tr w14:paraId="7143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A7AE4E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7AC8A5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289DF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3F73A4E6">
            <w:pPr>
              <w:pStyle w:val="49"/>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46</w:t>
            </w:r>
            <w:r>
              <w:fldChar w:fldCharType="end"/>
            </w:r>
            <w:bookmarkEnd w:id="3"/>
          </w:p>
        </w:tc>
      </w:tr>
    </w:tbl>
    <w:p w14:paraId="0E57AF32">
      <w:pPr>
        <w:pStyle w:val="50"/>
        <w:framePr w:w="9639" w:h="624" w:hRule="exact" w:hSpace="181" w:vSpace="181" w:wrap="around"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54E8CA7C">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1ACCF2B">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5D94491C">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CC5A2A0">
      <w:pPr>
        <w:pStyle w:val="50"/>
        <w:framePr w:w="9639" w:h="6976" w:hRule="exact" w:hSpace="0" w:vSpace="0" w:wrap="around" w:hAnchor="page" w:y="6408"/>
        <w:jc w:val="center"/>
        <w:rPr>
          <w:rFonts w:hint="eastAsia" w:ascii="黑体" w:hAnsi="黑体" w:eastAsia="黑体"/>
          <w:b w:val="0"/>
          <w:bCs w:val="0"/>
          <w:w w:val="100"/>
        </w:rPr>
      </w:pPr>
    </w:p>
    <w:p w14:paraId="64FC8A5F">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黎医疗法操作规范</w:t>
      </w:r>
      <w:r>
        <w:rPr>
          <w:rFonts w:hint="eastAsia"/>
          <w:lang w:val="en-US" w:eastAsia="zh-CN"/>
        </w:rPr>
        <w:t xml:space="preserve">  走蛇罐疗法</w:t>
      </w:r>
      <w:r>
        <w:fldChar w:fldCharType="end"/>
      </w:r>
      <w:bookmarkEnd w:id="9"/>
    </w:p>
    <w:p w14:paraId="47554BD5">
      <w:pPr>
        <w:framePr w:w="9639" w:h="6974" w:hRule="exact" w:wrap="around" w:vAnchor="page" w:hAnchor="page" w:x="1419" w:y="6408" w:anchorLock="1"/>
        <w:ind w:left="-1418"/>
      </w:pPr>
    </w:p>
    <w:p w14:paraId="2E4B04BE">
      <w:pPr>
        <w:pStyle w:val="125"/>
        <w:framePr w:w="9639" w:h="6974" w:hRule="exact" w:wrap="around" w:vAnchor="page" w:hAnchor="page" w:x="1419" w:y="6408" w:anchorLock="1"/>
        <w:textAlignment w:val="bottom"/>
        <w:rPr>
          <w:rFonts w:hint="eastAsia"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 xml:space="preserve">Technical Specification for </w:t>
      </w:r>
      <w:bookmarkStart w:id="11" w:name="OLE_LINK3"/>
      <w:r>
        <w:rPr>
          <w:rFonts w:hint="eastAsia" w:ascii="黑体" w:hAnsi="黑体" w:eastAsia="黑体"/>
          <w:szCs w:val="28"/>
        </w:rPr>
        <w:t>Snake Patterns Cupping</w:t>
      </w:r>
      <w:bookmarkEnd w:id="11"/>
      <w:r>
        <w:rPr>
          <w:rFonts w:hint="eastAsia" w:ascii="黑体" w:hAnsi="黑体" w:eastAsia="黑体"/>
          <w:szCs w:val="28"/>
        </w:rPr>
        <w:t xml:space="preserve"> therapy in Li Medicine</w:t>
      </w:r>
      <w:r>
        <w:rPr>
          <w:rFonts w:ascii="黑体" w:hAnsi="黑体" w:eastAsia="黑体"/>
          <w:szCs w:val="28"/>
        </w:rPr>
        <w:fldChar w:fldCharType="end"/>
      </w:r>
      <w:bookmarkEnd w:id="10"/>
    </w:p>
    <w:p w14:paraId="0F01C91D">
      <w:pPr>
        <w:framePr w:w="9639" w:h="6974" w:hRule="exact" w:wrap="around" w:vAnchor="page" w:hAnchor="page" w:x="1419" w:y="6408" w:anchorLock="1"/>
        <w:spacing w:line="760" w:lineRule="exact"/>
        <w:ind w:left="-1418"/>
      </w:pPr>
    </w:p>
    <w:p w14:paraId="528D1A14">
      <w:pPr>
        <w:pStyle w:val="125"/>
        <w:framePr w:w="9639" w:h="6974" w:hRule="exact" w:wrap="around" w:vAnchor="page" w:hAnchor="page" w:x="1419" w:y="6408" w:anchorLock="1"/>
        <w:textAlignment w:val="bottom"/>
        <w:rPr>
          <w:rFonts w:eastAsia="黑体"/>
          <w:szCs w:val="28"/>
        </w:rPr>
      </w:pPr>
    </w:p>
    <w:p w14:paraId="0A2E421E">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14:paraId="2BAB2C00">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bookmarkStart w:id="68" w:name="_GoBack"/>
      <w:bookmarkEnd w:id="68"/>
      <w:r>
        <w:rPr>
          <w:sz w:val="21"/>
          <w:szCs w:val="28"/>
        </w:rPr>
        <w:t>     </w:t>
      </w:r>
      <w:r>
        <w:rPr>
          <w:sz w:val="21"/>
          <w:szCs w:val="28"/>
        </w:rPr>
        <w:fldChar w:fldCharType="end"/>
      </w:r>
      <w:bookmarkEnd w:id="13"/>
    </w:p>
    <w:p w14:paraId="60C3D131">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14:paraId="533D32CB">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14:paraId="6DD28875">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14:paraId="40C9F43A">
      <w:pPr>
        <w:pStyle w:val="151"/>
        <w:framePr w:h="584" w:hRule="exact" w:hSpace="181" w:vSpace="181" w:wrap="around" w:y="15027"/>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1"/>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2274E21C">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49B6DC3">
      <w:pPr>
        <w:pStyle w:val="91"/>
        <w:spacing w:after="468"/>
        <w:rPr>
          <w:rFonts w:hint="eastAsia"/>
        </w:rPr>
      </w:pPr>
      <w:bookmarkStart w:id="22" w:name="BookMark1"/>
      <w:bookmarkStart w:id="23" w:name="BookMark2"/>
      <w:r>
        <w:rPr>
          <w:rFonts w:hint="eastAsia"/>
          <w:spacing w:val="320"/>
        </w:rPr>
        <w:t>目</w:t>
      </w:r>
      <w:r>
        <w:rPr>
          <w:rFonts w:hint="eastAsia"/>
        </w:rPr>
        <w:t>次</w:t>
      </w:r>
    </w:p>
    <w:p w14:paraId="5623705F">
      <w:pPr>
        <w:pStyle w:val="19"/>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_Toc2676 </w:instrText>
      </w:r>
      <w:r>
        <w:fldChar w:fldCharType="separate"/>
      </w:r>
      <w:r>
        <w:rPr>
          <w:rFonts w:hint="eastAsia"/>
          <w:lang w:val="en-US" w:eastAsia="zh-CN"/>
        </w:rPr>
        <w:t>前</w:t>
      </w:r>
      <w:r>
        <w:rPr>
          <w:rFonts w:hint="eastAsia"/>
        </w:rPr>
        <w:t>言</w:t>
      </w:r>
      <w:r>
        <w:tab/>
      </w:r>
      <w:r>
        <w:fldChar w:fldCharType="begin"/>
      </w:r>
      <w:r>
        <w:instrText xml:space="preserve"> PAGEREF _Toc2676 \h </w:instrText>
      </w:r>
      <w:r>
        <w:fldChar w:fldCharType="separate"/>
      </w:r>
      <w:r>
        <w:t>I</w:t>
      </w:r>
      <w:r>
        <w:fldChar w:fldCharType="end"/>
      </w:r>
      <w:r>
        <w:fldChar w:fldCharType="end"/>
      </w:r>
    </w:p>
    <w:p w14:paraId="0158C2EE">
      <w:pPr>
        <w:pStyle w:val="19"/>
        <w:tabs>
          <w:tab w:val="right" w:leader="dot" w:pos="9354"/>
        </w:tabs>
      </w:pPr>
      <w:r>
        <w:fldChar w:fldCharType="begin"/>
      </w:r>
      <w:r>
        <w:instrText xml:space="preserve"> HYPERLINK \l _Toc26339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_Toc26339 \h </w:instrText>
      </w:r>
      <w:r>
        <w:fldChar w:fldCharType="separate"/>
      </w:r>
      <w:r>
        <w:t>2</w:t>
      </w:r>
      <w:r>
        <w:fldChar w:fldCharType="end"/>
      </w:r>
      <w:r>
        <w:fldChar w:fldCharType="end"/>
      </w:r>
    </w:p>
    <w:p w14:paraId="18F7E0DF">
      <w:pPr>
        <w:pStyle w:val="19"/>
        <w:tabs>
          <w:tab w:val="right" w:leader="dot" w:pos="9354"/>
        </w:tabs>
      </w:pPr>
      <w:r>
        <w:fldChar w:fldCharType="begin"/>
      </w:r>
      <w:r>
        <w:instrText xml:space="preserve"> HYPERLINK \l _Toc10931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_Toc10931 \h </w:instrText>
      </w:r>
      <w:r>
        <w:fldChar w:fldCharType="separate"/>
      </w:r>
      <w:r>
        <w:t>2</w:t>
      </w:r>
      <w:r>
        <w:fldChar w:fldCharType="end"/>
      </w:r>
      <w:r>
        <w:fldChar w:fldCharType="end"/>
      </w:r>
    </w:p>
    <w:p w14:paraId="2D321C89">
      <w:pPr>
        <w:pStyle w:val="19"/>
        <w:tabs>
          <w:tab w:val="right" w:leader="dot" w:pos="9354"/>
        </w:tabs>
      </w:pPr>
      <w:r>
        <w:fldChar w:fldCharType="begin"/>
      </w:r>
      <w:r>
        <w:instrText xml:space="preserve"> HYPERLINK \l _Toc12761 </w:instrText>
      </w:r>
      <w: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_Toc12761 \h </w:instrText>
      </w:r>
      <w:r>
        <w:fldChar w:fldCharType="separate"/>
      </w:r>
      <w:r>
        <w:t>2</w:t>
      </w:r>
      <w:r>
        <w:fldChar w:fldCharType="end"/>
      </w:r>
      <w:r>
        <w:fldChar w:fldCharType="end"/>
      </w:r>
    </w:p>
    <w:p w14:paraId="27EB529D">
      <w:pPr>
        <w:pStyle w:val="19"/>
        <w:tabs>
          <w:tab w:val="right" w:leader="dot" w:pos="9354"/>
        </w:tabs>
      </w:pPr>
      <w:r>
        <w:fldChar w:fldCharType="begin"/>
      </w:r>
      <w:r>
        <w:instrText xml:space="preserve"> HYPERLINK \l _Toc19162 </w:instrText>
      </w:r>
      <w:r>
        <w:fldChar w:fldCharType="separate"/>
      </w:r>
      <w:r>
        <w:rPr>
          <w:rFonts w:hint="eastAsia" w:ascii="黑体" w:eastAsia="黑体"/>
          <w:i w:val="0"/>
        </w:rPr>
        <w:t xml:space="preserve">4 </w:t>
      </w:r>
      <w:r>
        <w:rPr>
          <w:rFonts w:hint="eastAsia"/>
        </w:rPr>
        <w:t>基本要求</w:t>
      </w:r>
      <w:r>
        <w:tab/>
      </w:r>
      <w:r>
        <w:fldChar w:fldCharType="begin"/>
      </w:r>
      <w:r>
        <w:instrText xml:space="preserve"> PAGEREF _Toc19162 \h </w:instrText>
      </w:r>
      <w:r>
        <w:fldChar w:fldCharType="separate"/>
      </w:r>
      <w:r>
        <w:t>2</w:t>
      </w:r>
      <w:r>
        <w:fldChar w:fldCharType="end"/>
      </w:r>
      <w:r>
        <w:fldChar w:fldCharType="end"/>
      </w:r>
    </w:p>
    <w:p w14:paraId="7FEEEB12">
      <w:pPr>
        <w:pStyle w:val="24"/>
        <w:tabs>
          <w:tab w:val="right" w:leader="dot" w:pos="9354"/>
          <w:tab w:val="clear" w:pos="9344"/>
        </w:tabs>
      </w:pPr>
      <w:r>
        <w:fldChar w:fldCharType="begin"/>
      </w:r>
      <w:r>
        <w:instrText xml:space="preserve"> HYPERLINK \l _Toc16873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rPr>
        <w:t>人员资质</w:t>
      </w:r>
      <w:r>
        <w:tab/>
      </w:r>
      <w:r>
        <w:fldChar w:fldCharType="begin"/>
      </w:r>
      <w:r>
        <w:instrText xml:space="preserve"> PAGEREF _Toc16873 \h </w:instrText>
      </w:r>
      <w:r>
        <w:fldChar w:fldCharType="separate"/>
      </w:r>
      <w:r>
        <w:t>2</w:t>
      </w:r>
      <w:r>
        <w:fldChar w:fldCharType="end"/>
      </w:r>
      <w:r>
        <w:fldChar w:fldCharType="end"/>
      </w:r>
    </w:p>
    <w:p w14:paraId="4CBFBEE4">
      <w:pPr>
        <w:pStyle w:val="24"/>
        <w:tabs>
          <w:tab w:val="right" w:leader="dot" w:pos="9354"/>
          <w:tab w:val="clear" w:pos="9344"/>
        </w:tabs>
      </w:pPr>
      <w:r>
        <w:fldChar w:fldCharType="begin"/>
      </w:r>
      <w:r>
        <w:instrText xml:space="preserve"> HYPERLINK \l _Toc28214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rPr>
        <w:t>操作人员</w:t>
      </w:r>
      <w:r>
        <w:tab/>
      </w:r>
      <w:r>
        <w:fldChar w:fldCharType="begin"/>
      </w:r>
      <w:r>
        <w:instrText xml:space="preserve"> PAGEREF _Toc28214 \h </w:instrText>
      </w:r>
      <w:r>
        <w:fldChar w:fldCharType="separate"/>
      </w:r>
      <w:r>
        <w:t>2</w:t>
      </w:r>
      <w:r>
        <w:fldChar w:fldCharType="end"/>
      </w:r>
      <w:r>
        <w:fldChar w:fldCharType="end"/>
      </w:r>
    </w:p>
    <w:p w14:paraId="4880556D">
      <w:pPr>
        <w:pStyle w:val="24"/>
        <w:tabs>
          <w:tab w:val="right" w:leader="dot" w:pos="9354"/>
          <w:tab w:val="clear" w:pos="9344"/>
        </w:tabs>
      </w:pPr>
      <w:r>
        <w:fldChar w:fldCharType="begin"/>
      </w:r>
      <w:r>
        <w:instrText xml:space="preserve"> HYPERLINK \l _Toc28114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rPr>
          <w:rFonts w:hint="eastAsia"/>
        </w:rPr>
        <w:t>环境要求</w:t>
      </w:r>
      <w:r>
        <w:tab/>
      </w:r>
      <w:r>
        <w:fldChar w:fldCharType="begin"/>
      </w:r>
      <w:r>
        <w:instrText xml:space="preserve"> PAGEREF _Toc28114 \h </w:instrText>
      </w:r>
      <w:r>
        <w:fldChar w:fldCharType="separate"/>
      </w:r>
      <w:r>
        <w:t>3</w:t>
      </w:r>
      <w:r>
        <w:fldChar w:fldCharType="end"/>
      </w:r>
      <w:r>
        <w:fldChar w:fldCharType="end"/>
      </w:r>
    </w:p>
    <w:p w14:paraId="4EC5534F">
      <w:pPr>
        <w:pStyle w:val="19"/>
        <w:tabs>
          <w:tab w:val="right" w:leader="dot" w:pos="9354"/>
        </w:tabs>
      </w:pPr>
      <w:r>
        <w:fldChar w:fldCharType="begin"/>
      </w:r>
      <w:r>
        <w:instrText xml:space="preserve"> HYPERLINK \l _Toc30372 </w:instrText>
      </w:r>
      <w:r>
        <w:fldChar w:fldCharType="separate"/>
      </w:r>
      <w:r>
        <w:rPr>
          <w:rFonts w:hint="eastAsia" w:ascii="黑体" w:eastAsia="黑体"/>
          <w:i w:val="0"/>
        </w:rPr>
        <w:t xml:space="preserve">5 </w:t>
      </w:r>
      <w:r>
        <w:rPr>
          <w:rFonts w:hint="eastAsia"/>
        </w:rPr>
        <w:t>适应症和禁忌症</w:t>
      </w:r>
      <w:r>
        <w:tab/>
      </w:r>
      <w:r>
        <w:fldChar w:fldCharType="begin"/>
      </w:r>
      <w:r>
        <w:instrText xml:space="preserve"> PAGEREF _Toc30372 \h </w:instrText>
      </w:r>
      <w:r>
        <w:fldChar w:fldCharType="separate"/>
      </w:r>
      <w:r>
        <w:t>3</w:t>
      </w:r>
      <w:r>
        <w:fldChar w:fldCharType="end"/>
      </w:r>
      <w:r>
        <w:fldChar w:fldCharType="end"/>
      </w:r>
    </w:p>
    <w:p w14:paraId="3C82EDCC">
      <w:pPr>
        <w:pStyle w:val="24"/>
        <w:tabs>
          <w:tab w:val="right" w:leader="dot" w:pos="9354"/>
          <w:tab w:val="clear" w:pos="9344"/>
        </w:tabs>
      </w:pPr>
      <w:r>
        <w:fldChar w:fldCharType="begin"/>
      </w:r>
      <w:r>
        <w:instrText xml:space="preserve"> HYPERLINK \l _Toc17836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rPr>
        <w:t>适应症</w:t>
      </w:r>
      <w:r>
        <w:tab/>
      </w:r>
      <w:r>
        <w:fldChar w:fldCharType="begin"/>
      </w:r>
      <w:r>
        <w:instrText xml:space="preserve"> PAGEREF _Toc17836 \h </w:instrText>
      </w:r>
      <w:r>
        <w:fldChar w:fldCharType="separate"/>
      </w:r>
      <w:r>
        <w:t>3</w:t>
      </w:r>
      <w:r>
        <w:fldChar w:fldCharType="end"/>
      </w:r>
      <w:r>
        <w:fldChar w:fldCharType="end"/>
      </w:r>
    </w:p>
    <w:p w14:paraId="41F40645">
      <w:pPr>
        <w:pStyle w:val="24"/>
        <w:tabs>
          <w:tab w:val="right" w:leader="dot" w:pos="9354"/>
          <w:tab w:val="clear" w:pos="9344"/>
        </w:tabs>
      </w:pPr>
      <w:r>
        <w:fldChar w:fldCharType="begin"/>
      </w:r>
      <w:r>
        <w:instrText xml:space="preserve"> HYPERLINK \l _Toc23237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rPr>
        <w:t>禁忌症</w:t>
      </w:r>
      <w:r>
        <w:tab/>
      </w:r>
      <w:r>
        <w:fldChar w:fldCharType="begin"/>
      </w:r>
      <w:r>
        <w:instrText xml:space="preserve"> PAGEREF _Toc23237 \h </w:instrText>
      </w:r>
      <w:r>
        <w:fldChar w:fldCharType="separate"/>
      </w:r>
      <w:r>
        <w:t>3</w:t>
      </w:r>
      <w:r>
        <w:fldChar w:fldCharType="end"/>
      </w:r>
      <w:r>
        <w:fldChar w:fldCharType="end"/>
      </w:r>
    </w:p>
    <w:p w14:paraId="2E80B886">
      <w:pPr>
        <w:pStyle w:val="19"/>
        <w:tabs>
          <w:tab w:val="right" w:leader="dot" w:pos="9354"/>
        </w:tabs>
      </w:pPr>
      <w:r>
        <w:fldChar w:fldCharType="begin"/>
      </w:r>
      <w:r>
        <w:instrText xml:space="preserve"> HYPERLINK \l _Toc6363 </w:instrText>
      </w:r>
      <w:r>
        <w:fldChar w:fldCharType="separate"/>
      </w:r>
      <w:r>
        <w:rPr>
          <w:rFonts w:hint="eastAsia" w:ascii="黑体" w:eastAsia="黑体"/>
          <w:i w:val="0"/>
        </w:rPr>
        <w:t xml:space="preserve">6 </w:t>
      </w:r>
      <w:r>
        <w:rPr>
          <w:rFonts w:hint="eastAsia"/>
        </w:rPr>
        <w:t>操作流程</w:t>
      </w:r>
      <w:r>
        <w:tab/>
      </w:r>
      <w:r>
        <w:fldChar w:fldCharType="begin"/>
      </w:r>
      <w:r>
        <w:instrText xml:space="preserve"> PAGEREF _Toc6363 \h </w:instrText>
      </w:r>
      <w:r>
        <w:fldChar w:fldCharType="separate"/>
      </w:r>
      <w:r>
        <w:t>3</w:t>
      </w:r>
      <w:r>
        <w:fldChar w:fldCharType="end"/>
      </w:r>
      <w:r>
        <w:fldChar w:fldCharType="end"/>
      </w:r>
    </w:p>
    <w:p w14:paraId="2BD79DF8">
      <w:pPr>
        <w:pStyle w:val="24"/>
        <w:tabs>
          <w:tab w:val="right" w:leader="dot" w:pos="9354"/>
          <w:tab w:val="clear" w:pos="9344"/>
        </w:tabs>
      </w:pPr>
      <w:r>
        <w:fldChar w:fldCharType="begin"/>
      </w:r>
      <w:r>
        <w:instrText xml:space="preserve"> HYPERLINK \l _Toc6826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rPr>
        <w:t>签署知情同意书</w:t>
      </w:r>
      <w:r>
        <w:tab/>
      </w:r>
      <w:r>
        <w:fldChar w:fldCharType="begin"/>
      </w:r>
      <w:r>
        <w:instrText xml:space="preserve"> PAGEREF _Toc6826 \h </w:instrText>
      </w:r>
      <w:r>
        <w:fldChar w:fldCharType="separate"/>
      </w:r>
      <w:r>
        <w:t>3</w:t>
      </w:r>
      <w:r>
        <w:fldChar w:fldCharType="end"/>
      </w:r>
      <w:r>
        <w:fldChar w:fldCharType="end"/>
      </w:r>
    </w:p>
    <w:p w14:paraId="6CB2747C">
      <w:pPr>
        <w:pStyle w:val="24"/>
        <w:tabs>
          <w:tab w:val="right" w:leader="dot" w:pos="9354"/>
          <w:tab w:val="clear" w:pos="9344"/>
        </w:tabs>
      </w:pPr>
      <w:r>
        <w:fldChar w:fldCharType="begin"/>
      </w:r>
      <w:r>
        <w:instrText xml:space="preserve"> HYPERLINK \l _Toc1142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rPr>
        <w:t>药物制备</w:t>
      </w:r>
      <w:r>
        <w:tab/>
      </w:r>
      <w:r>
        <w:fldChar w:fldCharType="begin"/>
      </w:r>
      <w:r>
        <w:instrText xml:space="preserve"> PAGEREF _Toc1142 \h </w:instrText>
      </w:r>
      <w:r>
        <w:fldChar w:fldCharType="separate"/>
      </w:r>
      <w:r>
        <w:t>3</w:t>
      </w:r>
      <w:r>
        <w:fldChar w:fldCharType="end"/>
      </w:r>
      <w:r>
        <w:fldChar w:fldCharType="end"/>
      </w:r>
    </w:p>
    <w:p w14:paraId="4C63D125">
      <w:pPr>
        <w:pStyle w:val="24"/>
        <w:tabs>
          <w:tab w:val="right" w:leader="dot" w:pos="9354"/>
          <w:tab w:val="clear" w:pos="9344"/>
        </w:tabs>
      </w:pPr>
      <w:r>
        <w:fldChar w:fldCharType="begin"/>
      </w:r>
      <w:r>
        <w:instrText xml:space="preserve"> HYPERLINK \l _Toc20246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eastAsia"/>
        </w:rPr>
        <w:t>体位选择</w:t>
      </w:r>
      <w:r>
        <w:tab/>
      </w:r>
      <w:r>
        <w:fldChar w:fldCharType="begin"/>
      </w:r>
      <w:r>
        <w:instrText xml:space="preserve"> PAGEREF _Toc20246 \h </w:instrText>
      </w:r>
      <w:r>
        <w:fldChar w:fldCharType="separate"/>
      </w:r>
      <w:r>
        <w:t>3</w:t>
      </w:r>
      <w:r>
        <w:fldChar w:fldCharType="end"/>
      </w:r>
      <w:r>
        <w:fldChar w:fldCharType="end"/>
      </w:r>
    </w:p>
    <w:p w14:paraId="5D15ED3A">
      <w:pPr>
        <w:pStyle w:val="24"/>
        <w:tabs>
          <w:tab w:val="right" w:leader="dot" w:pos="9354"/>
          <w:tab w:val="clear" w:pos="9344"/>
        </w:tabs>
      </w:pPr>
      <w:r>
        <w:fldChar w:fldCharType="begin"/>
      </w:r>
      <w:r>
        <w:instrText xml:space="preserve"> HYPERLINK \l _Toc5662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6.4 </w:t>
      </w:r>
      <w:r>
        <w:rPr>
          <w:rFonts w:hint="eastAsia"/>
        </w:rPr>
        <w:t>施术方法</w:t>
      </w:r>
      <w:r>
        <w:tab/>
      </w:r>
      <w:r>
        <w:fldChar w:fldCharType="begin"/>
      </w:r>
      <w:r>
        <w:instrText xml:space="preserve"> PAGEREF _Toc5662 \h </w:instrText>
      </w:r>
      <w:r>
        <w:fldChar w:fldCharType="separate"/>
      </w:r>
      <w:r>
        <w:t>3</w:t>
      </w:r>
      <w:r>
        <w:fldChar w:fldCharType="end"/>
      </w:r>
      <w:r>
        <w:fldChar w:fldCharType="end"/>
      </w:r>
    </w:p>
    <w:p w14:paraId="405FF1EC">
      <w:pPr>
        <w:pStyle w:val="19"/>
        <w:tabs>
          <w:tab w:val="right" w:leader="dot" w:pos="9354"/>
        </w:tabs>
      </w:pPr>
      <w:r>
        <w:fldChar w:fldCharType="begin"/>
      </w:r>
      <w:r>
        <w:instrText xml:space="preserve"> HYPERLINK \l _Toc20352 </w:instrText>
      </w:r>
      <w:r>
        <w:fldChar w:fldCharType="separate"/>
      </w:r>
      <w:r>
        <w:rPr>
          <w:rFonts w:hint="eastAsia" w:ascii="黑体" w:eastAsia="黑体"/>
          <w:i w:val="0"/>
        </w:rPr>
        <w:t xml:space="preserve">7 </w:t>
      </w:r>
      <w:r>
        <w:rPr>
          <w:rFonts w:hint="eastAsia"/>
        </w:rPr>
        <w:t>注意事项</w:t>
      </w:r>
      <w:r>
        <w:tab/>
      </w:r>
      <w:r>
        <w:fldChar w:fldCharType="begin"/>
      </w:r>
      <w:r>
        <w:instrText xml:space="preserve"> PAGEREF _Toc20352 \h </w:instrText>
      </w:r>
      <w:r>
        <w:fldChar w:fldCharType="separate"/>
      </w:r>
      <w:r>
        <w:t>3</w:t>
      </w:r>
      <w:r>
        <w:fldChar w:fldCharType="end"/>
      </w:r>
      <w:r>
        <w:fldChar w:fldCharType="end"/>
      </w:r>
    </w:p>
    <w:p w14:paraId="3A4AEEE7">
      <w:pPr>
        <w:pStyle w:val="19"/>
        <w:tabs>
          <w:tab w:val="right" w:leader="dot" w:pos="9354"/>
        </w:tabs>
      </w:pPr>
      <w:r>
        <w:fldChar w:fldCharType="begin"/>
      </w:r>
      <w:r>
        <w:instrText xml:space="preserve"> HYPERLINK \l _Toc11865 </w:instrText>
      </w:r>
      <w:r>
        <w:fldChar w:fldCharType="separate"/>
      </w:r>
      <w:r>
        <w:rPr>
          <w:rFonts w:hint="eastAsia"/>
          <w:spacing w:val="100"/>
        </w:rPr>
        <w:t xml:space="preserve">附录A </w:t>
      </w:r>
      <w:r>
        <w:t xml:space="preserve"> </w:t>
      </w:r>
      <w:r>
        <w:rPr>
          <w:rFonts w:hint="eastAsia"/>
        </w:rPr>
        <w:t>（资料性）</w:t>
      </w:r>
      <w:r>
        <w:t xml:space="preserve"> </w:t>
      </w:r>
      <w:r>
        <w:rPr>
          <w:rFonts w:hint="eastAsia"/>
        </w:rPr>
        <w:t>走蛇罐操作方法</w:t>
      </w:r>
      <w:r>
        <w:tab/>
      </w:r>
      <w:r>
        <w:fldChar w:fldCharType="begin"/>
      </w:r>
      <w:r>
        <w:instrText xml:space="preserve"> PAGEREF _Toc11865 \h </w:instrText>
      </w:r>
      <w:r>
        <w:fldChar w:fldCharType="separate"/>
      </w:r>
      <w:r>
        <w:t>5</w:t>
      </w:r>
      <w:r>
        <w:fldChar w:fldCharType="end"/>
      </w:r>
      <w:r>
        <w:fldChar w:fldCharType="end"/>
      </w:r>
    </w:p>
    <w:p w14:paraId="03751B6F">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2"/>
    <w:p w14:paraId="7CB3E042">
      <w:pPr>
        <w:pStyle w:val="89"/>
        <w:spacing w:before="900" w:after="468"/>
      </w:pPr>
      <w:bookmarkStart w:id="24" w:name="_Toc2676"/>
      <w:r>
        <w:rPr>
          <w:rFonts w:hint="eastAsia"/>
          <w:spacing w:val="320"/>
        </w:rPr>
        <w:t>前</w:t>
      </w:r>
      <w:r>
        <w:rPr>
          <w:rFonts w:hint="eastAsia"/>
        </w:rPr>
        <w:t>言</w:t>
      </w:r>
      <w:bookmarkEnd w:id="24"/>
    </w:p>
    <w:p w14:paraId="4E039316">
      <w:pPr>
        <w:pStyle w:val="56"/>
        <w:ind w:firstLine="420"/>
      </w:pPr>
      <w:r>
        <w:rPr>
          <w:rFonts w:hint="eastAsia"/>
        </w:rPr>
        <w:t>本文件按照GB/T 1.1—2020《标准化工作导则  第1部分：标准化文件的结构和起草规则》的规定起草。</w:t>
      </w:r>
    </w:p>
    <w:p w14:paraId="3E0B1B73">
      <w:pPr>
        <w:pStyle w:val="56"/>
        <w:ind w:firstLine="420"/>
      </w:pPr>
      <w:r>
        <w:rPr>
          <w:rFonts w:hint="eastAsia"/>
        </w:rPr>
        <w:t>请注意本文件的某些内容可能涉及专利。本文件的发布机构不承担识别专利的责任。</w:t>
      </w:r>
    </w:p>
    <w:p w14:paraId="0337E4E7">
      <w:pPr>
        <w:pStyle w:val="56"/>
        <w:ind w:firstLine="420"/>
      </w:pPr>
      <w:r>
        <w:rPr>
          <w:rFonts w:hint="eastAsia"/>
        </w:rPr>
        <w:t>本文件由</w:t>
      </w:r>
      <w:r>
        <w:rPr>
          <w:rFonts w:hint="eastAsia"/>
          <w:lang w:val="en-US" w:eastAsia="zh-CN"/>
        </w:rPr>
        <w:t>海南省卫生健康委员会</w:t>
      </w:r>
      <w:r>
        <w:rPr>
          <w:rFonts w:hint="eastAsia"/>
        </w:rPr>
        <w:t>提出</w:t>
      </w:r>
      <w:r>
        <w:rPr>
          <w:rFonts w:hint="eastAsia"/>
          <w:lang w:val="en-US" w:eastAsia="zh-CN"/>
        </w:rPr>
        <w:t>并归口</w:t>
      </w:r>
      <w:r>
        <w:rPr>
          <w:rFonts w:hint="eastAsia"/>
        </w:rPr>
        <w:t>。</w:t>
      </w:r>
    </w:p>
    <w:p w14:paraId="7712DFC5">
      <w:pPr>
        <w:pStyle w:val="56"/>
        <w:ind w:firstLine="420"/>
        <w:rPr>
          <w:rFonts w:hint="eastAsia" w:eastAsia="宋体"/>
          <w:lang w:eastAsia="zh-CN"/>
        </w:rPr>
      </w:pPr>
      <w:r>
        <w:rPr>
          <w:rFonts w:hint="eastAsia"/>
        </w:rPr>
        <w:t>本文件起草单位：</w:t>
      </w:r>
      <w:r>
        <w:rPr>
          <w:rFonts w:hint="eastAsia"/>
          <w:lang w:eastAsia="zh-CN"/>
        </w:rPr>
        <w:t>广东省中医院海南医院。</w:t>
      </w:r>
    </w:p>
    <w:p w14:paraId="0FB8F3D9">
      <w:pPr>
        <w:pStyle w:val="56"/>
        <w:ind w:firstLine="420"/>
      </w:pPr>
      <w:r>
        <w:rPr>
          <w:rFonts w:hint="eastAsia"/>
          <w:highlight w:val="none"/>
        </w:rPr>
        <w:t>本文件主要起草人：林天东、蔡敏、钟捷东、胡学军、董秀娟、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highlight w:val="none"/>
        </w:rPr>
        <w:t>。</w:t>
      </w:r>
    </w:p>
    <w:p w14:paraId="4210089B">
      <w:pPr>
        <w:pStyle w:val="56"/>
        <w:ind w:firstLine="420"/>
      </w:pPr>
    </w:p>
    <w:p w14:paraId="524A6DB5">
      <w:pPr>
        <w:pStyle w:val="56"/>
        <w:ind w:firstLine="420"/>
      </w:pPr>
    </w:p>
    <w:p w14:paraId="5120EB77">
      <w:pPr>
        <w:pStyle w:val="56"/>
        <w:ind w:firstLine="420"/>
        <w:sectPr>
          <w:headerReference r:id="rId14" w:type="default"/>
          <w:footerReference r:id="rId15" w:type="default"/>
          <w:pgSz w:w="11906" w:h="16838"/>
          <w:pgMar w:top="1928" w:right="1134" w:bottom="1134" w:left="1134" w:header="1418" w:footer="1134" w:gutter="284"/>
          <w:pgNumType w:fmt="upperRoman" w:start="1"/>
          <w:cols w:space="425" w:num="1"/>
          <w:formProt w:val="0"/>
          <w:docGrid w:type="lines" w:linePitch="312" w:charSpace="0"/>
        </w:sectPr>
      </w:pPr>
    </w:p>
    <w:bookmarkEnd w:id="23"/>
    <w:p w14:paraId="2A165C97">
      <w:pPr>
        <w:spacing w:line="20" w:lineRule="exact"/>
        <w:jc w:val="center"/>
        <w:rPr>
          <w:rFonts w:hint="eastAsia" w:ascii="黑体" w:hAnsi="黑体" w:eastAsia="黑体"/>
          <w:sz w:val="32"/>
          <w:szCs w:val="32"/>
        </w:rPr>
      </w:pPr>
      <w:bookmarkStart w:id="25" w:name="BookMark4"/>
    </w:p>
    <w:p w14:paraId="36EAE473">
      <w:pPr>
        <w:spacing w:line="20" w:lineRule="exact"/>
        <w:jc w:val="center"/>
        <w:rPr>
          <w:rFonts w:hint="eastAsia" w:ascii="黑体" w:hAnsi="黑体" w:eastAsia="黑体"/>
          <w:sz w:val="32"/>
          <w:szCs w:val="32"/>
        </w:rPr>
      </w:pPr>
    </w:p>
    <w:sdt>
      <w:sdtPr>
        <w:tag w:val="NEW_STAND_NAME"/>
        <w:id w:val="595910757"/>
        <w:lock w:val="sdtLocked"/>
        <w:placeholder>
          <w:docPart w:val="B9E70D21ADF44B4F910228551DA5DD69"/>
        </w:placeholder>
      </w:sdtPr>
      <w:sdtContent>
        <w:p w14:paraId="6C4AD037">
          <w:pPr>
            <w:pStyle w:val="177"/>
            <w:spacing w:before="3" w:beforeLines="1" w:after="686" w:afterLines="220"/>
            <w:rPr>
              <w:rFonts w:hint="eastAsia"/>
            </w:rPr>
          </w:pPr>
          <w:bookmarkStart w:id="26" w:name="NEW_STAND_NAME"/>
          <w:r>
            <w:rPr>
              <w:rFonts w:hint="eastAsia"/>
            </w:rPr>
            <w:t>黎医疗法操作规范</w:t>
          </w:r>
          <w:r>
            <w:rPr>
              <w:rFonts w:hint="eastAsia"/>
              <w:lang w:val="en-US" w:eastAsia="zh-CN"/>
            </w:rPr>
            <w:t xml:space="preserve">  走蛇罐疗法</w:t>
          </w:r>
        </w:p>
      </w:sdtContent>
    </w:sdt>
    <w:bookmarkEnd w:id="26"/>
    <w:p w14:paraId="0D22AFEA">
      <w:pPr>
        <w:pStyle w:val="104"/>
        <w:spacing w:before="312" w:after="312"/>
      </w:pPr>
      <w:bookmarkStart w:id="27" w:name="_Toc26986771"/>
      <w:bookmarkStart w:id="28" w:name="_Toc17233333"/>
      <w:bookmarkStart w:id="29" w:name="_Toc26986530"/>
      <w:bookmarkStart w:id="30" w:name="_Toc26648465"/>
      <w:bookmarkStart w:id="31" w:name="_Toc97191423"/>
      <w:bookmarkStart w:id="32" w:name="_Toc24884218"/>
      <w:bookmarkStart w:id="33" w:name="_Toc17233325"/>
      <w:bookmarkStart w:id="34" w:name="_Toc24884211"/>
      <w:bookmarkStart w:id="35" w:name="_Toc26718930"/>
      <w:bookmarkStart w:id="36" w:name="_Toc26339"/>
      <w:r>
        <w:rPr>
          <w:rFonts w:hint="eastAsia"/>
        </w:rPr>
        <w:t>范围</w:t>
      </w:r>
      <w:bookmarkEnd w:id="27"/>
      <w:bookmarkEnd w:id="28"/>
      <w:bookmarkEnd w:id="29"/>
      <w:bookmarkEnd w:id="30"/>
      <w:bookmarkEnd w:id="31"/>
      <w:bookmarkEnd w:id="32"/>
      <w:bookmarkEnd w:id="33"/>
      <w:bookmarkEnd w:id="34"/>
      <w:bookmarkEnd w:id="35"/>
      <w:bookmarkEnd w:id="36"/>
    </w:p>
    <w:p w14:paraId="2CEB5862">
      <w:pPr>
        <w:pStyle w:val="56"/>
        <w:ind w:firstLine="420"/>
      </w:pPr>
      <w:bookmarkStart w:id="37" w:name="_Toc17233334"/>
      <w:bookmarkStart w:id="38" w:name="_Toc24884212"/>
      <w:bookmarkStart w:id="39" w:name="_Toc17233326"/>
      <w:bookmarkStart w:id="40" w:name="_Toc26648466"/>
      <w:bookmarkStart w:id="41" w:name="_Toc24884219"/>
      <w:r>
        <w:rPr>
          <w:rFonts w:hint="eastAsia"/>
        </w:rPr>
        <w:t xml:space="preserve">本文件规定了黎医走蛇罐疗法的基本要求、适应症、禁忌症、操作方法、注意事项。 </w:t>
      </w:r>
    </w:p>
    <w:p w14:paraId="06C36713">
      <w:pPr>
        <w:pStyle w:val="56"/>
        <w:ind w:firstLine="420"/>
      </w:pPr>
      <w:r>
        <w:rPr>
          <w:rFonts w:hint="eastAsia"/>
        </w:rPr>
        <w:t>本文件适用于黎医走蛇罐疗法的操作。</w:t>
      </w:r>
    </w:p>
    <w:p w14:paraId="1155E6D2">
      <w:pPr>
        <w:pStyle w:val="104"/>
        <w:spacing w:before="312" w:after="312"/>
      </w:pPr>
      <w:bookmarkStart w:id="42" w:name="_Toc26986531"/>
      <w:bookmarkStart w:id="43" w:name="_Toc97191424"/>
      <w:bookmarkStart w:id="44" w:name="_Toc26718931"/>
      <w:bookmarkStart w:id="45" w:name="_Toc26986772"/>
      <w:bookmarkStart w:id="46" w:name="_Toc10931"/>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10CC521480AB4DC58B6F4BB24A526A4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784D27E">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D3B8A8A">
      <w:pPr>
        <w:pStyle w:val="56"/>
        <w:ind w:firstLine="420"/>
      </w:pPr>
      <w:r>
        <w:rPr>
          <w:rFonts w:hint="eastAsia"/>
        </w:rPr>
        <w:t xml:space="preserve">GB 15982 医院消毒卫生标准 </w:t>
      </w:r>
    </w:p>
    <w:p w14:paraId="303E9E22">
      <w:pPr>
        <w:pStyle w:val="56"/>
        <w:ind w:firstLine="420"/>
      </w:pPr>
      <w:r>
        <w:rPr>
          <w:rFonts w:hint="eastAsia"/>
        </w:rPr>
        <w:t xml:space="preserve">WS/T 311 医院隔离技术规范 </w:t>
      </w:r>
    </w:p>
    <w:p w14:paraId="6D455B8F">
      <w:pPr>
        <w:pStyle w:val="56"/>
        <w:ind w:firstLine="420"/>
      </w:pPr>
      <w:r>
        <w:rPr>
          <w:rFonts w:hint="eastAsia"/>
        </w:rPr>
        <w:t>WS/T 313 医务人员手卫生规范</w:t>
      </w:r>
    </w:p>
    <w:p w14:paraId="2D8BFB33">
      <w:pPr>
        <w:pStyle w:val="56"/>
        <w:ind w:firstLine="420"/>
      </w:pPr>
      <w:bookmarkStart w:id="47" w:name="OLE_LINK2"/>
      <w:r>
        <w:rPr>
          <w:rFonts w:hint="eastAsia"/>
        </w:rPr>
        <w:t>GB/T 12346 经穴名称与定位</w:t>
      </w:r>
    </w:p>
    <w:p w14:paraId="7363968A">
      <w:pPr>
        <w:pStyle w:val="56"/>
        <w:ind w:firstLine="420"/>
      </w:pPr>
      <w:r>
        <w:rPr>
          <w:rFonts w:hint="eastAsia"/>
        </w:rPr>
        <w:t xml:space="preserve">GB/T 21709.1 针灸技术操作规范 第1部分：艾灸 </w:t>
      </w:r>
    </w:p>
    <w:p w14:paraId="4E9318C7">
      <w:pPr>
        <w:pStyle w:val="56"/>
        <w:ind w:firstLine="420"/>
      </w:pPr>
      <w:r>
        <w:rPr>
          <w:rFonts w:hint="eastAsia"/>
        </w:rPr>
        <w:t xml:space="preserve">GB/T 21709.5 针灸技术操作规范 第5部分：拔罐 </w:t>
      </w:r>
    </w:p>
    <w:p w14:paraId="22D46A3B">
      <w:pPr>
        <w:pStyle w:val="56"/>
        <w:ind w:firstLine="420"/>
      </w:pPr>
      <w:r>
        <w:rPr>
          <w:rFonts w:hint="eastAsia"/>
        </w:rPr>
        <w:t>GB/T 21709.22 针灸技术操作规范 第22部分：刮痧</w:t>
      </w:r>
    </w:p>
    <w:bookmarkEnd w:id="47"/>
    <w:p w14:paraId="6E309BAE">
      <w:pPr>
        <w:pStyle w:val="104"/>
        <w:spacing w:before="312" w:after="312"/>
      </w:pPr>
      <w:bookmarkStart w:id="48" w:name="_Toc97191425"/>
      <w:bookmarkStart w:id="49" w:name="_Toc12761"/>
      <w:r>
        <w:rPr>
          <w:rFonts w:hint="eastAsia"/>
          <w:szCs w:val="21"/>
        </w:rPr>
        <w:t>术语和定义</w:t>
      </w:r>
      <w:bookmarkEnd w:id="48"/>
      <w:bookmarkEnd w:id="49"/>
    </w:p>
    <w:sdt>
      <w:sdtPr>
        <w:id w:val="-1909835108"/>
        <w:placeholder>
          <w:docPart w:val="6B3FEB45051F4194961CE0542036B3A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9D15F57">
          <w:pPr>
            <w:pStyle w:val="56"/>
            <w:ind w:firstLine="420"/>
          </w:pPr>
          <w:bookmarkStart w:id="50" w:name="_Toc26986532"/>
          <w:bookmarkEnd w:id="50"/>
          <w:r>
            <w:t>下列术语和定义适用于本文件。</w:t>
          </w:r>
        </w:p>
      </w:sdtContent>
    </w:sdt>
    <w:p w14:paraId="0B7EC7BE">
      <w:pPr>
        <w:pStyle w:val="223"/>
        <w:numPr>
          <w:numId w:val="0"/>
        </w:numPr>
        <w:ind w:leftChars="-200"/>
        <w:rPr>
          <w:rFonts w:hint="eastAsia" w:ascii="黑体" w:hAnsi="黑体" w:eastAsia="黑体"/>
        </w:rPr>
      </w:pPr>
    </w:p>
    <w:p w14:paraId="0BDAEFBD">
      <w:pPr>
        <w:pStyle w:val="223"/>
        <w:ind w:left="420" w:hanging="420" w:hangingChars="200"/>
        <w:rPr>
          <w:rFonts w:hint="eastAsia" w:ascii="黑体" w:hAnsi="黑体" w:eastAsia="黑体"/>
        </w:rPr>
      </w:pPr>
    </w:p>
    <w:p w14:paraId="22F4E473">
      <w:pPr>
        <w:pStyle w:val="223"/>
        <w:numPr>
          <w:numId w:val="0"/>
        </w:numPr>
        <w:ind w:leftChars="-200" w:firstLine="840" w:firstLineChars="400"/>
        <w:rPr>
          <w:rFonts w:hint="eastAsia" w:ascii="黑体" w:hAnsi="黑体" w:eastAsia="黑体"/>
        </w:rPr>
      </w:pPr>
      <w:r>
        <w:rPr>
          <w:rFonts w:hint="eastAsia" w:ascii="黑体" w:hAnsi="黑体" w:eastAsia="黑体"/>
          <w:lang w:val="en-US" w:eastAsia="zh-CN"/>
        </w:rPr>
        <w:t>走</w:t>
      </w:r>
      <w:r>
        <w:rPr>
          <w:rFonts w:hint="eastAsia" w:ascii="黑体" w:hAnsi="黑体" w:eastAsia="黑体"/>
        </w:rPr>
        <w:t>蛇罐</w:t>
      </w:r>
      <w:r>
        <w:rPr>
          <w:rFonts w:hint="eastAsia" w:ascii="黑体" w:hAnsi="黑体" w:eastAsia="黑体"/>
          <w:lang w:val="en-US" w:eastAsia="zh-CN"/>
        </w:rPr>
        <w:t>疗法</w:t>
      </w:r>
    </w:p>
    <w:p w14:paraId="25DEE00B">
      <w:pPr>
        <w:pStyle w:val="56"/>
        <w:ind w:firstLine="420"/>
        <w:rPr>
          <w:rFonts w:hint="default" w:eastAsia="宋体"/>
          <w:lang w:val="en-US" w:eastAsia="zh-CN"/>
        </w:rPr>
      </w:pPr>
      <w:r>
        <w:rPr>
          <w:rFonts w:hint="eastAsia"/>
        </w:rPr>
        <w:t>选用海南花梨木</w:t>
      </w:r>
      <w:r>
        <w:rPr>
          <w:rFonts w:hint="eastAsia"/>
          <w:lang w:val="en-US" w:eastAsia="zh-CN"/>
        </w:rPr>
        <w:t>蛇</w:t>
      </w:r>
      <w:r>
        <w:rPr>
          <w:rFonts w:hint="eastAsia"/>
        </w:rPr>
        <w:t>罐，</w:t>
      </w:r>
      <w:r>
        <w:rPr>
          <w:rFonts w:hint="eastAsia"/>
          <w:lang w:val="en-US" w:eastAsia="zh-CN"/>
        </w:rPr>
        <w:t>将点燃的药团置于罐内固定住，反扣在患处进行刮拭</w:t>
      </w:r>
      <w:r>
        <w:rPr>
          <w:rFonts w:hint="eastAsia"/>
        </w:rPr>
        <w:t>。通过热、药、按摩的作用，</w:t>
      </w:r>
      <w:r>
        <w:rPr>
          <w:rFonts w:hint="eastAsia"/>
          <w:lang w:val="en-US" w:eastAsia="zh-CN"/>
        </w:rPr>
        <w:t>达到</w:t>
      </w:r>
      <w:r>
        <w:rPr>
          <w:rFonts w:hint="eastAsia"/>
        </w:rPr>
        <w:t>祛风活血</w:t>
      </w:r>
      <w:r>
        <w:rPr>
          <w:rFonts w:hint="eastAsia"/>
          <w:lang w:eastAsia="zh-CN"/>
        </w:rPr>
        <w:t>、</w:t>
      </w:r>
      <w:r>
        <w:rPr>
          <w:rFonts w:hint="eastAsia"/>
        </w:rPr>
        <w:t>通经活络</w:t>
      </w:r>
      <w:r>
        <w:rPr>
          <w:rFonts w:hint="eastAsia"/>
          <w:lang w:eastAsia="zh-CN"/>
        </w:rPr>
        <w:t>、</w:t>
      </w:r>
      <w:r>
        <w:rPr>
          <w:rFonts w:hint="eastAsia"/>
        </w:rPr>
        <w:t>消肿止痛</w:t>
      </w:r>
      <w:r>
        <w:rPr>
          <w:rFonts w:hint="eastAsia"/>
          <w:lang w:val="en-US" w:eastAsia="zh-CN"/>
        </w:rPr>
        <w:t>功效</w:t>
      </w:r>
      <w:r>
        <w:rPr>
          <w:rFonts w:hint="eastAsia"/>
        </w:rPr>
        <w:t>。</w:t>
      </w:r>
    </w:p>
    <w:p w14:paraId="504373A2">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蛇罐</w:t>
      </w:r>
    </w:p>
    <w:p w14:paraId="4FB05894">
      <w:pPr>
        <w:pStyle w:val="56"/>
        <w:ind w:firstLine="420"/>
        <w:rPr>
          <w:rFonts w:hint="default" w:eastAsia="宋体"/>
          <w:lang w:val="en-US" w:eastAsia="zh-CN"/>
        </w:rPr>
      </w:pPr>
      <w:r>
        <w:rPr>
          <w:rFonts w:hint="eastAsia"/>
        </w:rPr>
        <w:t>选用海南花梨木优质木材为原料制成的杯装罐，罐直径7-10cm，高25cm，罐壁较厚，可达2cm，罐壁有一定量的排气孔，罐口边缘呈蛇形波浪状，罐</w:t>
      </w:r>
      <w:r>
        <w:rPr>
          <w:rFonts w:hint="eastAsia"/>
          <w:lang w:val="en-US" w:eastAsia="zh-CN"/>
        </w:rPr>
        <w:t>内</w:t>
      </w:r>
      <w:r>
        <w:rPr>
          <w:rFonts w:hint="eastAsia"/>
        </w:rPr>
        <w:t>底</w:t>
      </w:r>
      <w:r>
        <w:rPr>
          <w:rFonts w:hint="eastAsia"/>
          <w:lang w:val="en-US" w:eastAsia="zh-CN"/>
        </w:rPr>
        <w:t>部嵌</w:t>
      </w:r>
      <w:r>
        <w:rPr>
          <w:rFonts w:hint="eastAsia"/>
        </w:rPr>
        <w:t>有一支</w:t>
      </w:r>
      <w:r>
        <w:rPr>
          <w:rFonts w:hint="eastAsia"/>
          <w:lang w:val="en-US" w:eastAsia="zh-CN"/>
        </w:rPr>
        <w:t>钢</w:t>
      </w:r>
      <w:r>
        <w:rPr>
          <w:rFonts w:hint="eastAsia"/>
        </w:rPr>
        <w:t>针</w:t>
      </w:r>
      <w:r>
        <w:rPr>
          <w:rFonts w:hint="eastAsia"/>
          <w:lang w:val="en-US" w:eastAsia="zh-CN"/>
        </w:rPr>
        <w:t>用</w:t>
      </w:r>
      <w:r>
        <w:rPr>
          <w:rFonts w:hint="eastAsia"/>
        </w:rPr>
        <w:t>于固定</w:t>
      </w:r>
      <w:r>
        <w:rPr>
          <w:rFonts w:hint="eastAsia"/>
          <w:highlight w:val="none"/>
        </w:rPr>
        <w:t>药团</w:t>
      </w:r>
      <w:r>
        <w:rPr>
          <w:rFonts w:hint="eastAsia"/>
        </w:rPr>
        <w:t>。</w:t>
      </w:r>
    </w:p>
    <w:p w14:paraId="16D8F324">
      <w:pPr>
        <w:pStyle w:val="104"/>
        <w:spacing w:before="312" w:after="312"/>
      </w:pPr>
      <w:bookmarkStart w:id="51" w:name="_Toc19162"/>
      <w:r>
        <w:rPr>
          <w:rFonts w:hint="eastAsia"/>
        </w:rPr>
        <w:t>基本要求</w:t>
      </w:r>
      <w:bookmarkEnd w:id="51"/>
    </w:p>
    <w:p w14:paraId="1BF46F84">
      <w:pPr>
        <w:pStyle w:val="105"/>
        <w:spacing w:before="156" w:after="156"/>
      </w:pPr>
      <w:bookmarkStart w:id="52" w:name="_Toc16873"/>
      <w:r>
        <w:rPr>
          <w:rFonts w:hint="eastAsia"/>
        </w:rPr>
        <w:t>人员资质</w:t>
      </w:r>
      <w:bookmarkEnd w:id="52"/>
    </w:p>
    <w:p w14:paraId="0B66E0B7">
      <w:pPr>
        <w:pStyle w:val="56"/>
        <w:ind w:firstLine="420"/>
      </w:pPr>
      <w:r>
        <w:rPr>
          <w:rFonts w:hint="eastAsia"/>
        </w:rPr>
        <w:t>取得中医、西医及地方民族医疗许可和护理职业类别等相关资质，经过具备相关资质机构组织的培训，考核合格。</w:t>
      </w:r>
    </w:p>
    <w:p w14:paraId="4166B28A">
      <w:pPr>
        <w:pStyle w:val="105"/>
        <w:spacing w:before="156" w:after="156"/>
      </w:pPr>
      <w:bookmarkStart w:id="53" w:name="_Toc28214"/>
      <w:r>
        <w:rPr>
          <w:rFonts w:hint="eastAsia"/>
        </w:rPr>
        <w:t>操作人员</w:t>
      </w:r>
      <w:bookmarkEnd w:id="53"/>
    </w:p>
    <w:p w14:paraId="543635AD">
      <w:pPr>
        <w:pStyle w:val="56"/>
        <w:ind w:firstLine="420"/>
      </w:pPr>
      <w:r>
        <w:rPr>
          <w:rFonts w:hint="eastAsia"/>
        </w:rPr>
        <w:t>仪表整洁，举止端庄，态度和蔼。操作前洗手或者卫生手消毒，戴帽子、戴口罩及无菌手套。操作人员的手卫生应符合WS/T 313的规定，防护用品的使用应符合WS/T 311的规定。</w:t>
      </w:r>
    </w:p>
    <w:p w14:paraId="64279F87">
      <w:pPr>
        <w:pStyle w:val="105"/>
        <w:spacing w:before="156" w:after="156"/>
      </w:pPr>
      <w:bookmarkStart w:id="54" w:name="_Toc28114"/>
      <w:r>
        <w:rPr>
          <w:rFonts w:hint="eastAsia"/>
        </w:rPr>
        <w:t>环境要求</w:t>
      </w:r>
      <w:bookmarkEnd w:id="54"/>
    </w:p>
    <w:p w14:paraId="3D2E6F22">
      <w:pPr>
        <w:pStyle w:val="56"/>
        <w:ind w:firstLine="420"/>
      </w:pPr>
      <w:r>
        <w:rPr>
          <w:rFonts w:hint="eastAsia"/>
        </w:rPr>
        <w:t>清洁、安静、避风、室温（25-30）℃为宜、有拉帘或屏风等遮挡物。环境卫生消毒应符合GB 15982的规定。</w:t>
      </w:r>
    </w:p>
    <w:p w14:paraId="4D0C5761">
      <w:pPr>
        <w:pStyle w:val="104"/>
        <w:spacing w:before="312" w:after="312"/>
      </w:pPr>
      <w:bookmarkStart w:id="55" w:name="_Toc30372"/>
      <w:r>
        <w:rPr>
          <w:rFonts w:hint="eastAsia"/>
        </w:rPr>
        <w:t>适应症和禁忌症</w:t>
      </w:r>
      <w:bookmarkEnd w:id="55"/>
    </w:p>
    <w:p w14:paraId="1939D072">
      <w:pPr>
        <w:pStyle w:val="105"/>
        <w:spacing w:before="156" w:after="156"/>
      </w:pPr>
      <w:bookmarkStart w:id="56" w:name="_Toc17836"/>
      <w:r>
        <w:rPr>
          <w:rFonts w:hint="eastAsia"/>
        </w:rPr>
        <w:t>适应症</w:t>
      </w:r>
      <w:bookmarkEnd w:id="56"/>
    </w:p>
    <w:p w14:paraId="524FB96F">
      <w:pPr>
        <w:pStyle w:val="56"/>
        <w:ind w:firstLine="420"/>
      </w:pPr>
      <w:r>
        <w:t>感冒头疼、腰肌劳损、腰背痛、产后腹痛、痛经、闭经、颈椎病、肩周炎、风湿关节炎等。</w:t>
      </w:r>
    </w:p>
    <w:p w14:paraId="2DB16F81">
      <w:pPr>
        <w:pStyle w:val="105"/>
        <w:spacing w:before="156" w:after="156"/>
      </w:pPr>
      <w:bookmarkStart w:id="57" w:name="_Toc23237"/>
      <w:r>
        <w:rPr>
          <w:rFonts w:hint="eastAsia"/>
        </w:rPr>
        <w:t>禁忌症</w:t>
      </w:r>
      <w:bookmarkEnd w:id="57"/>
    </w:p>
    <w:p w14:paraId="1F066CF1">
      <w:pPr>
        <w:widowControl/>
        <w:adjustRightInd/>
        <w:spacing w:line="240" w:lineRule="auto"/>
        <w:ind w:firstLine="424" w:firstLineChars="202"/>
        <w:jc w:val="left"/>
        <w:rPr>
          <w:rFonts w:hint="eastAsia" w:ascii="FZShuSong-Z01S" w:hAnsi="FZShuSong-Z01S" w:cs="宋体"/>
          <w:color w:val="000000"/>
        </w:rPr>
      </w:pPr>
      <w:r>
        <w:rPr>
          <w:rFonts w:hint="eastAsia" w:ascii="FZShuSong-Z01S" w:hAnsi="FZShuSong-Z01S" w:cs="宋体"/>
          <w:color w:val="000000"/>
          <w:kern w:val="0"/>
        </w:rPr>
        <w:t>青光眼、眼底出血、孕妇、心脏病、呼吸衰竭、哮喘及高血压并发症期间等病症禁用</w:t>
      </w:r>
      <w:r>
        <w:rPr>
          <w:rFonts w:hint="eastAsia" w:ascii="FZShuSong-Z01S" w:hAnsi="FZShuSong-Z01S" w:cs="宋体"/>
          <w:color w:val="000000"/>
        </w:rPr>
        <w:t>。</w:t>
      </w:r>
    </w:p>
    <w:p w14:paraId="078068F6">
      <w:pPr>
        <w:pStyle w:val="104"/>
        <w:spacing w:before="312" w:after="312"/>
      </w:pPr>
      <w:bookmarkStart w:id="58" w:name="_Toc6363"/>
      <w:r>
        <w:rPr>
          <w:rFonts w:hint="eastAsia"/>
        </w:rPr>
        <w:t>操作流程</w:t>
      </w:r>
      <w:bookmarkEnd w:id="58"/>
    </w:p>
    <w:p w14:paraId="127C281A">
      <w:pPr>
        <w:pStyle w:val="105"/>
        <w:spacing w:before="156" w:after="156"/>
      </w:pPr>
      <w:bookmarkStart w:id="59" w:name="_Toc6826"/>
      <w:r>
        <w:rPr>
          <w:rFonts w:hint="eastAsia"/>
        </w:rPr>
        <w:t>签署知情同意书</w:t>
      </w:r>
      <w:bookmarkEnd w:id="59"/>
    </w:p>
    <w:p w14:paraId="34BB02A8">
      <w:pPr>
        <w:pStyle w:val="56"/>
        <w:ind w:firstLine="420"/>
      </w:pPr>
      <w:r>
        <w:rPr>
          <w:rFonts w:hint="eastAsia"/>
        </w:rPr>
        <w:t>诊疗前，对患者进行适应症、禁忌症评估。应获得患者同意，并取得患者或家属签署的诊疗知情同意书。</w:t>
      </w:r>
    </w:p>
    <w:p w14:paraId="135D6198">
      <w:pPr>
        <w:pStyle w:val="105"/>
        <w:spacing w:before="156" w:after="156"/>
      </w:pPr>
      <w:bookmarkStart w:id="60" w:name="_Toc1142"/>
      <w:r>
        <w:rPr>
          <w:rFonts w:hint="eastAsia"/>
        </w:rPr>
        <w:t>药物制备</w:t>
      </w:r>
      <w:bookmarkEnd w:id="60"/>
    </w:p>
    <w:p w14:paraId="6495CA15">
      <w:pPr>
        <w:pStyle w:val="56"/>
        <w:ind w:firstLine="420"/>
      </w:pPr>
      <w:r>
        <w:rPr>
          <w:rFonts w:hint="eastAsia"/>
        </w:rPr>
        <w:t>生姜400g、艾叶400</w:t>
      </w:r>
      <w:bookmarkStart w:id="61" w:name="OLE_LINK4"/>
      <w:r>
        <w:rPr>
          <w:rFonts w:hint="eastAsia"/>
        </w:rPr>
        <w:t>g</w:t>
      </w:r>
      <w:bookmarkEnd w:id="61"/>
      <w:r>
        <w:rPr>
          <w:rFonts w:hint="eastAsia"/>
        </w:rPr>
        <w:t>、散血丹250g、糯米10g、沉香5g、粗盐5g，共捣烂，根据病情需要捏实成小药团，晒干备用。</w:t>
      </w:r>
    </w:p>
    <w:p w14:paraId="1F724B91">
      <w:pPr>
        <w:pStyle w:val="105"/>
        <w:spacing w:before="156" w:after="156"/>
      </w:pPr>
      <w:bookmarkStart w:id="62" w:name="_Toc20246"/>
      <w:r>
        <w:rPr>
          <w:rFonts w:hint="eastAsia"/>
        </w:rPr>
        <w:t>体位选择</w:t>
      </w:r>
      <w:bookmarkEnd w:id="62"/>
    </w:p>
    <w:p w14:paraId="7EC9AA13">
      <w:pPr>
        <w:pStyle w:val="56"/>
        <w:ind w:firstLine="420"/>
      </w:pPr>
      <w:r>
        <w:rPr>
          <w:rFonts w:hint="eastAsia"/>
        </w:rPr>
        <w:t>以患者舒适并能较长时间保持体位为原则。可选择坐位、仰卧位、俯卧位。</w:t>
      </w:r>
    </w:p>
    <w:p w14:paraId="68FD5391">
      <w:pPr>
        <w:pStyle w:val="105"/>
        <w:spacing w:before="156" w:after="156"/>
      </w:pPr>
      <w:bookmarkStart w:id="63" w:name="_Toc5662"/>
      <w:r>
        <w:rPr>
          <w:rFonts w:hint="eastAsia"/>
        </w:rPr>
        <w:t>施术方法</w:t>
      </w:r>
      <w:bookmarkEnd w:id="63"/>
    </w:p>
    <w:p w14:paraId="3EC66ABD">
      <w:pPr>
        <w:pStyle w:val="165"/>
      </w:pPr>
      <w:r>
        <w:rPr>
          <w:rFonts w:hint="eastAsia"/>
        </w:rPr>
        <w:t>先用</w:t>
      </w:r>
      <w:r>
        <w:rPr>
          <w:rFonts w:hint="eastAsia"/>
          <w:lang w:val="en-US" w:eastAsia="zh-CN"/>
        </w:rPr>
        <w:t>山柚油涂</w:t>
      </w:r>
      <w:r>
        <w:rPr>
          <w:rFonts w:hint="eastAsia"/>
        </w:rPr>
        <w:t>搽</w:t>
      </w:r>
      <w:r>
        <w:rPr>
          <w:rFonts w:hint="eastAsia"/>
          <w:lang w:val="en-US" w:eastAsia="zh-CN"/>
        </w:rPr>
        <w:t>患处</w:t>
      </w:r>
      <w:r>
        <w:rPr>
          <w:rFonts w:hint="eastAsia"/>
        </w:rPr>
        <w:t>部位。</w:t>
      </w:r>
    </w:p>
    <w:p w14:paraId="7DC1D6FC">
      <w:pPr>
        <w:pStyle w:val="165"/>
      </w:pPr>
      <w:r>
        <w:rPr>
          <w:rFonts w:hint="eastAsia"/>
        </w:rPr>
        <w:t>将药团插在罐</w:t>
      </w:r>
      <w:r>
        <w:rPr>
          <w:rFonts w:hint="eastAsia"/>
          <w:lang w:val="en-US" w:eastAsia="zh-CN"/>
        </w:rPr>
        <w:t>内</w:t>
      </w:r>
      <w:r>
        <w:rPr>
          <w:rFonts w:hint="eastAsia"/>
        </w:rPr>
        <w:t>底</w:t>
      </w:r>
      <w:r>
        <w:rPr>
          <w:rFonts w:hint="eastAsia"/>
          <w:lang w:val="en-US" w:eastAsia="zh-CN"/>
        </w:rPr>
        <w:t>部的</w:t>
      </w:r>
      <w:r>
        <w:rPr>
          <w:rFonts w:hint="eastAsia"/>
        </w:rPr>
        <w:t>针上，点燃。握住点燃的蛇罐，反扣，在身体上方移动，至皮肤发红，深部组织发热为度。详见附录A。</w:t>
      </w:r>
    </w:p>
    <w:p w14:paraId="54DF53DE">
      <w:pPr>
        <w:pStyle w:val="165"/>
      </w:pPr>
      <w:r>
        <w:rPr>
          <w:rFonts w:hint="eastAsia"/>
        </w:rPr>
        <w:t>一般步骤是由上而下，由内到外。方法有直走法，蛇形走法，时间以30分钟为宜。</w:t>
      </w:r>
    </w:p>
    <w:p w14:paraId="3F427492">
      <w:pPr>
        <w:pStyle w:val="165"/>
      </w:pPr>
      <w:r>
        <w:rPr>
          <w:rFonts w:ascii="FZShuSong-Z01S" w:hAnsi="FZShuSong-Z01S" w:cs="宋体"/>
          <w:color w:val="000000"/>
        </w:rPr>
        <w:t>注意掌握</w:t>
      </w:r>
      <w:r>
        <w:rPr>
          <w:rFonts w:hint="eastAsia" w:ascii="FZShuSong-Z01S" w:hAnsi="FZShuSong-Z01S" w:cs="宋体"/>
          <w:color w:val="000000"/>
        </w:rPr>
        <w:t>距离</w:t>
      </w:r>
      <w:r>
        <w:rPr>
          <w:rFonts w:ascii="FZShuSong-Z01S" w:hAnsi="FZShuSong-Z01S" w:cs="宋体"/>
          <w:color w:val="000000"/>
        </w:rPr>
        <w:t>频</w:t>
      </w:r>
      <w:r>
        <w:rPr>
          <w:rFonts w:ascii="FZShuSong-Z01S" w:hAnsi="FZShuSong-Z01S" w:cs="宋体"/>
          <w:color w:val="000000"/>
          <w:szCs w:val="21"/>
        </w:rPr>
        <w:t>率和力度，</w:t>
      </w:r>
      <w:r>
        <w:rPr>
          <w:rFonts w:hint="eastAsia"/>
        </w:rPr>
        <w:t>注意避免烫伤。</w:t>
      </w:r>
    </w:p>
    <w:p w14:paraId="62283CD8">
      <w:pPr>
        <w:pStyle w:val="104"/>
        <w:spacing w:before="312" w:after="312"/>
      </w:pPr>
      <w:bookmarkStart w:id="64" w:name="_Toc20352"/>
      <w:r>
        <w:rPr>
          <w:rFonts w:hint="eastAsia"/>
        </w:rPr>
        <w:t>注意事项</w:t>
      </w:r>
      <w:bookmarkEnd w:id="64"/>
    </w:p>
    <w:p w14:paraId="4656195A">
      <w:pPr>
        <w:pStyle w:val="132"/>
      </w:pPr>
      <w:r>
        <w:rPr>
          <w:rFonts w:hint="eastAsia"/>
          <w:lang w:val="en-US" w:eastAsia="zh-CN"/>
        </w:rPr>
        <w:t>药团</w:t>
      </w:r>
      <w:r>
        <w:rPr>
          <w:rFonts w:hint="eastAsia"/>
        </w:rPr>
        <w:t>火头应与皮肤保持距离，切忌火头接触皮肤，以免烫伤。</w:t>
      </w:r>
    </w:p>
    <w:p w14:paraId="701777F8">
      <w:pPr>
        <w:pStyle w:val="132"/>
      </w:pPr>
      <w:r>
        <w:rPr>
          <w:rFonts w:hint="eastAsia"/>
        </w:rPr>
        <w:t>随时注意患者表</w:t>
      </w:r>
      <w:r>
        <w:rPr>
          <w:rFonts w:hint="eastAsia"/>
          <w:lang w:val="en-US" w:eastAsia="zh-CN"/>
        </w:rPr>
        <w:t>情并询问患者感受</w:t>
      </w:r>
      <w:r>
        <w:rPr>
          <w:rFonts w:hint="eastAsia"/>
        </w:rPr>
        <w:t>，以患者能忍受为度，以避免灼伤。</w:t>
      </w:r>
    </w:p>
    <w:p w14:paraId="4F6262F9">
      <w:pPr>
        <w:pStyle w:val="132"/>
      </w:pPr>
      <w:r>
        <w:rPr>
          <w:rFonts w:hint="eastAsia"/>
        </w:rPr>
        <w:t>治疗后，请勿即刻洗涤</w:t>
      </w:r>
      <w:r>
        <w:rPr>
          <w:rFonts w:hint="eastAsia"/>
          <w:lang w:eastAsia="zh-CN"/>
        </w:rPr>
        <w:t>、</w:t>
      </w:r>
      <w:r>
        <w:rPr>
          <w:rFonts w:hint="eastAsia"/>
        </w:rPr>
        <w:t>吹风。</w:t>
      </w:r>
    </w:p>
    <w:p w14:paraId="0C7BCA4B">
      <w:pPr>
        <w:pStyle w:val="132"/>
      </w:pPr>
      <w:r>
        <w:rPr>
          <w:rFonts w:hint="eastAsia"/>
        </w:rPr>
        <w:t>对体质虚弱、神经衰弱的患者，治疗时火力宜小，饥饿的患者应先进食或</w:t>
      </w:r>
      <w:r>
        <w:rPr>
          <w:rFonts w:hint="eastAsia"/>
          <w:lang w:val="en-US" w:eastAsia="zh-CN"/>
        </w:rPr>
        <w:t>饮用</w:t>
      </w:r>
      <w:r>
        <w:rPr>
          <w:rFonts w:hint="eastAsia"/>
        </w:rPr>
        <w:t>糖水。</w:t>
      </w:r>
    </w:p>
    <w:p w14:paraId="040C5EF0">
      <w:pPr>
        <w:pStyle w:val="132"/>
      </w:pPr>
      <w:r>
        <w:rPr>
          <w:rFonts w:hint="eastAsia"/>
        </w:rPr>
        <w:t>治疗过程中注意对患者其他暴露部位保暖。</w:t>
      </w:r>
    </w:p>
    <w:p w14:paraId="0A6EF8C1">
      <w:pPr>
        <w:pStyle w:val="132"/>
        <w:numPr>
          <w:ilvl w:val="0"/>
          <w:numId w:val="0"/>
        </w:numPr>
        <w:rPr>
          <w:rFonts w:hint="default"/>
          <w:lang w:val="en-US" w:eastAsia="zh-CN"/>
        </w:rPr>
      </w:pPr>
    </w:p>
    <w:p w14:paraId="50F20A79">
      <w:pPr>
        <w:pStyle w:val="198"/>
        <w:rPr>
          <w:rFonts w:hint="eastAsia"/>
        </w:rPr>
      </w:pPr>
    </w:p>
    <w:p w14:paraId="2ADB2654">
      <w:pPr>
        <w:pStyle w:val="199"/>
      </w:pPr>
    </w:p>
    <w:p w14:paraId="6B6EE61C">
      <w:pPr>
        <w:pStyle w:val="198"/>
        <w:rPr>
          <w:rFonts w:hint="eastAsia"/>
        </w:rPr>
      </w:pPr>
    </w:p>
    <w:p w14:paraId="09B1A3C8">
      <w:pPr>
        <w:pStyle w:val="199"/>
      </w:pPr>
    </w:p>
    <w:p w14:paraId="0ABC965B">
      <w:pPr>
        <w:pStyle w:val="56"/>
        <w:ind w:firstLine="420"/>
      </w:pPr>
    </w:p>
    <w:p w14:paraId="0AA13EE6">
      <w:pPr>
        <w:pStyle w:val="56"/>
        <w:ind w:firstLine="420"/>
        <w:jc w:val="center"/>
        <w:sectPr>
          <w:pgSz w:w="11906" w:h="16838"/>
          <w:pgMar w:top="1928" w:right="1134" w:bottom="1134" w:left="1134" w:header="1418" w:footer="1134" w:gutter="284"/>
          <w:cols w:space="425" w:num="1"/>
          <w:formProt w:val="0"/>
          <w:docGrid w:type="lines" w:linePitch="312" w:charSpace="0"/>
        </w:sectPr>
      </w:pPr>
    </w:p>
    <w:bookmarkEnd w:id="25"/>
    <w:p w14:paraId="790041BB">
      <w:pPr>
        <w:pStyle w:val="198"/>
        <w:rPr>
          <w:rFonts w:hint="eastAsia"/>
        </w:rPr>
      </w:pPr>
      <w:bookmarkStart w:id="65" w:name="BookMark5"/>
    </w:p>
    <w:p w14:paraId="789985B2">
      <w:pPr>
        <w:pStyle w:val="199"/>
      </w:pPr>
    </w:p>
    <w:p w14:paraId="59FDAD3A">
      <w:pPr>
        <w:pStyle w:val="76"/>
        <w:spacing w:after="156"/>
      </w:pPr>
      <w:bookmarkStart w:id="66" w:name="_Toc11865"/>
      <w:r>
        <w:br w:type="textWrapping"/>
      </w:r>
      <w:r>
        <w:rPr>
          <w:rFonts w:hint="eastAsia"/>
        </w:rPr>
        <w:t>（资料性）</w:t>
      </w:r>
      <w:r>
        <w:br w:type="textWrapping"/>
      </w:r>
      <w:r>
        <w:rPr>
          <w:rFonts w:hint="eastAsia"/>
        </w:rPr>
        <w:t>走蛇罐操作方法</w:t>
      </w:r>
      <w:bookmarkEnd w:id="66"/>
    </w:p>
    <w:p w14:paraId="79266F62">
      <w:pPr>
        <w:pStyle w:val="83"/>
        <w:numPr>
          <w:ilvl w:val="0"/>
          <w:numId w:val="0"/>
        </w:numPr>
        <w:spacing w:before="156" w:after="156"/>
        <w:jc w:val="both"/>
      </w:pPr>
    </w:p>
    <w:p w14:paraId="4588F4E1">
      <w:pPr>
        <w:pStyle w:val="56"/>
        <w:ind w:firstLine="420"/>
      </w:pPr>
    </w:p>
    <w:p w14:paraId="447153F5">
      <w:pPr>
        <w:pStyle w:val="56"/>
        <w:ind w:firstLine="420"/>
        <w:jc w:val="center"/>
      </w:pPr>
      <w:r>
        <w:drawing>
          <wp:inline distT="0" distB="0" distL="0" distR="0">
            <wp:extent cx="5255260" cy="6030595"/>
            <wp:effectExtent l="0" t="0" r="2540" b="8255"/>
            <wp:docPr id="1531196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96550" name="图片 1"/>
                    <pic:cNvPicPr>
                      <a:picLocks noChangeAspect="1"/>
                    </pic:cNvPicPr>
                  </pic:nvPicPr>
                  <pic:blipFill>
                    <a:blip r:embed="rId18"/>
                    <a:stretch>
                      <a:fillRect/>
                    </a:stretch>
                  </pic:blipFill>
                  <pic:spPr>
                    <a:xfrm>
                      <a:off x="0" y="0"/>
                      <a:ext cx="5275211" cy="6054030"/>
                    </a:xfrm>
                    <a:prstGeom prst="rect">
                      <a:avLst/>
                    </a:prstGeom>
                  </pic:spPr>
                </pic:pic>
              </a:graphicData>
            </a:graphic>
          </wp:inline>
        </w:drawing>
      </w:r>
    </w:p>
    <w:p w14:paraId="7D765CEA">
      <w:pPr>
        <w:pStyle w:val="83"/>
        <w:numPr>
          <w:ilvl w:val="0"/>
          <w:numId w:val="0"/>
        </w:numPr>
        <w:spacing w:before="156" w:after="156"/>
        <w:rPr>
          <w:rFonts w:hint="eastAsia"/>
        </w:rPr>
      </w:pPr>
      <w:r>
        <w:rPr>
          <w:rFonts w:hint="eastAsia"/>
        </w:rPr>
        <w:t>图A.1 点燃走蛇罐</w:t>
      </w:r>
    </w:p>
    <w:p w14:paraId="75540AE0">
      <w:pPr>
        <w:pStyle w:val="83"/>
        <w:numPr>
          <w:ilvl w:val="0"/>
          <w:numId w:val="0"/>
        </w:numPr>
        <w:spacing w:before="156" w:after="156"/>
        <w:jc w:val="both"/>
      </w:pPr>
    </w:p>
    <w:p w14:paraId="399AD530">
      <w:pPr>
        <w:pStyle w:val="56"/>
        <w:ind w:firstLine="420"/>
      </w:pPr>
      <w:r>
        <w:drawing>
          <wp:inline distT="0" distB="0" distL="0" distR="0">
            <wp:extent cx="5488940" cy="7246620"/>
            <wp:effectExtent l="0" t="0" r="0" b="0"/>
            <wp:docPr id="940311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11462" name="图片 1"/>
                    <pic:cNvPicPr>
                      <a:picLocks noChangeAspect="1"/>
                    </pic:cNvPicPr>
                  </pic:nvPicPr>
                  <pic:blipFill>
                    <a:blip r:embed="rId19"/>
                    <a:stretch>
                      <a:fillRect/>
                    </a:stretch>
                  </pic:blipFill>
                  <pic:spPr>
                    <a:xfrm>
                      <a:off x="0" y="0"/>
                      <a:ext cx="5493230" cy="7252660"/>
                    </a:xfrm>
                    <a:prstGeom prst="rect">
                      <a:avLst/>
                    </a:prstGeom>
                  </pic:spPr>
                </pic:pic>
              </a:graphicData>
            </a:graphic>
          </wp:inline>
        </w:drawing>
      </w:r>
    </w:p>
    <w:p w14:paraId="6ECB451F">
      <w:pPr>
        <w:pStyle w:val="83"/>
        <w:numPr>
          <w:ilvl w:val="0"/>
          <w:numId w:val="0"/>
        </w:numPr>
        <w:spacing w:before="156" w:after="156"/>
        <w:rPr>
          <w:rFonts w:hint="eastAsia"/>
        </w:rPr>
      </w:pPr>
      <w:r>
        <w:rPr>
          <w:rFonts w:hint="eastAsia"/>
        </w:rPr>
        <w:t>图A.2 走蛇罐施术</w:t>
      </w:r>
    </w:p>
    <w:bookmarkEnd w:id="65"/>
    <w:p w14:paraId="0EE14D92">
      <w:pPr>
        <w:pStyle w:val="56"/>
        <w:ind w:firstLine="0" w:firstLineChars="0"/>
        <w:jc w:val="center"/>
      </w:pPr>
      <w:bookmarkStart w:id="67" w:name="BookMark8"/>
      <w:r>
        <w:rPr>
          <w:rFonts w:hint="eastAsia"/>
        </w:rPr>
        <w:drawing>
          <wp:inline distT="0" distB="0" distL="0" distR="0">
            <wp:extent cx="1485900" cy="317500"/>
            <wp:effectExtent l="0" t="0" r="0" b="6350"/>
            <wp:docPr id="1937384364" name="图片 3"/>
            <wp:cNvGraphicFramePr/>
            <a:graphic xmlns:a="http://schemas.openxmlformats.org/drawingml/2006/main">
              <a:graphicData uri="http://schemas.openxmlformats.org/drawingml/2006/picture">
                <pic:pic xmlns:pic="http://schemas.openxmlformats.org/drawingml/2006/picture">
                  <pic:nvPicPr>
                    <pic:cNvPr id="1937384364" name="图片 3"/>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7"/>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FZShuSong-Z01S">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F37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B2782">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6FCAD">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0F083">
    <w:pPr>
      <w:pStyle w:val="52"/>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D9825">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4569">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4677A">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B9DB4">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3C931">
    <w:pPr>
      <w:pStyle w:val="61"/>
      <w:rPr>
        <w:rFonts w:hint="eastAsia"/>
      </w:rPr>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6D3A">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09C26">
    <w:pPr>
      <w:pStyle w:val="61"/>
      <w:rPr>
        <w:rFonts w:hint="eastAsia"/>
      </w:rPr>
    </w:pPr>
    <w:r>
      <w:fldChar w:fldCharType="begin"/>
    </w:r>
    <w:r>
      <w:instrText xml:space="preserve"> STYLEREF  标准文件_文件编号  \* MERGEFORMAT </w:instrText>
    </w:r>
    <w:r>
      <w:fldChar w:fldCharType="separate"/>
    </w:r>
    <w: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7742"/>
        </w:tabs>
        <w:ind w:left="7742" w:hanging="648"/>
      </w:pPr>
    </w:lvl>
    <w:lvl w:ilvl="1" w:tentative="0">
      <w:start w:val="1"/>
      <w:numFmt w:val="lowerLetter"/>
      <w:lvlText w:val="%2)"/>
      <w:lvlJc w:val="left"/>
      <w:pPr>
        <w:tabs>
          <w:tab w:val="left" w:pos="7934"/>
        </w:tabs>
        <w:ind w:left="7934" w:hanging="420"/>
      </w:pPr>
    </w:lvl>
    <w:lvl w:ilvl="2" w:tentative="0">
      <w:start w:val="1"/>
      <w:numFmt w:val="lowerRoman"/>
      <w:lvlText w:val="%3."/>
      <w:lvlJc w:val="right"/>
      <w:pPr>
        <w:tabs>
          <w:tab w:val="left" w:pos="8354"/>
        </w:tabs>
        <w:ind w:left="8354" w:hanging="420"/>
      </w:pPr>
    </w:lvl>
    <w:lvl w:ilvl="3" w:tentative="0">
      <w:start w:val="1"/>
      <w:numFmt w:val="decimal"/>
      <w:lvlText w:val="%4."/>
      <w:lvlJc w:val="left"/>
      <w:pPr>
        <w:tabs>
          <w:tab w:val="left" w:pos="8774"/>
        </w:tabs>
        <w:ind w:left="8774" w:hanging="420"/>
      </w:pPr>
    </w:lvl>
    <w:lvl w:ilvl="4" w:tentative="0">
      <w:start w:val="1"/>
      <w:numFmt w:val="lowerLetter"/>
      <w:lvlText w:val="%5)"/>
      <w:lvlJc w:val="left"/>
      <w:pPr>
        <w:tabs>
          <w:tab w:val="left" w:pos="9194"/>
        </w:tabs>
        <w:ind w:left="9194" w:hanging="420"/>
      </w:pPr>
    </w:lvl>
    <w:lvl w:ilvl="5" w:tentative="0">
      <w:start w:val="1"/>
      <w:numFmt w:val="lowerRoman"/>
      <w:lvlText w:val="%6."/>
      <w:lvlJc w:val="right"/>
      <w:pPr>
        <w:tabs>
          <w:tab w:val="left" w:pos="9614"/>
        </w:tabs>
        <w:ind w:left="9614" w:hanging="420"/>
      </w:pPr>
    </w:lvl>
    <w:lvl w:ilvl="6" w:tentative="0">
      <w:start w:val="1"/>
      <w:numFmt w:val="decimal"/>
      <w:lvlText w:val="%7."/>
      <w:lvlJc w:val="left"/>
      <w:pPr>
        <w:tabs>
          <w:tab w:val="left" w:pos="10034"/>
        </w:tabs>
        <w:ind w:left="10034" w:hanging="420"/>
      </w:pPr>
    </w:lvl>
    <w:lvl w:ilvl="7" w:tentative="0">
      <w:start w:val="1"/>
      <w:numFmt w:val="lowerLetter"/>
      <w:lvlText w:val="%8)"/>
      <w:lvlJc w:val="left"/>
      <w:pPr>
        <w:tabs>
          <w:tab w:val="left" w:pos="10454"/>
        </w:tabs>
        <w:ind w:left="10454" w:hanging="420"/>
      </w:pPr>
    </w:lvl>
    <w:lvl w:ilvl="8" w:tentative="0">
      <w:start w:val="1"/>
      <w:numFmt w:val="lowerRoman"/>
      <w:lvlText w:val="%9."/>
      <w:lvlJc w:val="right"/>
      <w:pPr>
        <w:tabs>
          <w:tab w:val="left" w:pos="10874"/>
        </w:tabs>
        <w:ind w:left="10874"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XV+ph53FXY+99K8tCjAtmAcgFptqRkeEWqhwwxD+qiWZD5AyKKf6OeW0lyPVhQaXCHiTChQ3tH5RX13s/psXBw==" w:salt="iAtL+L4obUupqCVjdBIck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53"/>
    <w:rsid w:val="0000040A"/>
    <w:rsid w:val="00000A94"/>
    <w:rsid w:val="00001972"/>
    <w:rsid w:val="00001D9A"/>
    <w:rsid w:val="00007B3A"/>
    <w:rsid w:val="000107E0"/>
    <w:rsid w:val="00011FDE"/>
    <w:rsid w:val="00012FFD"/>
    <w:rsid w:val="00014162"/>
    <w:rsid w:val="00014340"/>
    <w:rsid w:val="00016A9C"/>
    <w:rsid w:val="00021338"/>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564"/>
    <w:rsid w:val="000B3CDA"/>
    <w:rsid w:val="000B6A0B"/>
    <w:rsid w:val="000C0F6C"/>
    <w:rsid w:val="000C11DB"/>
    <w:rsid w:val="000C1492"/>
    <w:rsid w:val="000C2FBD"/>
    <w:rsid w:val="000C3553"/>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17C29"/>
    <w:rsid w:val="0012059C"/>
    <w:rsid w:val="00122C03"/>
    <w:rsid w:val="00124E4F"/>
    <w:rsid w:val="001260B7"/>
    <w:rsid w:val="001265CB"/>
    <w:rsid w:val="00131716"/>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331"/>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A53CF"/>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573"/>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C4D"/>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51DC"/>
    <w:rsid w:val="002E6326"/>
    <w:rsid w:val="002F30E0"/>
    <w:rsid w:val="002F35E4"/>
    <w:rsid w:val="002F3730"/>
    <w:rsid w:val="002F38E1"/>
    <w:rsid w:val="002F7317"/>
    <w:rsid w:val="002F7AF6"/>
    <w:rsid w:val="00300E63"/>
    <w:rsid w:val="00302F5F"/>
    <w:rsid w:val="0030441D"/>
    <w:rsid w:val="00306063"/>
    <w:rsid w:val="00306C06"/>
    <w:rsid w:val="00313B85"/>
    <w:rsid w:val="00314A5B"/>
    <w:rsid w:val="00317988"/>
    <w:rsid w:val="003221B4"/>
    <w:rsid w:val="0032258D"/>
    <w:rsid w:val="00322E62"/>
    <w:rsid w:val="00324D13"/>
    <w:rsid w:val="00324D2A"/>
    <w:rsid w:val="00324EDD"/>
    <w:rsid w:val="0032565E"/>
    <w:rsid w:val="003331E4"/>
    <w:rsid w:val="00336C64"/>
    <w:rsid w:val="00337162"/>
    <w:rsid w:val="0034194F"/>
    <w:rsid w:val="00344605"/>
    <w:rsid w:val="003474AA"/>
    <w:rsid w:val="00350D1D"/>
    <w:rsid w:val="00352C83"/>
    <w:rsid w:val="003538ED"/>
    <w:rsid w:val="003615D2"/>
    <w:rsid w:val="003637A9"/>
    <w:rsid w:val="0036429C"/>
    <w:rsid w:val="00364A53"/>
    <w:rsid w:val="003654CB"/>
    <w:rsid w:val="00365AA9"/>
    <w:rsid w:val="00365F86"/>
    <w:rsid w:val="00365F87"/>
    <w:rsid w:val="00366E89"/>
    <w:rsid w:val="003705F4"/>
    <w:rsid w:val="00370D58"/>
    <w:rsid w:val="00371316"/>
    <w:rsid w:val="00376713"/>
    <w:rsid w:val="00380520"/>
    <w:rsid w:val="00380E15"/>
    <w:rsid w:val="00381815"/>
    <w:rsid w:val="003819AF"/>
    <w:rsid w:val="003820E9"/>
    <w:rsid w:val="00382DE7"/>
    <w:rsid w:val="00384FFC"/>
    <w:rsid w:val="003872FC"/>
    <w:rsid w:val="00387ADC"/>
    <w:rsid w:val="00390020"/>
    <w:rsid w:val="003903D6"/>
    <w:rsid w:val="00390EE6"/>
    <w:rsid w:val="0039118F"/>
    <w:rsid w:val="00392675"/>
    <w:rsid w:val="00392AD7"/>
    <w:rsid w:val="003938D9"/>
    <w:rsid w:val="00394376"/>
    <w:rsid w:val="003943FF"/>
    <w:rsid w:val="00395700"/>
    <w:rsid w:val="003974EB"/>
    <w:rsid w:val="00397CC5"/>
    <w:rsid w:val="003A1582"/>
    <w:rsid w:val="003A4077"/>
    <w:rsid w:val="003B09AD"/>
    <w:rsid w:val="003B1F18"/>
    <w:rsid w:val="003B5BF0"/>
    <w:rsid w:val="003B60BF"/>
    <w:rsid w:val="003B6555"/>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581F"/>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8C1"/>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4F8C"/>
    <w:rsid w:val="00636E3E"/>
    <w:rsid w:val="006379F7"/>
    <w:rsid w:val="00637E4D"/>
    <w:rsid w:val="00640620"/>
    <w:rsid w:val="00641A1F"/>
    <w:rsid w:val="00644F21"/>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1919"/>
    <w:rsid w:val="00672060"/>
    <w:rsid w:val="00672BFD"/>
    <w:rsid w:val="00673555"/>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1BA0"/>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15DA"/>
    <w:rsid w:val="00722FBF"/>
    <w:rsid w:val="00722FC2"/>
    <w:rsid w:val="00724879"/>
    <w:rsid w:val="00724E1B"/>
    <w:rsid w:val="00725949"/>
    <w:rsid w:val="00727FA2"/>
    <w:rsid w:val="007322D9"/>
    <w:rsid w:val="00732BC0"/>
    <w:rsid w:val="00735519"/>
    <w:rsid w:val="0073720F"/>
    <w:rsid w:val="00737796"/>
    <w:rsid w:val="0074165C"/>
    <w:rsid w:val="00742C35"/>
    <w:rsid w:val="007432CA"/>
    <w:rsid w:val="007439EB"/>
    <w:rsid w:val="00743CB4"/>
    <w:rsid w:val="00743F0A"/>
    <w:rsid w:val="007444E8"/>
    <w:rsid w:val="0074548E"/>
    <w:rsid w:val="00745773"/>
    <w:rsid w:val="00746800"/>
    <w:rsid w:val="007501A8"/>
    <w:rsid w:val="007505C4"/>
    <w:rsid w:val="00750D61"/>
    <w:rsid w:val="00750EE1"/>
    <w:rsid w:val="00752B4D"/>
    <w:rsid w:val="00755402"/>
    <w:rsid w:val="00756B26"/>
    <w:rsid w:val="00756C95"/>
    <w:rsid w:val="00756EDF"/>
    <w:rsid w:val="007600E3"/>
    <w:rsid w:val="00765C43"/>
    <w:rsid w:val="00765EFB"/>
    <w:rsid w:val="007671CA"/>
    <w:rsid w:val="00767C61"/>
    <w:rsid w:val="0077008A"/>
    <w:rsid w:val="0077181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3565"/>
    <w:rsid w:val="007F0ED8"/>
    <w:rsid w:val="007F0F63"/>
    <w:rsid w:val="007F75CE"/>
    <w:rsid w:val="008013A4"/>
    <w:rsid w:val="008027CE"/>
    <w:rsid w:val="00802F42"/>
    <w:rsid w:val="00804383"/>
    <w:rsid w:val="00804BB7"/>
    <w:rsid w:val="00804D41"/>
    <w:rsid w:val="00810257"/>
    <w:rsid w:val="008104F5"/>
    <w:rsid w:val="00811072"/>
    <w:rsid w:val="00811369"/>
    <w:rsid w:val="00812BA3"/>
    <w:rsid w:val="00815419"/>
    <w:rsid w:val="008163C8"/>
    <w:rsid w:val="008164A1"/>
    <w:rsid w:val="00817325"/>
    <w:rsid w:val="008209E6"/>
    <w:rsid w:val="00823303"/>
    <w:rsid w:val="008233B2"/>
    <w:rsid w:val="00823A9F"/>
    <w:rsid w:val="00823C85"/>
    <w:rsid w:val="00825138"/>
    <w:rsid w:val="0082649E"/>
    <w:rsid w:val="008269DD"/>
    <w:rsid w:val="00830143"/>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8C"/>
    <w:rsid w:val="009249EC"/>
    <w:rsid w:val="009251DE"/>
    <w:rsid w:val="009273B3"/>
    <w:rsid w:val="009305B5"/>
    <w:rsid w:val="009374F8"/>
    <w:rsid w:val="009429D5"/>
    <w:rsid w:val="00942BF1"/>
    <w:rsid w:val="00943353"/>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0C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0728"/>
    <w:rsid w:val="00A0096C"/>
    <w:rsid w:val="00A00D32"/>
    <w:rsid w:val="00A01757"/>
    <w:rsid w:val="00A028C0"/>
    <w:rsid w:val="00A02BAE"/>
    <w:rsid w:val="00A06A6B"/>
    <w:rsid w:val="00A07D10"/>
    <w:rsid w:val="00A07E47"/>
    <w:rsid w:val="00A129D0"/>
    <w:rsid w:val="00A12C33"/>
    <w:rsid w:val="00A138BA"/>
    <w:rsid w:val="00A14C8E"/>
    <w:rsid w:val="00A14F2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3F7"/>
    <w:rsid w:val="00A4452E"/>
    <w:rsid w:val="00A4472C"/>
    <w:rsid w:val="00A44E69"/>
    <w:rsid w:val="00A4661E"/>
    <w:rsid w:val="00A53DF3"/>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666"/>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CF3"/>
    <w:rsid w:val="00AE5EB4"/>
    <w:rsid w:val="00AE5F06"/>
    <w:rsid w:val="00AF0C18"/>
    <w:rsid w:val="00AF12CC"/>
    <w:rsid w:val="00AF47C5"/>
    <w:rsid w:val="00AF5398"/>
    <w:rsid w:val="00AF6EDC"/>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1B67"/>
    <w:rsid w:val="00C32D2D"/>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9678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9E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2E48"/>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4B08"/>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751"/>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57CFD"/>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87B5E"/>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5CDA"/>
    <w:rsid w:val="00EE0350"/>
    <w:rsid w:val="00EE0719"/>
    <w:rsid w:val="00EE0E80"/>
    <w:rsid w:val="00EE54A6"/>
    <w:rsid w:val="00EE613F"/>
    <w:rsid w:val="00EE7295"/>
    <w:rsid w:val="00EE7869"/>
    <w:rsid w:val="00EF054A"/>
    <w:rsid w:val="00EF3235"/>
    <w:rsid w:val="00EF3BBF"/>
    <w:rsid w:val="00EF7E72"/>
    <w:rsid w:val="00F00E91"/>
    <w:rsid w:val="00F06D37"/>
    <w:rsid w:val="00F07B9D"/>
    <w:rsid w:val="00F11586"/>
    <w:rsid w:val="00F1183B"/>
    <w:rsid w:val="00F11C9F"/>
    <w:rsid w:val="00F12263"/>
    <w:rsid w:val="00F1409D"/>
    <w:rsid w:val="00F14214"/>
    <w:rsid w:val="00F157A9"/>
    <w:rsid w:val="00F2040F"/>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3E65"/>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5CC7"/>
    <w:rsid w:val="00FF730C"/>
    <w:rsid w:val="00FF73F4"/>
    <w:rsid w:val="00FF7CE4"/>
    <w:rsid w:val="00FF7E39"/>
    <w:rsid w:val="01BD7A4F"/>
    <w:rsid w:val="096A216E"/>
    <w:rsid w:val="0ADA275C"/>
    <w:rsid w:val="0ECA571C"/>
    <w:rsid w:val="14C843C8"/>
    <w:rsid w:val="24984D89"/>
    <w:rsid w:val="269D3789"/>
    <w:rsid w:val="31E537D3"/>
    <w:rsid w:val="38041359"/>
    <w:rsid w:val="40AD6BAC"/>
    <w:rsid w:val="40D16624"/>
    <w:rsid w:val="441445A5"/>
    <w:rsid w:val="455F7AA2"/>
    <w:rsid w:val="49D610AC"/>
    <w:rsid w:val="4C2F4255"/>
    <w:rsid w:val="4C9646F1"/>
    <w:rsid w:val="57E52089"/>
    <w:rsid w:val="7040580B"/>
    <w:rsid w:val="71F854A1"/>
    <w:rsid w:val="7ABA6DCC"/>
    <w:rsid w:val="7ECE7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tiff"/><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9E70D21ADF44B4F910228551DA5DD69"/>
        <w:style w:val=""/>
        <w:category>
          <w:name w:val="常规"/>
          <w:gallery w:val="placeholder"/>
        </w:category>
        <w:types>
          <w:type w:val="bbPlcHdr"/>
        </w:types>
        <w:behaviors>
          <w:behavior w:val="content"/>
        </w:behaviors>
        <w:description w:val=""/>
        <w:guid w:val="{709B3889-2E98-4912-8A99-88CE95374D66}"/>
      </w:docPartPr>
      <w:docPartBody>
        <w:p w14:paraId="4480E2B8">
          <w:pPr>
            <w:pStyle w:val="5"/>
            <w:rPr>
              <w:rFonts w:hint="eastAsia"/>
            </w:rPr>
          </w:pPr>
          <w:r>
            <w:rPr>
              <w:rStyle w:val="4"/>
              <w:rFonts w:hint="eastAsia"/>
            </w:rPr>
            <w:t>单击或点击此处输入文字。</w:t>
          </w:r>
        </w:p>
      </w:docPartBody>
    </w:docPart>
    <w:docPart>
      <w:docPartPr>
        <w:name w:val="10CC521480AB4DC58B6F4BB24A526A49"/>
        <w:style w:val=""/>
        <w:category>
          <w:name w:val="常规"/>
          <w:gallery w:val="placeholder"/>
        </w:category>
        <w:types>
          <w:type w:val="bbPlcHdr"/>
        </w:types>
        <w:behaviors>
          <w:behavior w:val="content"/>
        </w:behaviors>
        <w:description w:val=""/>
        <w:guid w:val="{6E8ACB89-BAE7-422A-9548-92818D8B04A4}"/>
      </w:docPartPr>
      <w:docPartBody>
        <w:p w14:paraId="66E62813">
          <w:pPr>
            <w:pStyle w:val="6"/>
            <w:rPr>
              <w:rFonts w:hint="eastAsia"/>
            </w:rPr>
          </w:pPr>
          <w:r>
            <w:rPr>
              <w:rStyle w:val="4"/>
              <w:rFonts w:hint="eastAsia"/>
            </w:rPr>
            <w:t>选择一项。</w:t>
          </w:r>
        </w:p>
      </w:docPartBody>
    </w:docPart>
    <w:docPart>
      <w:docPartPr>
        <w:name w:val="6B3FEB45051F4194961CE0542036B3AA"/>
        <w:style w:val=""/>
        <w:category>
          <w:name w:val="常规"/>
          <w:gallery w:val="placeholder"/>
        </w:category>
        <w:types>
          <w:type w:val="bbPlcHdr"/>
        </w:types>
        <w:behaviors>
          <w:behavior w:val="content"/>
        </w:behaviors>
        <w:description w:val=""/>
        <w:guid w:val="{7ECC5A3D-DC50-4F36-B862-0040BC563797}"/>
      </w:docPartPr>
      <w:docPartBody>
        <w:p w14:paraId="75242FD1">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5E"/>
    <w:rsid w:val="000C652F"/>
    <w:rsid w:val="00644F21"/>
    <w:rsid w:val="006717BD"/>
    <w:rsid w:val="006E4B6B"/>
    <w:rsid w:val="00735519"/>
    <w:rsid w:val="00960A90"/>
    <w:rsid w:val="00981CB7"/>
    <w:rsid w:val="009E3D3C"/>
    <w:rsid w:val="00AE5CF3"/>
    <w:rsid w:val="00AF12CC"/>
    <w:rsid w:val="00C9535E"/>
    <w:rsid w:val="00D461B3"/>
    <w:rsid w:val="00E00D42"/>
    <w:rsid w:val="00E57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9E70D21ADF44B4F910228551DA5DD6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0CC521480AB4DC58B6F4BB24A526A4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B3FEB45051F4194961CE0542036B3A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8</Pages>
  <Words>1362</Words>
  <Characters>1571</Characters>
  <Lines>13</Lines>
  <Paragraphs>3</Paragraphs>
  <TotalTime>3</TotalTime>
  <ScaleCrop>false</ScaleCrop>
  <LinksUpToDate>false</LinksUpToDate>
  <CharactersWithSpaces>1630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2025-03-11T08:12:00Z</dcterms:created>
  <dc:creator>gb-pc</dc:creator>
  <dc:description>&lt;config cover="true" show_menu="true" version="1.0.0" doctype="SDKXY"&gt;_x000d_
&lt;/config&gt;</dc:description>
  <cp:lastModifiedBy>JoJo ke</cp:lastModifiedBy>
  <cp:lastPrinted>2020-08-30T10:00:00Z</cp:lastPrinted>
  <dcterms:modified xsi:type="dcterms:W3CDTF">2026-02-26T23:13:18Z</dcterms:modified>
  <dc:title>地方标准</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eyJoZGlkIjoiYzYzMjI3MDczMTE2NDQ3YTFmYTYwMmMwOWMwMGRhZDciLCJ1c2VySWQiOiIyNzk2ODUxMTEifQ==</vt:lpwstr>
  </property>
  <property fmtid="{D5CDD505-2E9C-101B-9397-08002B2CF9AE}" pid="15" name="KSOProductBuildVer">
    <vt:lpwstr>2052-12.1.0.25225</vt:lpwstr>
  </property>
  <property fmtid="{D5CDD505-2E9C-101B-9397-08002B2CF9AE}" pid="16" name="ICV">
    <vt:lpwstr>F657144695F744458FD9C17B9860F56A_12</vt:lpwstr>
  </property>
</Properties>
</file>