
<file path=[Content_Types].xml><?xml version="1.0" encoding="utf-8"?>
<Types xmlns="http://schemas.openxmlformats.org/package/2006/content-types">
  <Default Extension="xml" ContentType="application/xml"/>
  <Default Extension="tiff" ContentType="image/tiff"/>
  <Default Extension="emf" ContentType="image/x-e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4B064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F67A3FA">
            <w:pPr>
              <w:pStyle w:val="18"/>
              <w:framePr w:wrap="notBeside" w:vAnchor="page" w:hAnchor="page" w:x="1372" w:y="568"/>
              <w:tabs>
                <w:tab w:val="clear" w:pos="4153"/>
                <w:tab w:val="clear" w:pos="8306"/>
              </w:tabs>
              <w:spacing w:line="240" w:lineRule="auto"/>
              <w:jc w:val="left"/>
              <w:rPr>
                <w:rFonts w:ascii="黑体" w:hAnsi="黑体" w:eastAsia="黑体"/>
                <w:sz w:val="21"/>
                <w:szCs w:val="21"/>
              </w:rPr>
            </w:pPr>
            <w:bookmarkStart w:id="87" w:name="_GoBack"/>
            <w:bookmarkEnd w:id="87"/>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10FDAC2A">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 xml:space="preserve">11.020 </w:t>
            </w:r>
            <w:r>
              <w:rPr>
                <w:rFonts w:ascii="黑体" w:hAnsi="黑体" w:eastAsia="黑体"/>
                <w:sz w:val="21"/>
                <w:szCs w:val="21"/>
              </w:rPr>
              <w:fldChar w:fldCharType="end"/>
            </w:r>
            <w:bookmarkEnd w:id="0"/>
          </w:p>
        </w:tc>
      </w:tr>
      <w:tr w14:paraId="5AA40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794A55A">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3E7040FD">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C05</w:t>
            </w:r>
            <w:r>
              <w:rPr>
                <w:rFonts w:ascii="黑体" w:hAnsi="黑体" w:eastAsia="黑体"/>
                <w:sz w:val="21"/>
                <w:szCs w:val="21"/>
              </w:rPr>
              <w:fldChar w:fldCharType="end"/>
            </w:r>
            <w:bookmarkEnd w:id="1"/>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4114A65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1EFB3CA9">
            <w:pPr>
              <w:pStyle w:val="49"/>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46</w:t>
            </w:r>
            <w:r>
              <w:fldChar w:fldCharType="end"/>
            </w:r>
            <w:bookmarkEnd w:id="3"/>
          </w:p>
        </w:tc>
      </w:tr>
    </w:tbl>
    <w:p w14:paraId="385860D4">
      <w:pPr>
        <w:pStyle w:val="50"/>
        <w:framePr w:w="9639" w:h="624" w:hRule="exact" w:hSpace="181" w:vSpace="181" w:wrap="around"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海南省</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14:paraId="57816FBA">
      <w:pPr>
        <w:pStyle w:val="195"/>
        <w:framePr/>
        <w:rPr>
          <w:lang w:val="fr-FR"/>
        </w:rPr>
      </w:pPr>
      <w:r>
        <w:rPr>
          <w:rFonts w:ascii="Times New Roman"/>
          <w:lang w:val="fr-FR"/>
        </w:rPr>
        <w:t>DB</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t>46</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lang w:val="fr-FR"/>
        </w:rPr>
        <w:t>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t>2025</w:t>
      </w:r>
      <w:r>
        <w:fldChar w:fldCharType="end"/>
      </w:r>
      <w:bookmarkEnd w:id="7"/>
    </w:p>
    <w:p w14:paraId="7CF8F2A5">
      <w:pPr>
        <w:pStyle w:val="196"/>
        <w:framePr/>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65241186">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57E52335">
      <w:pPr>
        <w:pStyle w:val="50"/>
        <w:framePr w:w="9639" w:h="6976" w:hRule="exact" w:hSpace="0" w:vSpace="0" w:wrap="around" w:hAnchor="page" w:y="6408"/>
        <w:jc w:val="center"/>
        <w:rPr>
          <w:rFonts w:ascii="黑体" w:hAnsi="黑体" w:eastAsia="黑体"/>
          <w:b w:val="0"/>
          <w:bCs w:val="0"/>
          <w:w w:val="100"/>
        </w:rPr>
      </w:pPr>
    </w:p>
    <w:p w14:paraId="7AD4D353">
      <w:pPr>
        <w:pStyle w:val="197"/>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血液筛查反应性献血者归队管理规范</w:t>
      </w:r>
      <w:r>
        <w:fldChar w:fldCharType="end"/>
      </w:r>
      <w:bookmarkEnd w:id="9"/>
    </w:p>
    <w:p w14:paraId="765E9671">
      <w:pPr>
        <w:framePr w:w="9639" w:h="6974" w:hRule="exact" w:wrap="around" w:vAnchor="page" w:hAnchor="page" w:x="1419" w:y="6408" w:anchorLock="1"/>
        <w:ind w:left="-1418"/>
      </w:pPr>
    </w:p>
    <w:p w14:paraId="6D4D5FA2">
      <w:pPr>
        <w:pStyle w:val="125"/>
        <w:framePr w:w="9639" w:h="6974" w:hRule="exact" w:wrap="around" w:vAnchor="page" w:hAnchor="page" w:x="1419" w:y="6408" w:anchorLock="1"/>
        <w:textAlignment w:val="bottom"/>
        <w:rPr>
          <w:rFonts w:eastAsia="黑体"/>
          <w:szCs w:val="28"/>
        </w:rPr>
      </w:pPr>
      <w:r>
        <w:rPr>
          <w:rFonts w:eastAsia="黑体"/>
          <w:szCs w:val="28"/>
        </w:rPr>
        <w:t xml:space="preserve">Management specification for </w:t>
      </w:r>
      <w:r>
        <w:rPr>
          <w:rFonts w:hint="eastAsia" w:eastAsia="黑体"/>
          <w:szCs w:val="28"/>
        </w:rPr>
        <w:t>r</w:t>
      </w:r>
      <w:r>
        <w:rPr>
          <w:rFonts w:eastAsia="黑体"/>
          <w:szCs w:val="28"/>
        </w:rPr>
        <w:t>eentry of reactive blood donors in blood screening test</w:t>
      </w:r>
    </w:p>
    <w:p w14:paraId="705F5437">
      <w:pPr>
        <w:framePr w:w="9639" w:h="6974" w:hRule="exact" w:wrap="around" w:vAnchor="page" w:hAnchor="page" w:x="1419" w:y="6408" w:anchorLock="1"/>
        <w:spacing w:line="760" w:lineRule="exact"/>
        <w:ind w:left="-1418"/>
      </w:pPr>
    </w:p>
    <w:p w14:paraId="162D91FD">
      <w:pPr>
        <w:pStyle w:val="125"/>
        <w:framePr w:w="9639" w:h="6974" w:hRule="exact" w:wrap="around" w:vAnchor="page" w:hAnchor="page" w:x="1419" w:y="6408" w:anchorLock="1"/>
        <w:textAlignment w:val="bottom"/>
        <w:rPr>
          <w:rFonts w:eastAsia="黑体"/>
          <w:szCs w:val="28"/>
        </w:rPr>
      </w:pPr>
    </w:p>
    <w:p w14:paraId="5B2A877C">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fldChar w:fldCharType="separate"/>
      </w:r>
      <w:r>
        <w:rPr>
          <w:sz w:val="24"/>
          <w:szCs w:val="28"/>
        </w:rPr>
        <w:fldChar w:fldCharType="end"/>
      </w:r>
      <w:bookmarkEnd w:id="10"/>
    </w:p>
    <w:p w14:paraId="510DEB76">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1"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1"/>
    </w:p>
    <w:p w14:paraId="3775283B">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2" w:name="下拉2"/>
      <w:r>
        <w:rPr>
          <w:b/>
          <w:sz w:val="21"/>
          <w:szCs w:val="28"/>
        </w:rPr>
        <w:instrText xml:space="preserve"> FORMDROPDOWN </w:instrText>
      </w:r>
      <w:r>
        <w:rPr>
          <w:b/>
          <w:sz w:val="21"/>
          <w:szCs w:val="28"/>
        </w:rPr>
        <w:fldChar w:fldCharType="separate"/>
      </w:r>
      <w:r>
        <w:rPr>
          <w:b/>
          <w:sz w:val="21"/>
          <w:szCs w:val="28"/>
        </w:rPr>
        <w:fldChar w:fldCharType="end"/>
      </w:r>
      <w:bookmarkEnd w:id="12"/>
    </w:p>
    <w:p w14:paraId="64C1A83C">
      <w:pPr>
        <w:pStyle w:val="193"/>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3"/>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hint="eastAsia"/>
        </w:rPr>
        <w:t>发布</w:t>
      </w:r>
    </w:p>
    <w:p w14:paraId="590FE2F3">
      <w:pPr>
        <w:pStyle w:val="194"/>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6"/>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rPr>
          <w:rFonts w:hint="eastAsia"/>
        </w:rPr>
        <w:t>实施</w:t>
      </w:r>
    </w:p>
    <w:p w14:paraId="022214AE">
      <w:pPr>
        <w:pStyle w:val="15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9" w:name="fm"/>
      <w:r>
        <w:rPr>
          <w:rFonts w:hAnsi="黑体"/>
          <w:w w:val="100"/>
          <w:sz w:val="28"/>
        </w:rPr>
        <w:instrText xml:space="preserve"> FORMTEXT </w:instrText>
      </w:r>
      <w:r>
        <w:rPr>
          <w:rFonts w:hAnsi="黑体"/>
          <w:w w:val="100"/>
          <w:sz w:val="28"/>
        </w:rPr>
        <w:fldChar w:fldCharType="separate"/>
      </w:r>
      <w:r>
        <w:rPr>
          <w:rFonts w:hint="eastAsia" w:hAnsi="黑体"/>
          <w:w w:val="100"/>
          <w:sz w:val="28"/>
        </w:rPr>
        <w:t>海南省市场监督管理局</w:t>
      </w:r>
      <w:r>
        <w:rPr>
          <w:rFonts w:hAnsi="黑体"/>
          <w:w w:val="100"/>
          <w:sz w:val="28"/>
        </w:rPr>
        <w:fldChar w:fldCharType="end"/>
      </w:r>
      <w:bookmarkEnd w:id="19"/>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0B655295">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1D8193E1">
      <w:pPr>
        <w:pStyle w:val="89"/>
        <w:spacing w:before="560" w:after="468"/>
      </w:pPr>
      <w:bookmarkStart w:id="20" w:name="BookMark2"/>
      <w:r>
        <w:rPr>
          <w:spacing w:val="320"/>
        </w:rPr>
        <w:t>前</w:t>
      </w:r>
      <w:r>
        <w:t>言</w:t>
      </w:r>
    </w:p>
    <w:p w14:paraId="4DB38C77">
      <w:pPr>
        <w:pStyle w:val="56"/>
        <w:ind w:firstLine="420"/>
      </w:pPr>
      <w:r>
        <w:rPr>
          <w:rFonts w:hint="eastAsia"/>
        </w:rPr>
        <w:t>本文件按照</w:t>
      </w:r>
      <w:r>
        <w:rPr>
          <w:rFonts w:hint="eastAsia" w:ascii="宋体" w:hAnsi="宋体"/>
        </w:rPr>
        <w:t xml:space="preserve"> GB/T 1.1—2020</w:t>
      </w:r>
      <w:r>
        <w:rPr>
          <w:rFonts w:ascii="宋体" w:hAnsi="宋体"/>
        </w:rPr>
        <w:t xml:space="preserve"> </w:t>
      </w:r>
      <w:r>
        <w:rPr>
          <w:rFonts w:hint="eastAsia" w:ascii="宋体" w:hAnsi="宋体"/>
        </w:rPr>
        <w:t>《标准化工作</w:t>
      </w:r>
      <w:r>
        <w:rPr>
          <w:rFonts w:hint="eastAsia"/>
        </w:rPr>
        <w:t>导则  第1部分：标准化文件的结构和起草规则》的规定起草。</w:t>
      </w:r>
    </w:p>
    <w:p w14:paraId="67144A53">
      <w:pPr>
        <w:pStyle w:val="56"/>
        <w:ind w:firstLine="420"/>
      </w:pPr>
      <w:r>
        <w:rPr>
          <w:rFonts w:hint="eastAsia"/>
        </w:rPr>
        <w:t>请注意本文件的某些内容可能涉及专利。本文件的发布机构不承担识别专利的责任。</w:t>
      </w:r>
    </w:p>
    <w:p w14:paraId="3269C9FB">
      <w:pPr>
        <w:pStyle w:val="56"/>
        <w:ind w:firstLine="420"/>
      </w:pPr>
      <w:r>
        <w:rPr>
          <w:rFonts w:hint="eastAsia"/>
        </w:rPr>
        <w:t>本文件由海南省卫生健康委员会提出并归口。</w:t>
      </w:r>
    </w:p>
    <w:p w14:paraId="26A35523">
      <w:pPr>
        <w:pStyle w:val="56"/>
        <w:ind w:firstLine="420"/>
      </w:pPr>
      <w:r>
        <w:rPr>
          <w:rFonts w:hint="eastAsia"/>
        </w:rPr>
        <w:t>本文件起草单位：海南省血液中心、海南省第五人民医院、解放军总医院海南医院、中国人民解放军联勤保障部队第九二八医院、海南省标准化协会。</w:t>
      </w:r>
    </w:p>
    <w:p w14:paraId="7F458E83">
      <w:pPr>
        <w:pStyle w:val="56"/>
        <w:ind w:firstLine="420"/>
      </w:pPr>
      <w:r>
        <w:rPr>
          <w:rFonts w:hint="eastAsia"/>
        </w:rPr>
        <w:t>本文件主要起草人：韩慧、王林、吴晓强、冯增强、朱考考、张炯炯、黄乙清、陈红妙、陈蔚明、侯惠芬、郑日大、王海宝、周春苗、张用丽、黄文菁、杜磊、黄宏毓、黄家将、竺沁、芦圆、梅姬、谢巍。</w:t>
      </w:r>
    </w:p>
    <w:p w14:paraId="2BFAF2F5">
      <w:pPr>
        <w:pStyle w:val="56"/>
        <w:ind w:firstLine="420"/>
      </w:pPr>
    </w:p>
    <w:p w14:paraId="6C996A64">
      <w:pPr>
        <w:pStyle w:val="56"/>
        <w:ind w:firstLine="420"/>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type="lines" w:linePitch="312" w:charSpace="0"/>
        </w:sectPr>
      </w:pPr>
    </w:p>
    <w:bookmarkEnd w:id="20"/>
    <w:p w14:paraId="5418F2E1">
      <w:pPr>
        <w:pStyle w:val="89"/>
        <w:spacing w:after="468"/>
        <w:rPr>
          <w:color w:val="000000" w:themeColor="text1"/>
          <w14:textFill>
            <w14:solidFill>
              <w14:schemeClr w14:val="tx1"/>
            </w14:solidFill>
          </w14:textFill>
        </w:rPr>
      </w:pPr>
      <w:bookmarkStart w:id="21" w:name="BookMark3"/>
      <w:r>
        <w:rPr>
          <w:color w:val="000000" w:themeColor="text1"/>
          <w:spacing w:val="320"/>
          <w14:textFill>
            <w14:solidFill>
              <w14:schemeClr w14:val="tx1"/>
            </w14:solidFill>
          </w14:textFill>
        </w:rPr>
        <w:t>引</w:t>
      </w:r>
      <w:r>
        <w:rPr>
          <w:color w:val="000000" w:themeColor="text1"/>
          <w14:textFill>
            <w14:solidFill>
              <w14:schemeClr w14:val="tx1"/>
            </w14:solidFill>
          </w14:textFill>
        </w:rPr>
        <w:t>言</w:t>
      </w:r>
    </w:p>
    <w:p w14:paraId="025D1B2E">
      <w:pPr>
        <w:pStyle w:val="56"/>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近些年一方面由于用于血液筛查的ELISA法的检测灵敏度不断提高，导致单试剂反应性检测结果存在高比例的假阳性，造成血液的浪费和部分固定献血者的流失，打击献血者的献血积极性；另一方面海南独特的地域特征对献血活动的影响，血液供给长期处于“紧平衡”状态，急需更多符合条件的人群参加献血。对因假阳性结果而暂时屏蔽无法继续献血的人群，宜采用进一步的健康征询和科学有效的评估，准许其解除屏蔽可再次献血。</w:t>
      </w:r>
    </w:p>
    <w:p w14:paraId="40EB5873">
      <w:pPr>
        <w:pStyle w:val="56"/>
        <w:ind w:firstLine="420"/>
        <w:rPr>
          <w:rFonts w:ascii="宋体" w:hAnsi="宋体"/>
          <w:color w:val="000000" w:themeColor="text1"/>
          <w14:textFill>
            <w14:solidFill>
              <w14:schemeClr w14:val="tx1"/>
            </w14:solidFill>
          </w14:textFill>
        </w:rPr>
        <w:sectPr>
          <w:pgSz w:w="11906" w:h="16838"/>
          <w:pgMar w:top="1928" w:right="1134" w:bottom="1134" w:left="1134" w:header="1418" w:footer="1134" w:gutter="284"/>
          <w:pgNumType w:fmt="upperRoman"/>
          <w:cols w:space="425" w:num="1"/>
          <w:formProt w:val="0"/>
          <w:docGrid w:type="lines" w:linePitch="312" w:charSpace="0"/>
        </w:sectPr>
      </w:pPr>
      <w:r>
        <w:rPr>
          <w:rFonts w:hint="eastAsia" w:ascii="宋体" w:hAnsi="宋体"/>
          <w:color w:val="000000" w:themeColor="text1"/>
          <w14:textFill>
            <w14:solidFill>
              <w14:schemeClr w14:val="tx1"/>
            </w14:solidFill>
          </w14:textFill>
        </w:rPr>
        <w:t>本文件简化了归队流程，由“多轮次”变为“单轮多指标+3个月后直接献血”，缩短了献血者归队的等待周期，通过病原体多指标多方法严格评估更能保证血液安全，新增了核酸反应性献血者归队渠道，明确将“核酸联检反应性但鉴别无反应性”的献血者纳入归队范围，填补了核酸检测技术带来的“假阳性”归队空白；还纳入人类嗜T淋巴细胞病毒（HTLV）、地方性蚊媒病毒（DENV、CHIKV、ZIKV）归队管理，突出了海南地方特色，体现了海南作为热带岛屿省份对蚊媒传染病的防控需求。</w:t>
      </w:r>
    </w:p>
    <w:bookmarkEnd w:id="21"/>
    <w:p w14:paraId="693C7749">
      <w:pPr>
        <w:spacing w:line="20" w:lineRule="exact"/>
        <w:jc w:val="center"/>
        <w:rPr>
          <w:rFonts w:ascii="黑体" w:hAnsi="黑体" w:eastAsia="黑体"/>
          <w:sz w:val="32"/>
          <w:szCs w:val="32"/>
        </w:rPr>
      </w:pPr>
      <w:bookmarkStart w:id="22" w:name="BookMark4"/>
    </w:p>
    <w:p w14:paraId="63FC7841">
      <w:pPr>
        <w:spacing w:line="20" w:lineRule="exact"/>
        <w:jc w:val="center"/>
        <w:rPr>
          <w:rFonts w:ascii="黑体" w:hAnsi="黑体" w:eastAsia="黑体"/>
          <w:sz w:val="32"/>
          <w:szCs w:val="32"/>
        </w:rPr>
      </w:pPr>
    </w:p>
    <w:sdt>
      <w:sdtPr>
        <w:tag w:val="NEW_STAND_NAME"/>
        <w:id w:val="595910757"/>
        <w:lock w:val="sdtLocked"/>
        <w:placeholder>
          <w:docPart w:val="6F011DFECF0347C18E556C626944DD4E"/>
        </w:placeholder>
      </w:sdtPr>
      <w:sdtContent>
        <w:p w14:paraId="62C033A4">
          <w:pPr>
            <w:pStyle w:val="177"/>
            <w:spacing w:before="3" w:beforeLines="1" w:after="686" w:afterLines="220"/>
          </w:pPr>
          <w:bookmarkStart w:id="23" w:name="NEW_STAND_NAME"/>
          <w:r>
            <w:rPr>
              <w:rFonts w:hint="eastAsia"/>
            </w:rPr>
            <w:t>血液筛查反应性献血者归队管理规范</w:t>
          </w:r>
        </w:p>
      </w:sdtContent>
    </w:sdt>
    <w:bookmarkEnd w:id="23"/>
    <w:p w14:paraId="15F28BAB">
      <w:pPr>
        <w:pStyle w:val="104"/>
        <w:spacing w:before="312" w:after="312"/>
      </w:pPr>
      <w:bookmarkStart w:id="24" w:name="_Toc26648465"/>
      <w:bookmarkStart w:id="25" w:name="_Toc26986530"/>
      <w:bookmarkStart w:id="26" w:name="_Toc26718930"/>
      <w:bookmarkStart w:id="27" w:name="_Toc26986771"/>
      <w:bookmarkStart w:id="28" w:name="_Toc24884211"/>
      <w:bookmarkStart w:id="29" w:name="_Toc17233333"/>
      <w:bookmarkStart w:id="30" w:name="_Toc17233325"/>
      <w:bookmarkStart w:id="31" w:name="_Toc24884218"/>
      <w:bookmarkStart w:id="32" w:name="_Toc97191423"/>
      <w:r>
        <w:rPr>
          <w:rFonts w:hint="eastAsia"/>
        </w:rPr>
        <w:t>范围</w:t>
      </w:r>
      <w:bookmarkEnd w:id="24"/>
      <w:bookmarkEnd w:id="25"/>
      <w:bookmarkEnd w:id="26"/>
      <w:bookmarkEnd w:id="27"/>
      <w:bookmarkEnd w:id="28"/>
      <w:bookmarkEnd w:id="29"/>
      <w:bookmarkEnd w:id="30"/>
      <w:bookmarkEnd w:id="31"/>
      <w:bookmarkEnd w:id="32"/>
    </w:p>
    <w:p w14:paraId="67FA81BA">
      <w:pPr>
        <w:pStyle w:val="56"/>
        <w:ind w:firstLine="420"/>
        <w:rPr>
          <w:color w:val="000000" w:themeColor="text1"/>
          <w14:textFill>
            <w14:solidFill>
              <w14:schemeClr w14:val="tx1"/>
            </w14:solidFill>
          </w14:textFill>
        </w:rPr>
      </w:pPr>
      <w:bookmarkStart w:id="33" w:name="_Toc24884219"/>
      <w:bookmarkStart w:id="34" w:name="_Toc17233334"/>
      <w:bookmarkStart w:id="35" w:name="_Toc24884212"/>
      <w:bookmarkStart w:id="36" w:name="_Toc26648466"/>
      <w:bookmarkStart w:id="37" w:name="_Toc17233326"/>
      <w:r>
        <w:rPr>
          <w:rFonts w:hint="eastAsia"/>
        </w:rPr>
        <w:t>本文件规定了血液筛查</w:t>
      </w:r>
      <w:r>
        <w:rPr>
          <w:rFonts w:hint="eastAsia"/>
          <w:color w:val="000000" w:themeColor="text1"/>
          <w14:textFill>
            <w14:solidFill>
              <w14:schemeClr w14:val="tx1"/>
            </w14:solidFill>
          </w14:textFill>
        </w:rPr>
        <w:t>反应性献血者归队的缩略语、总体原则、献血者归队条件、献血者归队流程、归队检测方法和结果判定、归队告知与档案管理等技术要求。</w:t>
      </w:r>
    </w:p>
    <w:p w14:paraId="50C6F4B8">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本文件适用于一般血站全血和单采成分血献血者的归队管理。</w:t>
      </w:r>
    </w:p>
    <w:p w14:paraId="10F981F6">
      <w:pPr>
        <w:pStyle w:val="104"/>
        <w:spacing w:before="312" w:after="312"/>
        <w:rPr>
          <w:color w:val="000000" w:themeColor="text1"/>
          <w14:textFill>
            <w14:solidFill>
              <w14:schemeClr w14:val="tx1"/>
            </w14:solidFill>
          </w14:textFill>
        </w:rPr>
      </w:pPr>
      <w:bookmarkStart w:id="38" w:name="_Toc97191424"/>
      <w:bookmarkStart w:id="39" w:name="_Toc26986772"/>
      <w:bookmarkStart w:id="40" w:name="_Toc26986531"/>
      <w:bookmarkStart w:id="41" w:name="_Toc26718931"/>
      <w:r>
        <w:rPr>
          <w:rFonts w:hint="eastAsia"/>
          <w:color w:val="000000" w:themeColor="text1"/>
          <w14:textFill>
            <w14:solidFill>
              <w14:schemeClr w14:val="tx1"/>
            </w14:solidFill>
          </w14:textFill>
        </w:rPr>
        <w:t>规范性引用文件</w:t>
      </w:r>
      <w:bookmarkEnd w:id="33"/>
      <w:bookmarkEnd w:id="34"/>
      <w:bookmarkEnd w:id="35"/>
      <w:bookmarkEnd w:id="36"/>
      <w:bookmarkEnd w:id="37"/>
      <w:bookmarkEnd w:id="38"/>
      <w:bookmarkEnd w:id="39"/>
      <w:bookmarkEnd w:id="40"/>
      <w:bookmarkEnd w:id="41"/>
    </w:p>
    <w:sdt>
      <w:sdtPr>
        <w:rPr>
          <w:rFonts w:hint="eastAsia"/>
          <w:color w:val="000000" w:themeColor="text1"/>
          <w14:textFill>
            <w14:solidFill>
              <w14:schemeClr w14:val="tx1"/>
            </w14:solidFill>
          </w14:textFill>
        </w:rPr>
        <w:id w:val="715848253"/>
        <w:placeholder>
          <w:docPart w:val="E0CCCA85ACEF4E57B1A8B1154615F5E3"/>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color w:val="000000" w:themeColor="text1"/>
          <w14:textFill>
            <w14:solidFill>
              <w14:schemeClr w14:val="tx1"/>
            </w14:solidFill>
          </w14:textFill>
        </w:rPr>
      </w:sdtEndPr>
      <w:sdtContent>
        <w:p w14:paraId="63B57A8F">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75CDAF1">
      <w:pPr>
        <w:pStyle w:val="56"/>
        <w:ind w:firstLine="42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GB 18466  医疗机构水污染物排放标准</w:t>
      </w:r>
    </w:p>
    <w:p w14:paraId="7CB6687B">
      <w:pPr>
        <w:pStyle w:val="104"/>
        <w:spacing w:before="312" w:after="312"/>
        <w:rPr>
          <w:color w:val="000000" w:themeColor="text1"/>
          <w14:textFill>
            <w14:solidFill>
              <w14:schemeClr w14:val="tx1"/>
            </w14:solidFill>
          </w14:textFill>
        </w:rPr>
      </w:pPr>
      <w:bookmarkStart w:id="42" w:name="_Toc97191425"/>
      <w:r>
        <w:rPr>
          <w:rFonts w:hint="eastAsia"/>
          <w:color w:val="000000" w:themeColor="text1"/>
          <w:szCs w:val="21"/>
          <w14:textFill>
            <w14:solidFill>
              <w14:schemeClr w14:val="tx1"/>
            </w14:solidFill>
          </w14:textFill>
        </w:rPr>
        <w:t>术语和定义</w:t>
      </w:r>
      <w:bookmarkEnd w:id="42"/>
    </w:p>
    <w:sdt>
      <w:sdtPr>
        <w:rPr>
          <w:color w:val="000000" w:themeColor="text1"/>
          <w14:textFill>
            <w14:solidFill>
              <w14:schemeClr w14:val="tx1"/>
            </w14:solidFill>
          </w14:textFill>
        </w:rPr>
        <w:id w:val="-1909835108"/>
        <w:placeholder>
          <w:docPart w:val="077A446E637546308D560CE6933EA321"/>
        </w:placeholder>
        <w:comboBox>
          <w:listItem w:displayText="点击并选择适当的引导语" w:value="点击并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color w:val="000000" w:themeColor="text1"/>
          <w14:textFill>
            <w14:solidFill>
              <w14:schemeClr w14:val="tx1"/>
            </w14:solidFill>
          </w14:textFill>
        </w:rPr>
      </w:sdtEndPr>
      <w:sdtContent>
        <w:p w14:paraId="56B256D4">
          <w:pPr>
            <w:pStyle w:val="56"/>
            <w:ind w:firstLine="420"/>
            <w:rPr>
              <w:color w:val="000000" w:themeColor="text1"/>
              <w14:textFill>
                <w14:solidFill>
                  <w14:schemeClr w14:val="tx1"/>
                </w14:solidFill>
              </w14:textFill>
            </w:rPr>
          </w:pPr>
          <w:bookmarkStart w:id="43" w:name="_Toc26986532"/>
          <w:bookmarkEnd w:id="43"/>
          <w:r>
            <w:rPr>
              <w:color w:val="000000" w:themeColor="text1"/>
              <w14:textFill>
                <w14:solidFill>
                  <w14:schemeClr w14:val="tx1"/>
                </w14:solidFill>
              </w14:textFill>
            </w:rPr>
            <w:t>下列术语和定义适用于本文件。</w:t>
          </w:r>
        </w:p>
      </w:sdtContent>
    </w:sdt>
    <w:p w14:paraId="7F9D4437">
      <w:pPr>
        <w:pStyle w:val="223"/>
        <w:ind w:left="420" w:hanging="420" w:hangingChars="200"/>
        <w:rPr>
          <w:rFonts w:ascii="黑体" w:hAnsi="黑体" w:eastAsia="黑体" w:cs="黑体"/>
        </w:rPr>
      </w:pPr>
      <w:r>
        <w:rPr>
          <w:rFonts w:hint="eastAsia" w:ascii="黑体" w:hAnsi="黑体" w:eastAsia="黑体" w:cs="黑体"/>
        </w:rPr>
        <w:br w:type="textWrapping"/>
      </w:r>
      <w:r>
        <w:rPr>
          <w:rFonts w:hint="eastAsia" w:ascii="黑体" w:hAnsi="黑体" w:eastAsia="黑体" w:cs="黑体"/>
        </w:rPr>
        <w:t>献血者归队 donor reentry</w:t>
      </w:r>
    </w:p>
    <w:p w14:paraId="7ACCE9AC">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对于既往血液筛查反应性，或经地方性、时限性经血传染病原体监测结果为反应性的献血者，在通过补充实验确认合格，或经过一段时间的暂时屏蔽后，采用适当的检测方法证实其符合国家法规及标准的要求，从而解除屏蔽、恢复其献血资格的过程。</w:t>
      </w:r>
    </w:p>
    <w:p w14:paraId="36A1AC4D">
      <w:pPr>
        <w:pStyle w:val="223"/>
        <w:ind w:left="420" w:hanging="420" w:hangingChars="200"/>
        <w:rPr>
          <w:rFonts w:ascii="黑体" w:hAnsi="黑体" w:eastAsia="黑体"/>
        </w:rPr>
      </w:pPr>
      <w:r>
        <w:rPr>
          <w:rFonts w:hint="eastAsia" w:ascii="黑体" w:hAnsi="黑体" w:eastAsia="黑体" w:cs="黑体"/>
        </w:rPr>
        <w:br w:type="textWrapping"/>
      </w:r>
      <w:bookmarkStart w:id="44" w:name="_Hlk223528513"/>
      <w:r>
        <w:rPr>
          <w:rFonts w:hint="eastAsia" w:ascii="黑体" w:hAnsi="黑体" w:eastAsia="黑体"/>
        </w:rPr>
        <w:t>献血屏蔽期 donor deferral period</w:t>
      </w:r>
    </w:p>
    <w:p w14:paraId="34F00953">
      <w:pPr>
        <w:pStyle w:val="56"/>
        <w:ind w:firstLine="420"/>
      </w:pPr>
      <w:r>
        <w:rPr>
          <w:rFonts w:hint="eastAsia"/>
        </w:rPr>
        <w:t>献血者因血液筛查检测不合格，或存在经血传播疾病相关风险，依据国家法规及标准，被暂时或永久禁止献血的期间。</w:t>
      </w:r>
    </w:p>
    <w:p w14:paraId="68073C31">
      <w:pPr>
        <w:pStyle w:val="223"/>
        <w:ind w:left="420" w:hanging="420" w:hangingChars="200"/>
        <w:rPr>
          <w:rFonts w:ascii="黑体" w:hAnsi="黑体" w:eastAsia="黑体"/>
        </w:rPr>
      </w:pPr>
      <w:r>
        <w:rPr>
          <w:rFonts w:hint="eastAsia" w:ascii="黑体" w:hAnsi="黑体" w:eastAsia="黑体" w:cs="黑体"/>
        </w:rPr>
        <w:br w:type="textWrapping"/>
      </w:r>
      <w:r>
        <w:rPr>
          <w:rFonts w:hint="eastAsia" w:ascii="黑体" w:hAnsi="黑体" w:eastAsia="黑体"/>
        </w:rPr>
        <w:t>血液筛查反应性  reactive in blood screening test</w:t>
      </w:r>
    </w:p>
    <w:p w14:paraId="26453642">
      <w:pPr>
        <w:pStyle w:val="56"/>
        <w:ind w:firstLine="420"/>
      </w:pPr>
      <w:r>
        <w:rPr>
          <w:rFonts w:hint="eastAsia"/>
        </w:rPr>
        <w:t>在</w:t>
      </w:r>
      <w:r>
        <w:rPr>
          <w:rFonts w:hint="eastAsia" w:ascii="宋体" w:hAnsi="宋体"/>
        </w:rPr>
        <w:t>献血者血液筛查检测中，使用高灵敏度的血清学或核酸检测技术对经血传播病原体标志物（如HBV、HCV、HIV、梅毒螺旋体等</w:t>
      </w:r>
      <w:r>
        <w:rPr>
          <w:rFonts w:hint="eastAsia"/>
        </w:rPr>
        <w:t>）进行检测时，结果超出预设的判定阈值，判定为“有反应性”。</w:t>
      </w:r>
    </w:p>
    <w:p w14:paraId="5ABFE39E">
      <w:pPr>
        <w:pStyle w:val="223"/>
        <w:ind w:left="420" w:hanging="420" w:hangingChars="200"/>
      </w:pPr>
      <w:r>
        <w:rPr>
          <w:rFonts w:hint="eastAsia" w:ascii="黑体" w:hAnsi="黑体" w:eastAsia="黑体" w:cs="黑体"/>
        </w:rPr>
        <w:br w:type="textWrapping"/>
      </w:r>
      <w:r>
        <w:rPr>
          <w:rFonts w:hint="eastAsia" w:ascii="黑体" w:hAnsi="黑体" w:eastAsia="黑体"/>
        </w:rPr>
        <w:t>确证试验 confirmatory test</w:t>
      </w:r>
    </w:p>
    <w:p w14:paraId="307374F1">
      <w:pPr>
        <w:pStyle w:val="223"/>
        <w:numPr>
          <w:ilvl w:val="0"/>
          <w:numId w:val="0"/>
        </w:numPr>
        <w:ind w:firstLine="420" w:firstLineChars="200"/>
        <w:rPr>
          <w:rFonts w:ascii="Times New Roman"/>
        </w:rPr>
      </w:pPr>
      <w:r>
        <w:rPr>
          <w:rFonts w:hint="eastAsia" w:ascii="Times New Roman"/>
        </w:rPr>
        <w:t>在献血者血液筛查检测呈反应性后，采用另一种原理不同、特异性更高的检测方法，对同一份血液样本进行验证性检测，判断献血者是否存在真实的经血传播病原体感染，或筛查结果是否为假阳性的过程。</w:t>
      </w:r>
    </w:p>
    <w:bookmarkEnd w:id="44"/>
    <w:p w14:paraId="3AFA7D07">
      <w:pPr>
        <w:pStyle w:val="104"/>
        <w:spacing w:before="312" w:after="312"/>
      </w:pPr>
      <w:r>
        <w:rPr>
          <w:rFonts w:hint="eastAsia"/>
        </w:rPr>
        <w:t>缩略语</w:t>
      </w:r>
    </w:p>
    <w:p w14:paraId="53F34629">
      <w:pPr>
        <w:pStyle w:val="56"/>
        <w:ind w:firstLine="420"/>
      </w:pPr>
      <w:r>
        <w:t>下列缩略语适用于本文件。</w:t>
      </w:r>
    </w:p>
    <w:p w14:paraId="420C44EE">
      <w:pPr>
        <w:pStyle w:val="105"/>
        <w:spacing w:before="156" w:after="156"/>
      </w:pPr>
      <w:r>
        <w:rPr>
          <w:rFonts w:hint="eastAsia"/>
        </w:rPr>
        <w:t>检测方法</w:t>
      </w:r>
    </w:p>
    <w:p w14:paraId="3EA5FD67">
      <w:pPr>
        <w:pStyle w:val="165"/>
      </w:pPr>
      <w:r>
        <w:rPr>
          <w:rFonts w:hint="eastAsia"/>
        </w:rPr>
        <w:t>ELISA：酶联免疫吸附试验 enzyme-linked immunosorbent assay。</w:t>
      </w:r>
    </w:p>
    <w:p w14:paraId="12207699">
      <w:pPr>
        <w:pStyle w:val="165"/>
      </w:pPr>
      <w:r>
        <w:rPr>
          <w:rFonts w:hint="eastAsia"/>
        </w:rPr>
        <w:t>CLIA：化学发光免疫分析法 chemiluminescence immunoassay。</w:t>
      </w:r>
    </w:p>
    <w:p w14:paraId="1B710E61">
      <w:pPr>
        <w:pStyle w:val="165"/>
      </w:pPr>
      <w:r>
        <w:rPr>
          <w:rFonts w:hint="eastAsia"/>
        </w:rPr>
        <w:t>NAT：核酸检测 nucleic acid testing，NAT分为转录介导的核酸扩增技术（transcription-mediated amplication, TMA）和聚合酶链反应（polymerase chain reaction, PCR）。</w:t>
      </w:r>
    </w:p>
    <w:p w14:paraId="4B91191B">
      <w:pPr>
        <w:pStyle w:val="165"/>
      </w:pPr>
      <w:r>
        <w:rPr>
          <w:rFonts w:hint="eastAsia"/>
        </w:rPr>
        <w:t>ID-NAT：单人份核酸检测 individual donor sample NAT。</w:t>
      </w:r>
    </w:p>
    <w:p w14:paraId="53D31540">
      <w:pPr>
        <w:pStyle w:val="165"/>
      </w:pPr>
      <w:r>
        <w:rPr>
          <w:rFonts w:hint="eastAsia"/>
        </w:rPr>
        <w:t>NAT单检：分项核酸检测 single virus NAT。</w:t>
      </w:r>
      <w:r>
        <w:t xml:space="preserve"> </w:t>
      </w:r>
    </w:p>
    <w:p w14:paraId="58050A78">
      <w:pPr>
        <w:pStyle w:val="165"/>
      </w:pPr>
      <w:r>
        <w:rPr>
          <w:rFonts w:hint="eastAsia"/>
        </w:rPr>
        <w:t>NAT联检：联合核酸检测 multiplex NAT。</w:t>
      </w:r>
    </w:p>
    <w:p w14:paraId="5F9521D1">
      <w:pPr>
        <w:pStyle w:val="165"/>
      </w:pPr>
      <w:r>
        <w:rPr>
          <w:rFonts w:hint="eastAsia"/>
        </w:rPr>
        <w:t>NAT鉴别：核酸检测鉴别试验 discriminatory NAT。</w:t>
      </w:r>
      <w:r>
        <w:t xml:space="preserve"> </w:t>
      </w:r>
    </w:p>
    <w:p w14:paraId="03CD6F8F">
      <w:pPr>
        <w:pStyle w:val="165"/>
      </w:pPr>
      <w:r>
        <w:rPr>
          <w:rFonts w:hint="eastAsia"/>
        </w:rPr>
        <w:t>免疫印迹试验 western blot，缩写：WB</w:t>
      </w:r>
    </w:p>
    <w:p w14:paraId="5D8A34EE">
      <w:pPr>
        <w:pStyle w:val="165"/>
      </w:pPr>
      <w:r>
        <w:rPr>
          <w:rFonts w:hint="eastAsia"/>
        </w:rPr>
        <w:t>梅毒螺旋体颗粒凝集试验 treponema pallidum particle agglutination assay，缩写：TPPA</w:t>
      </w:r>
    </w:p>
    <w:p w14:paraId="27216290">
      <w:pPr>
        <w:pStyle w:val="105"/>
        <w:spacing w:before="156" w:after="156"/>
      </w:pPr>
      <w:r>
        <w:rPr>
          <w:rFonts w:hint="eastAsia" w:hAnsi="黑体"/>
        </w:rPr>
        <w:t>检测病毒及标志物</w:t>
      </w:r>
    </w:p>
    <w:p w14:paraId="2D33548C">
      <w:pPr>
        <w:pStyle w:val="65"/>
        <w:spacing w:before="156" w:after="156"/>
      </w:pPr>
      <w:r>
        <w:rPr>
          <w:rFonts w:hint="eastAsia"/>
        </w:rPr>
        <w:t>HBV：乙型肝炎病毒 hepatitis B virus</w:t>
      </w:r>
    </w:p>
    <w:p w14:paraId="314B3D77">
      <w:pPr>
        <w:pStyle w:val="56"/>
        <w:ind w:firstLine="420"/>
        <w:rPr>
          <w:rFonts w:ascii="宋体" w:hAnsi="宋体"/>
        </w:rPr>
      </w:pPr>
      <w:r>
        <w:rPr>
          <w:rFonts w:hint="eastAsia" w:ascii="宋体" w:hAnsi="宋体"/>
        </w:rPr>
        <w:t>HBV</w:t>
      </w:r>
      <w:bookmarkStart w:id="45" w:name="_Hlk215740350"/>
      <w:r>
        <w:rPr>
          <w:rFonts w:hint="eastAsia" w:ascii="宋体" w:hAnsi="宋体"/>
        </w:rPr>
        <w:t>检测标志物包含以下：</w:t>
      </w:r>
      <w:bookmarkEnd w:id="45"/>
      <w:r>
        <w:rPr>
          <w:rFonts w:hint="eastAsia" w:ascii="宋体" w:hAnsi="宋体"/>
        </w:rPr>
        <w:t>乙型肝炎病毒表面抗原（hepatitis B virus surface antigen，缩写：HBsAg）、乙型肝炎病毒表面抗体（hepatitis B virus surface Antibody，缩写：抗-HBs）、乙型肝炎病毒核心抗体 (antibody to hepatitis B core，缩写：抗-HBc)和乙型肝炎病毒核酸（h</w:t>
      </w:r>
      <w:r>
        <w:rPr>
          <w:rFonts w:ascii="宋体" w:hAnsi="宋体"/>
        </w:rPr>
        <w:t xml:space="preserve">epatitis B </w:t>
      </w:r>
      <w:r>
        <w:rPr>
          <w:rFonts w:hint="eastAsia" w:ascii="宋体" w:hAnsi="宋体"/>
        </w:rPr>
        <w:t>v</w:t>
      </w:r>
      <w:r>
        <w:rPr>
          <w:rFonts w:ascii="宋体" w:hAnsi="宋体"/>
        </w:rPr>
        <w:t>irus</w:t>
      </w:r>
      <w:r>
        <w:rPr>
          <w:rFonts w:hint="eastAsia" w:ascii="宋体" w:hAnsi="宋体"/>
        </w:rPr>
        <w:t xml:space="preserve"> DNA，缩写：HBV DNA）。</w:t>
      </w:r>
    </w:p>
    <w:p w14:paraId="73FADBE8">
      <w:pPr>
        <w:pStyle w:val="65"/>
        <w:spacing w:before="156" w:after="156"/>
      </w:pPr>
      <w:r>
        <w:rPr>
          <w:rFonts w:hint="eastAsia"/>
        </w:rPr>
        <w:t>HCV：丙型肝炎病毒 hepatitis C virus</w:t>
      </w:r>
    </w:p>
    <w:p w14:paraId="2A78317C">
      <w:pPr>
        <w:pStyle w:val="56"/>
        <w:ind w:firstLine="420"/>
        <w:rPr>
          <w:rFonts w:ascii="宋体" w:hAnsi="宋体"/>
        </w:rPr>
      </w:pPr>
      <w:r>
        <w:rPr>
          <w:rFonts w:hint="eastAsia" w:ascii="宋体" w:hAnsi="宋体"/>
        </w:rPr>
        <w:t>HCV检测标志物包含以下：丙型肝炎病毒抗体（antibody to hepatitis C virus，缩写：抗-HCV）、丙型肝炎病毒核酸(h</w:t>
      </w:r>
      <w:r>
        <w:rPr>
          <w:rFonts w:ascii="宋体" w:hAnsi="宋体"/>
        </w:rPr>
        <w:t xml:space="preserve">epatitis C </w:t>
      </w:r>
      <w:r>
        <w:rPr>
          <w:rFonts w:hint="eastAsia" w:ascii="宋体" w:hAnsi="宋体"/>
        </w:rPr>
        <w:t>v</w:t>
      </w:r>
      <w:r>
        <w:rPr>
          <w:rFonts w:ascii="宋体" w:hAnsi="宋体"/>
        </w:rPr>
        <w:t>irus</w:t>
      </w:r>
      <w:r>
        <w:rPr>
          <w:rFonts w:hint="eastAsia" w:ascii="宋体" w:hAnsi="宋体"/>
        </w:rPr>
        <w:t xml:space="preserve"> RNA，缩写：HCV RNA)。</w:t>
      </w:r>
    </w:p>
    <w:p w14:paraId="0422AA4A">
      <w:pPr>
        <w:pStyle w:val="65"/>
        <w:spacing w:before="156" w:after="156"/>
      </w:pPr>
      <w:r>
        <w:rPr>
          <w:rFonts w:hint="eastAsia"/>
        </w:rPr>
        <w:t>HIV：人类免疫缺陷病毒human immunodeficiency virus</w:t>
      </w:r>
    </w:p>
    <w:p w14:paraId="420FFEEE">
      <w:pPr>
        <w:pStyle w:val="56"/>
        <w:ind w:firstLine="420"/>
        <w:rPr>
          <w:rFonts w:ascii="宋体" w:hAnsi="宋体"/>
        </w:rPr>
      </w:pPr>
      <w:r>
        <w:rPr>
          <w:rFonts w:hint="eastAsia" w:ascii="宋体" w:hAnsi="宋体"/>
        </w:rPr>
        <w:t>HIV检测标志物包含以下：人类免疫缺陷病毒抗体（antibodies to hman immunodeficiency virus，缩写：抗-HIV）、人类免疫缺陷病毒核酸(h</w:t>
      </w:r>
      <w:r>
        <w:rPr>
          <w:rFonts w:ascii="宋体" w:hAnsi="宋体"/>
        </w:rPr>
        <w:t xml:space="preserve">uman </w:t>
      </w:r>
      <w:r>
        <w:rPr>
          <w:rFonts w:hint="eastAsia" w:ascii="宋体" w:hAnsi="宋体"/>
        </w:rPr>
        <w:t>i</w:t>
      </w:r>
      <w:r>
        <w:rPr>
          <w:rFonts w:ascii="宋体" w:hAnsi="宋体"/>
        </w:rPr>
        <w:t xml:space="preserve">mmunodeficiency </w:t>
      </w:r>
      <w:r>
        <w:rPr>
          <w:rFonts w:hint="eastAsia" w:ascii="宋体" w:hAnsi="宋体"/>
        </w:rPr>
        <w:t>v</w:t>
      </w:r>
      <w:r>
        <w:rPr>
          <w:rFonts w:ascii="宋体" w:hAnsi="宋体"/>
        </w:rPr>
        <w:t>irus</w:t>
      </w:r>
      <w:r>
        <w:rPr>
          <w:rFonts w:hint="eastAsia" w:ascii="宋体" w:hAnsi="宋体"/>
        </w:rPr>
        <w:t xml:space="preserve"> RNA，缩写：HIV RNA)。</w:t>
      </w:r>
    </w:p>
    <w:p w14:paraId="316EE650">
      <w:pPr>
        <w:pStyle w:val="65"/>
        <w:spacing w:before="156" w:after="156"/>
      </w:pPr>
      <w:r>
        <w:rPr>
          <w:rFonts w:hint="eastAsia"/>
        </w:rPr>
        <w:t>TP：梅毒螺旋体treponema pallidum</w:t>
      </w:r>
    </w:p>
    <w:p w14:paraId="6C75D367">
      <w:pPr>
        <w:pStyle w:val="56"/>
        <w:ind w:firstLine="420"/>
        <w:rPr>
          <w:rFonts w:ascii="宋体" w:hAnsi="宋体"/>
        </w:rPr>
      </w:pPr>
      <w:r>
        <w:rPr>
          <w:rFonts w:ascii="宋体" w:hAnsi="宋体"/>
        </w:rPr>
        <w:t>TP</w:t>
      </w:r>
      <w:bookmarkStart w:id="46" w:name="_Hlk215752860"/>
      <w:r>
        <w:rPr>
          <w:rFonts w:hint="eastAsia" w:ascii="宋体" w:hAnsi="宋体"/>
        </w:rPr>
        <w:t>检测标志物为</w:t>
      </w:r>
      <w:bookmarkEnd w:id="46"/>
      <w:r>
        <w:rPr>
          <w:rFonts w:hint="eastAsia" w:ascii="宋体" w:hAnsi="宋体"/>
        </w:rPr>
        <w:t>梅毒螺旋体抗体（antibody to treponema pallidum，缩写：抗-TP）。</w:t>
      </w:r>
    </w:p>
    <w:p w14:paraId="1ED01EB8">
      <w:pPr>
        <w:pStyle w:val="65"/>
        <w:spacing w:before="156" w:after="156"/>
      </w:pPr>
      <w:r>
        <w:rPr>
          <w:rFonts w:hint="eastAsia"/>
        </w:rPr>
        <w:t>HTLV：4人类嗜T淋巴细胞病毒human t-lymphotropic virus</w:t>
      </w:r>
    </w:p>
    <w:p w14:paraId="104EDED3">
      <w:pPr>
        <w:pStyle w:val="56"/>
        <w:ind w:firstLine="420"/>
        <w:rPr>
          <w:rFonts w:ascii="宋体" w:hAnsi="宋体"/>
        </w:rPr>
      </w:pPr>
      <w:r>
        <w:rPr>
          <w:rFonts w:ascii="宋体" w:hAnsi="宋体"/>
        </w:rPr>
        <w:t>HTLV</w:t>
      </w:r>
      <w:r>
        <w:rPr>
          <w:rFonts w:hint="eastAsia" w:ascii="宋体" w:hAnsi="宋体"/>
        </w:rPr>
        <w:t>检测标志物为人类嗜T淋巴细胞病毒抗体（antibody to human t-lymphotropic virus，缩写：抗-HTLV）。</w:t>
      </w:r>
    </w:p>
    <w:p w14:paraId="49BE4AA2">
      <w:pPr>
        <w:pStyle w:val="65"/>
        <w:spacing w:before="156" w:after="156"/>
      </w:pPr>
      <w:r>
        <w:rPr>
          <w:rFonts w:hint="eastAsia"/>
        </w:rPr>
        <w:t>蚊媒病毒mosquito-borne viruses</w:t>
      </w:r>
    </w:p>
    <w:p w14:paraId="3687D137">
      <w:pPr>
        <w:pStyle w:val="56"/>
        <w:ind w:firstLine="420"/>
        <w:rPr>
          <w:rFonts w:ascii="宋体" w:hAnsi="宋体"/>
        </w:rPr>
      </w:pPr>
      <w:r>
        <w:rPr>
          <w:rFonts w:hint="eastAsia" w:ascii="宋体" w:hAnsi="宋体"/>
        </w:rPr>
        <w:t>蚊媒病毒包含以下：登革病毒（dengue virus，缩写：DENV）、基孔肯雅病毒（chikungunya virus，缩写：CHIKV）和寨卡病毒（zika virus，缩写：ZIKV）。</w:t>
      </w:r>
    </w:p>
    <w:p w14:paraId="51E51A5E">
      <w:pPr>
        <w:pStyle w:val="104"/>
        <w:spacing w:before="312" w:after="312"/>
      </w:pPr>
      <w:r>
        <w:rPr>
          <w:rFonts w:hint="eastAsia"/>
        </w:rPr>
        <w:t>总体原则</w:t>
      </w:r>
    </w:p>
    <w:p w14:paraId="3662B4BD">
      <w:pPr>
        <w:pStyle w:val="105"/>
        <w:spacing w:before="156" w:after="156"/>
      </w:pPr>
      <w:r>
        <w:rPr>
          <w:rFonts w:hint="eastAsia"/>
        </w:rPr>
        <w:t>科学性原则</w:t>
      </w:r>
    </w:p>
    <w:p w14:paraId="7C7D318B">
      <w:pPr>
        <w:pStyle w:val="56"/>
        <w:ind w:firstLine="420"/>
      </w:pPr>
      <w:r>
        <w:rPr>
          <w:rFonts w:hint="eastAsia"/>
        </w:rPr>
        <w:t>归队的判定标准、检测流程及屏蔽周期的设定，应有符合科学依据或临床循证医学证据支持，确保评估结果的客观、准确。</w:t>
      </w:r>
    </w:p>
    <w:p w14:paraId="52D84E25">
      <w:pPr>
        <w:pStyle w:val="105"/>
        <w:spacing w:before="156" w:after="156"/>
      </w:pPr>
      <w:r>
        <w:rPr>
          <w:rFonts w:hint="eastAsia"/>
        </w:rPr>
        <w:t>安全性原则</w:t>
      </w:r>
    </w:p>
    <w:p w14:paraId="0DC6269E">
      <w:pPr>
        <w:pStyle w:val="56"/>
        <w:ind w:firstLine="420"/>
      </w:pPr>
      <w:r>
        <w:rPr>
          <w:rFonts w:hint="eastAsia"/>
        </w:rPr>
        <w:t>应通过严格的补充实验或足够长的医学观察期，最大限度排除“窗口期”感染、隐匿性感染等潜在风险，保障血液安全，科学有效的扩大献血者队伍。</w:t>
      </w:r>
    </w:p>
    <w:p w14:paraId="355B8467">
      <w:pPr>
        <w:pStyle w:val="105"/>
        <w:spacing w:before="156" w:after="156"/>
      </w:pPr>
      <w:r>
        <w:rPr>
          <w:rFonts w:hint="eastAsia"/>
        </w:rPr>
        <w:t>自愿原则</w:t>
      </w:r>
    </w:p>
    <w:p w14:paraId="484E42C1">
      <w:pPr>
        <w:pStyle w:val="56"/>
        <w:ind w:firstLine="420"/>
      </w:pPr>
      <w:r>
        <w:rPr>
          <w:rFonts w:hint="eastAsia"/>
        </w:rPr>
        <w:t>应充分尊重献血者本人的献血意愿，为献血者提供归队评估的渠道和相关信息，如是否申请归队、是否接受归队检测等，在充分知情的基础上自主决定，并签署知情同意书。</w:t>
      </w:r>
    </w:p>
    <w:p w14:paraId="06F45220">
      <w:pPr>
        <w:pStyle w:val="105"/>
        <w:spacing w:before="156" w:after="156"/>
      </w:pPr>
      <w:r>
        <w:rPr>
          <w:rFonts w:hint="eastAsia"/>
        </w:rPr>
        <w:t>保密原则</w:t>
      </w:r>
    </w:p>
    <w:p w14:paraId="591B9D0C">
      <w:pPr>
        <w:pStyle w:val="56"/>
        <w:ind w:firstLine="420"/>
      </w:pPr>
      <w:r>
        <w:rPr>
          <w:rFonts w:hint="eastAsia"/>
        </w:rPr>
        <w:t>血站及相关工作人员应严格履行保密义务，在归队管理过程中，应对献血者的屏蔽原因、健康征询信息、检测结果等信息完全保密，除法律法规规定的传染病报告途径外，严禁向第三方泄露相关信息。</w:t>
      </w:r>
    </w:p>
    <w:p w14:paraId="7B2C1D71">
      <w:pPr>
        <w:pStyle w:val="105"/>
        <w:spacing w:before="156" w:after="156"/>
      </w:pPr>
      <w:r>
        <w:rPr>
          <w:rFonts w:hint="eastAsia"/>
        </w:rPr>
        <w:t>可追溯原则</w:t>
      </w:r>
    </w:p>
    <w:p w14:paraId="2C0D34F6">
      <w:pPr>
        <w:pStyle w:val="56"/>
        <w:ind w:firstLine="420"/>
      </w:pPr>
      <w:r>
        <w:rPr>
          <w:rFonts w:hint="eastAsia"/>
        </w:rPr>
        <w:t>应保障献血者健康档案的连续性与归队过程的可追溯性，确保归队过程的每一步都能追溯至具体的操作人员、使用试剂及检测设备等信息。</w:t>
      </w:r>
    </w:p>
    <w:p w14:paraId="1F272046">
      <w:pPr>
        <w:pStyle w:val="105"/>
        <w:spacing w:before="156" w:after="156"/>
      </w:pPr>
      <w:r>
        <w:rPr>
          <w:rFonts w:hint="eastAsia"/>
        </w:rPr>
        <w:t>结果告知限定原则</w:t>
      </w:r>
    </w:p>
    <w:p w14:paraId="09FAD245">
      <w:pPr>
        <w:pStyle w:val="56"/>
        <w:ind w:firstLine="420"/>
      </w:pPr>
      <w:r>
        <w:rPr>
          <w:rFonts w:hint="eastAsia"/>
        </w:rPr>
        <w:t>向献血者反馈的归队检测结果，应明确告知其用途仅限于评估其是否符合献血资格，不作疾病诊断的唯一依据，必要时引导其至医疗机构进行临床诊断。</w:t>
      </w:r>
    </w:p>
    <w:p w14:paraId="0E41A11E">
      <w:pPr>
        <w:pStyle w:val="104"/>
        <w:spacing w:before="312" w:after="312"/>
      </w:pPr>
      <w:r>
        <w:rPr>
          <w:rFonts w:hint="eastAsia"/>
        </w:rPr>
        <w:t>献血者归队条件</w:t>
      </w:r>
    </w:p>
    <w:p w14:paraId="0F8D83AB">
      <w:pPr>
        <w:pStyle w:val="165"/>
        <w:numPr>
          <w:ilvl w:val="0"/>
          <w:numId w:val="0"/>
        </w:numPr>
        <w:ind w:firstLine="420" w:firstLineChars="200"/>
      </w:pPr>
      <w:r>
        <w:rPr>
          <w:rFonts w:hint="eastAsia"/>
        </w:rPr>
        <w:t>血液检测出现以下情况者，符合归队条件：</w:t>
      </w:r>
    </w:p>
    <w:p w14:paraId="3FE590FC">
      <w:pPr>
        <w:pStyle w:val="174"/>
      </w:pPr>
      <w:r>
        <w:rPr>
          <w:rFonts w:hint="eastAsia"/>
        </w:rPr>
        <w:t>经血传播疾病病原体（HBV、HCV、HIV、TP、HTLV）标志物血清学ELISA单试剂检测反应性，且HBV、HCV、HIV 标志物 NAT 无反应性；</w:t>
      </w:r>
    </w:p>
    <w:p w14:paraId="3D661A75">
      <w:pPr>
        <w:pStyle w:val="174"/>
      </w:pPr>
      <w:r>
        <w:rPr>
          <w:rFonts w:hint="eastAsia"/>
        </w:rPr>
        <w:t>HBV、HCV、HIV NAT联检反应性但NAT鉴别无反应性；</w:t>
      </w:r>
    </w:p>
    <w:p w14:paraId="00B6C316">
      <w:pPr>
        <w:pStyle w:val="174"/>
      </w:pPr>
      <w:r>
        <w:rPr>
          <w:rFonts w:hint="eastAsia"/>
        </w:rPr>
        <w:t>蚊媒病毒（DENV、CHIKV、ZIKV）核酸检测反应性。</w:t>
      </w:r>
    </w:p>
    <w:p w14:paraId="78C9F81D">
      <w:pPr>
        <w:pStyle w:val="104"/>
        <w:spacing w:before="312" w:after="312"/>
      </w:pPr>
      <w:r>
        <w:rPr>
          <w:rFonts w:hint="eastAsia"/>
        </w:rPr>
        <w:t>献血者归队流程</w:t>
      </w:r>
    </w:p>
    <w:p w14:paraId="1A7B7D34">
      <w:pPr>
        <w:pStyle w:val="105"/>
        <w:spacing w:before="156" w:after="156"/>
      </w:pPr>
      <w:r>
        <w:rPr>
          <w:rFonts w:hint="eastAsia"/>
        </w:rPr>
        <w:t xml:space="preserve">初次评估 </w:t>
      </w:r>
    </w:p>
    <w:p w14:paraId="6C87473D">
      <w:pPr>
        <w:pStyle w:val="56"/>
        <w:ind w:firstLine="420"/>
      </w:pPr>
      <w:r>
        <w:rPr>
          <w:rFonts w:hint="eastAsia"/>
        </w:rPr>
        <w:t>符合归队条件献血者由血站检验部门采用献血标本完成补充试验，根据检验结果进行审核审批，除保留献血资格和永久屏蔽外，进入再次评估流程。</w:t>
      </w:r>
    </w:p>
    <w:p w14:paraId="6C082782">
      <w:pPr>
        <w:pStyle w:val="105"/>
        <w:spacing w:before="156" w:after="156"/>
      </w:pPr>
      <w:r>
        <w:rPr>
          <w:rFonts w:hint="eastAsia"/>
        </w:rPr>
        <w:t>再次评估</w:t>
      </w:r>
    </w:p>
    <w:p w14:paraId="783C8417">
      <w:pPr>
        <w:pStyle w:val="165"/>
      </w:pPr>
      <w:bookmarkStart w:id="47" w:name="_Hlk215753910"/>
      <w:r>
        <w:rPr>
          <w:rFonts w:hint="eastAsia"/>
        </w:rPr>
        <w:t>申请：献血者本人向血站提出归队申请。</w:t>
      </w:r>
    </w:p>
    <w:p w14:paraId="64E74555">
      <w:pPr>
        <w:pStyle w:val="165"/>
      </w:pPr>
      <w:r>
        <w:rPr>
          <w:rFonts w:hint="eastAsia"/>
        </w:rPr>
        <w:t xml:space="preserve">审核：血站对照归队条件予以审核，对符合再次评估条件、且健康征询合格的献血者，告知有关归队流程，并签署知情同意书。 </w:t>
      </w:r>
    </w:p>
    <w:p w14:paraId="531BE25F">
      <w:pPr>
        <w:pStyle w:val="165"/>
      </w:pPr>
      <w:r>
        <w:rPr>
          <w:rFonts w:hint="eastAsia"/>
        </w:rPr>
        <w:t>标本采集：血站对申请归队的献血者进行检测血样采集。</w:t>
      </w:r>
    </w:p>
    <w:bookmarkEnd w:id="47"/>
    <w:p w14:paraId="3E2AC198">
      <w:pPr>
        <w:pStyle w:val="165"/>
      </w:pPr>
      <w:r>
        <w:rPr>
          <w:rFonts w:hint="eastAsia"/>
        </w:rPr>
        <w:t>归队检测：血站根据归队检测要求进行实验室检测。</w:t>
      </w:r>
    </w:p>
    <w:p w14:paraId="3B3202B3">
      <w:pPr>
        <w:pStyle w:val="165"/>
      </w:pPr>
      <w:r>
        <w:rPr>
          <w:rFonts w:hint="eastAsia"/>
        </w:rPr>
        <w:t>审批：血站根据健康征询结果、归队检测结果，由经授权的人员解除屏蔽批准归队或永久屏蔽。</w:t>
      </w:r>
    </w:p>
    <w:p w14:paraId="0EFD2C99">
      <w:pPr>
        <w:pStyle w:val="104"/>
        <w:spacing w:before="312" w:after="312"/>
      </w:pPr>
      <w:r>
        <w:rPr>
          <w:rFonts w:hint="eastAsia"/>
        </w:rPr>
        <w:t>归队检测方法和结果判定</w:t>
      </w:r>
    </w:p>
    <w:p w14:paraId="24835155">
      <w:pPr>
        <w:pStyle w:val="105"/>
        <w:spacing w:before="156" w:after="156"/>
      </w:pPr>
      <w:r>
        <w:rPr>
          <w:rFonts w:hint="eastAsia"/>
        </w:rPr>
        <w:t>试剂盒选择</w:t>
      </w:r>
    </w:p>
    <w:p w14:paraId="19676A8A">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选择国家相关部门批准使用的血源筛查体外诊断试剂或其他体外诊断试剂，并符合相应检验方法要求。如用于监测新发再发传染病，采用国家卫生行政部门允许或推荐的试剂盒。</w:t>
      </w:r>
    </w:p>
    <w:p w14:paraId="149B2388">
      <w:pPr>
        <w:pStyle w:val="105"/>
        <w:spacing w:before="156" w:after="156"/>
      </w:pPr>
      <w:r>
        <w:rPr>
          <w:rFonts w:hint="eastAsia"/>
        </w:rPr>
        <w:t>初次评估</w:t>
      </w:r>
    </w:p>
    <w:p w14:paraId="356E2416">
      <w:pPr>
        <w:pStyle w:val="65"/>
        <w:spacing w:before="156" w:after="156"/>
      </w:pPr>
      <w:bookmarkStart w:id="48" w:name="_Hlk214461174"/>
      <w:r>
        <w:rPr>
          <w:rFonts w:hint="eastAsia"/>
        </w:rPr>
        <w:t>HBV血清学ELISA单试剂检测反应性，NAT无反应性</w:t>
      </w:r>
    </w:p>
    <w:p w14:paraId="5ED576A8">
      <w:pPr>
        <w:pStyle w:val="164"/>
      </w:pPr>
      <w:r>
        <w:rPr>
          <w:rFonts w:hint="eastAsia"/>
        </w:rPr>
        <w:t>检测方法：</w:t>
      </w:r>
      <w:bookmarkStart w:id="49" w:name="_Hlk214461015"/>
      <w:r>
        <w:rPr>
          <w:rFonts w:hint="eastAsia"/>
        </w:rPr>
        <w:t>采用CLIA方法</w:t>
      </w:r>
      <w:bookmarkEnd w:id="49"/>
      <w:r>
        <w:rPr>
          <w:rFonts w:hint="eastAsia"/>
        </w:rPr>
        <w:t>检测HBsAg、抗-HBs、抗-HBc</w:t>
      </w:r>
      <w:bookmarkStart w:id="50" w:name="_Hlk223534505"/>
      <w:r>
        <w:rPr>
          <w:rFonts w:hint="eastAsia"/>
        </w:rPr>
        <w:t>，检测过程应严格遵循试剂盒说明书进行操作。</w:t>
      </w:r>
      <w:bookmarkEnd w:id="50"/>
    </w:p>
    <w:bookmarkEnd w:id="48"/>
    <w:p w14:paraId="2D00E647">
      <w:pPr>
        <w:pStyle w:val="164"/>
      </w:pPr>
      <w:r>
        <w:rPr>
          <w:rFonts w:hint="eastAsia"/>
        </w:rPr>
        <w:t>结果判定规则如下:</w:t>
      </w:r>
    </w:p>
    <w:p w14:paraId="4301187D">
      <w:pPr>
        <w:pStyle w:val="174"/>
        <w:numPr>
          <w:ilvl w:val="0"/>
          <w:numId w:val="32"/>
        </w:numPr>
        <w:rPr>
          <w:rFonts w:hAnsi="宋体" w:cs="宋体"/>
        </w:rPr>
      </w:pPr>
      <w:bookmarkStart w:id="51" w:name="_Hlk214461268"/>
      <w:r>
        <w:rPr>
          <w:rFonts w:hint="eastAsia"/>
        </w:rPr>
        <w:t>HB</w:t>
      </w:r>
      <w:r>
        <w:rPr>
          <w:rFonts w:hint="eastAsia" w:hAnsi="宋体" w:cs="宋体"/>
        </w:rPr>
        <w:t>sAg无反应性、抗-HBs无反应性或反应性、抗-HBc无反应性</w:t>
      </w:r>
      <w:bookmarkEnd w:id="51"/>
      <w:bookmarkStart w:id="52" w:name="_Hlk214461305"/>
      <w:r>
        <w:rPr>
          <w:rFonts w:hint="eastAsia" w:hAnsi="宋体" w:cs="宋体"/>
        </w:rPr>
        <w:t>，保留其献血资格</w:t>
      </w:r>
      <w:bookmarkEnd w:id="52"/>
      <w:r>
        <w:rPr>
          <w:rFonts w:hint="eastAsia" w:hAnsi="宋体" w:cs="宋体"/>
        </w:rPr>
        <w:t>；</w:t>
      </w:r>
    </w:p>
    <w:p w14:paraId="1E06E80C">
      <w:pPr>
        <w:pStyle w:val="174"/>
        <w:numPr>
          <w:ilvl w:val="0"/>
          <w:numId w:val="32"/>
        </w:numPr>
        <w:rPr>
          <w:rFonts w:hAnsi="宋体" w:cs="宋体"/>
        </w:rPr>
      </w:pPr>
      <w:bookmarkStart w:id="53" w:name="_Hlk214461345"/>
      <w:r>
        <w:rPr>
          <w:rFonts w:hint="eastAsia" w:hAnsi="宋体" w:cs="宋体"/>
        </w:rPr>
        <w:t>HBsAg无反应性、抗-HBs反应性且浓度≥</w:t>
      </w:r>
      <w:r>
        <w:rPr>
          <w:rFonts w:hint="eastAsia" w:hAnsi="宋体" w:cs="宋体"/>
          <w:kern w:val="2"/>
          <w:szCs w:val="21"/>
          <w:lang w:bidi="ar"/>
        </w:rPr>
        <w:t> </w:t>
      </w:r>
      <w:r>
        <w:rPr>
          <w:rFonts w:hint="eastAsia" w:hAnsi="宋体" w:cs="宋体"/>
        </w:rPr>
        <w:t>200</w:t>
      </w:r>
      <w:r>
        <w:rPr>
          <w:rFonts w:hint="eastAsia" w:hAnsi="宋体" w:cs="宋体"/>
          <w:kern w:val="2"/>
          <w:szCs w:val="21"/>
          <w:lang w:bidi="ar"/>
        </w:rPr>
        <w:t> </w:t>
      </w:r>
      <w:r>
        <w:rPr>
          <w:rFonts w:hint="eastAsia" w:hAnsi="宋体" w:cs="宋体"/>
        </w:rPr>
        <w:t>IU/mL、</w:t>
      </w:r>
      <w:bookmarkStart w:id="54" w:name="_Hlk214462544"/>
      <w:r>
        <w:rPr>
          <w:rFonts w:hint="eastAsia" w:hAnsi="宋体" w:cs="宋体"/>
        </w:rPr>
        <w:t>抗-HBc反应性</w:t>
      </w:r>
      <w:bookmarkEnd w:id="53"/>
      <w:bookmarkEnd w:id="54"/>
      <w:r>
        <w:rPr>
          <w:rFonts w:hint="eastAsia" w:hAnsi="宋体" w:cs="宋体"/>
        </w:rPr>
        <w:t>,保留献血资格；</w:t>
      </w:r>
    </w:p>
    <w:p w14:paraId="4E3F6FDA">
      <w:pPr>
        <w:pStyle w:val="174"/>
        <w:numPr>
          <w:ilvl w:val="0"/>
          <w:numId w:val="32"/>
        </w:numPr>
        <w:rPr>
          <w:rFonts w:hAnsi="宋体" w:cs="宋体"/>
        </w:rPr>
      </w:pPr>
      <w:bookmarkStart w:id="55" w:name="_Hlk214461406"/>
      <w:r>
        <w:rPr>
          <w:rFonts w:hint="eastAsia" w:hAnsi="宋体" w:cs="宋体"/>
        </w:rPr>
        <w:t>HBsAg反应性、无论抗-HBs、抗-HBc无反应性或反应性</w:t>
      </w:r>
      <w:bookmarkEnd w:id="55"/>
      <w:r>
        <w:rPr>
          <w:rFonts w:hint="eastAsia" w:hAnsi="宋体" w:cs="宋体"/>
        </w:rPr>
        <w:t>,</w:t>
      </w:r>
      <w:bookmarkStart w:id="56" w:name="_Hlk214461855"/>
      <w:r>
        <w:rPr>
          <w:rFonts w:hint="eastAsia" w:hAnsi="宋体" w:cs="宋体"/>
        </w:rPr>
        <w:t>永久屏蔽</w:t>
      </w:r>
      <w:bookmarkEnd w:id="56"/>
      <w:r>
        <w:rPr>
          <w:rFonts w:hint="eastAsia" w:hAnsi="宋体" w:cs="宋体"/>
        </w:rPr>
        <w:t>；</w:t>
      </w:r>
    </w:p>
    <w:p w14:paraId="77E00AE9">
      <w:pPr>
        <w:pStyle w:val="174"/>
        <w:numPr>
          <w:ilvl w:val="0"/>
          <w:numId w:val="32"/>
        </w:numPr>
        <w:rPr>
          <w:rFonts w:hAnsi="宋体" w:cs="宋体"/>
        </w:rPr>
      </w:pPr>
      <w:bookmarkStart w:id="57" w:name="_Hlk215755869"/>
      <w:r>
        <w:rPr>
          <w:rFonts w:hint="eastAsia" w:hAnsi="宋体" w:cs="宋体"/>
        </w:rPr>
        <w:t>HBsAg无反应性、抗-HBs无反应性，但抗-HBc反应性</w:t>
      </w:r>
      <w:bookmarkEnd w:id="57"/>
      <w:r>
        <w:rPr>
          <w:rFonts w:hint="eastAsia" w:hAnsi="宋体" w:cs="宋体"/>
        </w:rPr>
        <w:t>,永久屏蔽；</w:t>
      </w:r>
    </w:p>
    <w:p w14:paraId="7490FA2D">
      <w:pPr>
        <w:pStyle w:val="174"/>
        <w:numPr>
          <w:ilvl w:val="0"/>
          <w:numId w:val="32"/>
        </w:numPr>
        <w:rPr>
          <w:rFonts w:hAnsi="宋体" w:cs="宋体"/>
        </w:rPr>
      </w:pPr>
      <w:bookmarkStart w:id="58" w:name="_Hlk214461892"/>
      <w:r>
        <w:rPr>
          <w:rFonts w:hint="eastAsia" w:hAnsi="宋体" w:cs="宋体"/>
        </w:rPr>
        <w:t>HBsAg无反应性、抗-HBs反应性但浓度&lt;</w:t>
      </w:r>
      <w:r>
        <w:rPr>
          <w:rFonts w:hint="eastAsia" w:hAnsi="宋体" w:cs="宋体"/>
          <w:kern w:val="2"/>
          <w:szCs w:val="21"/>
          <w:lang w:bidi="ar"/>
        </w:rPr>
        <w:t> </w:t>
      </w:r>
      <w:r>
        <w:rPr>
          <w:rFonts w:hint="eastAsia" w:hAnsi="宋体" w:cs="宋体"/>
        </w:rPr>
        <w:t>200</w:t>
      </w:r>
      <w:r>
        <w:rPr>
          <w:rFonts w:hint="eastAsia" w:hAnsi="宋体" w:cs="宋体"/>
          <w:kern w:val="2"/>
          <w:szCs w:val="21"/>
          <w:lang w:bidi="ar"/>
        </w:rPr>
        <w:t> </w:t>
      </w:r>
      <w:r>
        <w:rPr>
          <w:rFonts w:hint="eastAsia" w:hAnsi="宋体" w:cs="宋体"/>
        </w:rPr>
        <w:t>IU/mL、抗-HBc反应性，</w:t>
      </w:r>
      <w:bookmarkEnd w:id="58"/>
      <w:bookmarkStart w:id="59" w:name="_Hlk214461951"/>
      <w:r>
        <w:rPr>
          <w:rFonts w:hint="eastAsia" w:hAnsi="宋体" w:cs="宋体"/>
        </w:rPr>
        <w:t>屏蔽至少3个月后进行再次评估流程</w:t>
      </w:r>
      <w:bookmarkEnd w:id="59"/>
      <w:r>
        <w:rPr>
          <w:rFonts w:hint="eastAsia" w:hAnsi="宋体" w:cs="宋体"/>
        </w:rPr>
        <w:t>。</w:t>
      </w:r>
    </w:p>
    <w:p w14:paraId="5BFBC1F2">
      <w:pPr>
        <w:pStyle w:val="164"/>
        <w:rPr>
          <w:rFonts w:hAnsi="宋体" w:cs="宋体"/>
        </w:rPr>
      </w:pPr>
      <w:r>
        <w:rPr>
          <w:rFonts w:hint="eastAsia" w:hAnsi="宋体" w:cs="宋体"/>
        </w:rPr>
        <w:t xml:space="preserve"> HBV反应性献血者归队流程图见附录A。</w:t>
      </w:r>
    </w:p>
    <w:p w14:paraId="377C585C">
      <w:pPr>
        <w:pStyle w:val="65"/>
        <w:spacing w:before="156" w:after="156"/>
      </w:pPr>
      <w:bookmarkStart w:id="60" w:name="_Hlk214462011"/>
      <w:r>
        <w:rPr>
          <w:rFonts w:hint="eastAsia"/>
        </w:rPr>
        <w:t>HCV血清学ELISA单试剂检测反应性，NAT无反应性</w:t>
      </w:r>
    </w:p>
    <w:bookmarkEnd w:id="60"/>
    <w:p w14:paraId="247D6B1A">
      <w:pPr>
        <w:pStyle w:val="164"/>
      </w:pPr>
      <w:r>
        <w:rPr>
          <w:rFonts w:hint="eastAsia"/>
        </w:rPr>
        <w:t>检测方法：</w:t>
      </w:r>
      <w:bookmarkStart w:id="61" w:name="_Hlk223535747"/>
      <w:r>
        <w:rPr>
          <w:rFonts w:hint="eastAsia"/>
        </w:rPr>
        <w:t>采用</w:t>
      </w:r>
      <w:bookmarkEnd w:id="61"/>
      <w:r>
        <w:rPr>
          <w:rFonts w:hint="eastAsia"/>
        </w:rPr>
        <w:t>CLIA方法检测抗-HCV，检测过程应严格遵循试剂盒说明书进行操作。</w:t>
      </w:r>
    </w:p>
    <w:p w14:paraId="3E0E6203">
      <w:pPr>
        <w:pStyle w:val="164"/>
      </w:pPr>
      <w:r>
        <w:rPr>
          <w:rFonts w:hint="eastAsia"/>
        </w:rPr>
        <w:t>结果判定规则如下:</w:t>
      </w:r>
    </w:p>
    <w:p w14:paraId="7E2E6444">
      <w:pPr>
        <w:pStyle w:val="174"/>
        <w:numPr>
          <w:ilvl w:val="0"/>
          <w:numId w:val="33"/>
        </w:numPr>
      </w:pPr>
      <w:bookmarkStart w:id="62" w:name="_Hlk223535358"/>
      <w:bookmarkStart w:id="63" w:name="_Hlk214462226"/>
      <w:r>
        <w:rPr>
          <w:rFonts w:hint="eastAsia"/>
        </w:rPr>
        <w:t>抗-HCV</w:t>
      </w:r>
      <w:bookmarkEnd w:id="62"/>
      <w:r>
        <w:rPr>
          <w:rFonts w:hint="eastAsia"/>
        </w:rPr>
        <w:t>无反应性</w:t>
      </w:r>
      <w:bookmarkEnd w:id="63"/>
      <w:r>
        <w:rPr>
          <w:rFonts w:hint="eastAsia"/>
        </w:rPr>
        <w:t>,保留献血资格；</w:t>
      </w:r>
    </w:p>
    <w:p w14:paraId="5C4EC684">
      <w:pPr>
        <w:pStyle w:val="174"/>
        <w:numPr>
          <w:ilvl w:val="0"/>
          <w:numId w:val="33"/>
        </w:numPr>
      </w:pPr>
      <w:bookmarkStart w:id="64" w:name="_Hlk223537844"/>
      <w:r>
        <w:rPr>
          <w:rFonts w:hint="eastAsia"/>
        </w:rPr>
        <w:t>抗-HCV反应性，屏蔽至少3个月后进行再次评估流程。</w:t>
      </w:r>
    </w:p>
    <w:bookmarkEnd w:id="64"/>
    <w:p w14:paraId="11F35105">
      <w:pPr>
        <w:pStyle w:val="164"/>
      </w:pPr>
      <w:r>
        <w:rPr>
          <w:rFonts w:hint="eastAsia"/>
        </w:rPr>
        <w:t>HCV反应性献血者归队流程图见附录B。</w:t>
      </w:r>
    </w:p>
    <w:p w14:paraId="127F34D6">
      <w:pPr>
        <w:pStyle w:val="65"/>
        <w:spacing w:before="156" w:after="156"/>
      </w:pPr>
      <w:r>
        <w:rPr>
          <w:rFonts w:hint="eastAsia"/>
        </w:rPr>
        <w:t>HIV血清学ELISA单试剂检测反应性，NAT无反应性</w:t>
      </w:r>
    </w:p>
    <w:p w14:paraId="6915C7A3">
      <w:pPr>
        <w:pStyle w:val="164"/>
      </w:pPr>
      <w:r>
        <w:rPr>
          <w:rFonts w:hint="eastAsia"/>
        </w:rPr>
        <w:t>检测方法：</w:t>
      </w:r>
      <w:bookmarkStart w:id="65" w:name="_Hlk214462441"/>
      <w:r>
        <w:rPr>
          <w:rFonts w:hint="eastAsia"/>
        </w:rPr>
        <w:t>采用CLIA方法检测抗-HIV，采用WB方法</w:t>
      </w:r>
      <w:bookmarkEnd w:id="65"/>
      <w:r>
        <w:rPr>
          <w:rFonts w:hint="eastAsia"/>
        </w:rPr>
        <w:t>开展确证试验。检测过程应严格遵循试剂盒说明书进行操作。</w:t>
      </w:r>
    </w:p>
    <w:p w14:paraId="042C4542">
      <w:pPr>
        <w:pStyle w:val="164"/>
      </w:pPr>
      <w:r>
        <w:rPr>
          <w:rFonts w:hint="eastAsia"/>
        </w:rPr>
        <w:t>结果判定规则如下:</w:t>
      </w:r>
    </w:p>
    <w:p w14:paraId="16BA835F">
      <w:pPr>
        <w:pStyle w:val="174"/>
        <w:numPr>
          <w:ilvl w:val="0"/>
          <w:numId w:val="34"/>
        </w:numPr>
      </w:pPr>
      <w:bookmarkStart w:id="66" w:name="_Hlk214462480"/>
      <w:r>
        <w:rPr>
          <w:rFonts w:hint="eastAsia"/>
        </w:rPr>
        <w:t>抗-HIV无反应性，WB确证试验结果无反应性</w:t>
      </w:r>
      <w:bookmarkEnd w:id="66"/>
      <w:r>
        <w:rPr>
          <w:rFonts w:hint="eastAsia"/>
        </w:rPr>
        <w:t>，保留献血资格；</w:t>
      </w:r>
    </w:p>
    <w:p w14:paraId="32164181">
      <w:pPr>
        <w:pStyle w:val="174"/>
        <w:numPr>
          <w:ilvl w:val="0"/>
          <w:numId w:val="34"/>
        </w:numPr>
      </w:pPr>
      <w:r>
        <w:rPr>
          <w:rFonts w:hint="eastAsia"/>
        </w:rPr>
        <w:t>抗-HIV无反应性，WB确证试验结果反应性，永久屏蔽；</w:t>
      </w:r>
    </w:p>
    <w:p w14:paraId="77861364">
      <w:pPr>
        <w:pStyle w:val="174"/>
        <w:numPr>
          <w:ilvl w:val="0"/>
          <w:numId w:val="34"/>
        </w:numPr>
      </w:pPr>
      <w:r>
        <w:rPr>
          <w:rFonts w:hint="eastAsia"/>
        </w:rPr>
        <w:t>抗-HIV反应性，无论WB确证试验结果反应性或不确定或无反应性，永久屏蔽；</w:t>
      </w:r>
    </w:p>
    <w:p w14:paraId="707D7442">
      <w:pPr>
        <w:pStyle w:val="174"/>
        <w:numPr>
          <w:ilvl w:val="0"/>
          <w:numId w:val="34"/>
        </w:numPr>
      </w:pPr>
      <w:r>
        <w:rPr>
          <w:rFonts w:hint="eastAsia"/>
        </w:rPr>
        <w:t>抗-HIV无反应性，WB确证试验结果不确定，屏蔽至少3个月后进行再次评估流程。</w:t>
      </w:r>
    </w:p>
    <w:p w14:paraId="16CE15A9">
      <w:pPr>
        <w:pStyle w:val="164"/>
      </w:pPr>
      <w:r>
        <w:rPr>
          <w:rFonts w:hint="eastAsia"/>
        </w:rPr>
        <w:t xml:space="preserve"> HIV反应性献血者归队流程图见附录C。</w:t>
      </w:r>
    </w:p>
    <w:p w14:paraId="10B9B66C">
      <w:pPr>
        <w:pStyle w:val="65"/>
        <w:spacing w:before="156" w:after="156"/>
      </w:pPr>
      <w:r>
        <w:rPr>
          <w:rFonts w:hint="eastAsia"/>
        </w:rPr>
        <w:t>TP血清学ELISA单试剂检测反应性</w:t>
      </w:r>
    </w:p>
    <w:p w14:paraId="12F7E387">
      <w:pPr>
        <w:pStyle w:val="164"/>
      </w:pPr>
      <w:r>
        <w:rPr>
          <w:rFonts w:hint="eastAsia"/>
        </w:rPr>
        <w:t>检测方法：</w:t>
      </w:r>
      <w:bookmarkStart w:id="67" w:name="_Hlk214463051"/>
      <w:r>
        <w:rPr>
          <w:rFonts w:hint="eastAsia"/>
        </w:rPr>
        <w:t>采用CLIA方法检测抗-TP，开展TPPA</w:t>
      </w:r>
      <w:bookmarkEnd w:id="67"/>
      <w:r>
        <w:rPr>
          <w:rFonts w:hint="eastAsia"/>
        </w:rPr>
        <w:t>。检测过程应严格遵循试剂盒说明书进行操作。</w:t>
      </w:r>
    </w:p>
    <w:p w14:paraId="63FF03B8">
      <w:pPr>
        <w:pStyle w:val="164"/>
      </w:pPr>
      <w:r>
        <w:rPr>
          <w:rFonts w:hint="eastAsia"/>
        </w:rPr>
        <w:t>结果判定规则如下:</w:t>
      </w:r>
    </w:p>
    <w:p w14:paraId="139D0520">
      <w:pPr>
        <w:pStyle w:val="174"/>
        <w:numPr>
          <w:ilvl w:val="0"/>
          <w:numId w:val="35"/>
        </w:numPr>
      </w:pPr>
      <w:bookmarkStart w:id="68" w:name="_Hlk214463068"/>
      <w:r>
        <w:rPr>
          <w:rFonts w:hint="eastAsia"/>
        </w:rPr>
        <w:t>抗-TP无反应性,TPPA结果无反应性</w:t>
      </w:r>
      <w:bookmarkEnd w:id="68"/>
      <w:r>
        <w:rPr>
          <w:rFonts w:hint="eastAsia"/>
        </w:rPr>
        <w:t>，保留献血资格；</w:t>
      </w:r>
    </w:p>
    <w:p w14:paraId="6ACE9140">
      <w:pPr>
        <w:pStyle w:val="174"/>
        <w:numPr>
          <w:ilvl w:val="0"/>
          <w:numId w:val="35"/>
        </w:numPr>
      </w:pPr>
      <w:bookmarkStart w:id="69" w:name="_Hlk214463099"/>
      <w:r>
        <w:rPr>
          <w:rFonts w:hint="eastAsia"/>
        </w:rPr>
        <w:t>抗-TP无反应性,TPPA结果反应性</w:t>
      </w:r>
      <w:bookmarkEnd w:id="69"/>
      <w:r>
        <w:rPr>
          <w:rFonts w:hint="eastAsia"/>
        </w:rPr>
        <w:t>，永久屏蔽；</w:t>
      </w:r>
    </w:p>
    <w:p w14:paraId="655428F3">
      <w:pPr>
        <w:pStyle w:val="174"/>
        <w:numPr>
          <w:ilvl w:val="0"/>
          <w:numId w:val="35"/>
        </w:numPr>
      </w:pPr>
      <w:bookmarkStart w:id="70" w:name="_Hlk214463148"/>
      <w:r>
        <w:rPr>
          <w:rFonts w:hint="eastAsia"/>
        </w:rPr>
        <w:t>抗-TP反应性,无论TPPA结果反应性或不确定或无反应性</w:t>
      </w:r>
      <w:bookmarkEnd w:id="70"/>
      <w:r>
        <w:rPr>
          <w:rFonts w:hint="eastAsia"/>
        </w:rPr>
        <w:t>，永久屏蔽；</w:t>
      </w:r>
    </w:p>
    <w:p w14:paraId="7680EC55">
      <w:pPr>
        <w:pStyle w:val="174"/>
        <w:numPr>
          <w:ilvl w:val="0"/>
          <w:numId w:val="35"/>
        </w:numPr>
      </w:pPr>
      <w:bookmarkStart w:id="71" w:name="_Hlk214463172"/>
      <w:r>
        <w:rPr>
          <w:rFonts w:hint="eastAsia"/>
        </w:rPr>
        <w:t>抗-TP无反应性，TPPA结果不确定</w:t>
      </w:r>
      <w:bookmarkEnd w:id="71"/>
      <w:r>
        <w:rPr>
          <w:rFonts w:hint="eastAsia"/>
        </w:rPr>
        <w:t>，屏蔽至少3个月后进行再次评估流程。</w:t>
      </w:r>
    </w:p>
    <w:p w14:paraId="73B61EAF">
      <w:pPr>
        <w:pStyle w:val="164"/>
      </w:pPr>
      <w:r>
        <w:rPr>
          <w:rFonts w:hint="eastAsia"/>
        </w:rPr>
        <w:t xml:space="preserve"> </w:t>
      </w:r>
      <w:bookmarkStart w:id="72" w:name="_Hlk223538493"/>
      <w:r>
        <w:rPr>
          <w:rFonts w:hint="eastAsia"/>
        </w:rPr>
        <w:t>TP反应性献血者归队流程图见附录D</w:t>
      </w:r>
      <w:bookmarkEnd w:id="72"/>
      <w:r>
        <w:rPr>
          <w:rFonts w:hint="eastAsia"/>
        </w:rPr>
        <w:t>。</w:t>
      </w:r>
    </w:p>
    <w:p w14:paraId="69578531">
      <w:pPr>
        <w:pStyle w:val="65"/>
        <w:spacing w:before="156" w:after="156"/>
      </w:pPr>
      <w:r>
        <w:rPr>
          <w:rFonts w:hint="eastAsia"/>
        </w:rPr>
        <w:t>HBV、HCV、HIV NAT联检反应性但NAT鉴别无反应性</w:t>
      </w:r>
    </w:p>
    <w:p w14:paraId="08035558">
      <w:pPr>
        <w:pStyle w:val="164"/>
      </w:pPr>
      <w:r>
        <w:rPr>
          <w:rFonts w:hint="eastAsia"/>
        </w:rPr>
        <w:t>检测方法：</w:t>
      </w:r>
      <w:bookmarkStart w:id="73" w:name="_Hlk214463501"/>
      <w:r>
        <w:rPr>
          <w:rFonts w:hint="eastAsia"/>
        </w:rPr>
        <w:t>采用TMA或PCR方法开展</w:t>
      </w:r>
      <w:r>
        <w:t>ID-NAT</w:t>
      </w:r>
      <w:r>
        <w:rPr>
          <w:rFonts w:hint="eastAsia"/>
        </w:rPr>
        <w:t>检测</w:t>
      </w:r>
      <w:bookmarkEnd w:id="73"/>
      <w:r>
        <w:rPr>
          <w:rFonts w:hint="eastAsia"/>
        </w:rPr>
        <w:t>。检测过程应严格遵循试剂盒说明书进行操作。</w:t>
      </w:r>
    </w:p>
    <w:p w14:paraId="65A05AAB">
      <w:pPr>
        <w:pStyle w:val="164"/>
      </w:pPr>
      <w:r>
        <w:rPr>
          <w:rFonts w:hint="eastAsia"/>
        </w:rPr>
        <w:t>结果判定规则如下:</w:t>
      </w:r>
    </w:p>
    <w:p w14:paraId="06C2A717">
      <w:pPr>
        <w:pStyle w:val="174"/>
        <w:numPr>
          <w:ilvl w:val="0"/>
          <w:numId w:val="36"/>
        </w:numPr>
      </w:pPr>
      <w:bookmarkStart w:id="74" w:name="_Hlk214463519"/>
      <w:r>
        <w:rPr>
          <w:rFonts w:hint="eastAsia"/>
        </w:rPr>
        <w:t>ID-NAT重复2次检测任一反应性</w:t>
      </w:r>
      <w:bookmarkEnd w:id="74"/>
      <w:r>
        <w:rPr>
          <w:rFonts w:hint="eastAsia"/>
        </w:rPr>
        <w:t>，永久屏蔽；</w:t>
      </w:r>
    </w:p>
    <w:p w14:paraId="7DBC3591">
      <w:pPr>
        <w:pStyle w:val="174"/>
        <w:numPr>
          <w:ilvl w:val="0"/>
          <w:numId w:val="36"/>
        </w:numPr>
      </w:pPr>
      <w:bookmarkStart w:id="75" w:name="_Hlk214463570"/>
      <w:r>
        <w:rPr>
          <w:rFonts w:hint="eastAsia"/>
        </w:rPr>
        <w:t>ID-NAT重复2次检测均为无反应性</w:t>
      </w:r>
      <w:bookmarkEnd w:id="75"/>
      <w:r>
        <w:rPr>
          <w:rFonts w:hint="eastAsia"/>
        </w:rPr>
        <w:t>，屏蔽至少3个月后进行再次评估流程。</w:t>
      </w:r>
    </w:p>
    <w:p w14:paraId="14293B9C">
      <w:pPr>
        <w:pStyle w:val="164"/>
      </w:pPr>
      <w:r>
        <w:rPr>
          <w:rFonts w:hint="eastAsia"/>
        </w:rPr>
        <w:t>HBV、HCV、HIV NAT联检反应性但NAT鉴别无反应性献血者归队流程图见附录E。</w:t>
      </w:r>
    </w:p>
    <w:p w14:paraId="15283FA9">
      <w:pPr>
        <w:pStyle w:val="65"/>
        <w:spacing w:before="156" w:after="156"/>
      </w:pPr>
      <w:r>
        <w:rPr>
          <w:rFonts w:hint="eastAsia"/>
        </w:rPr>
        <w:t>地方性时限性传染病</w:t>
      </w:r>
    </w:p>
    <w:p w14:paraId="0F314821">
      <w:pPr>
        <w:pStyle w:val="94"/>
        <w:spacing w:before="156" w:after="156"/>
      </w:pPr>
      <w:r>
        <w:rPr>
          <w:rFonts w:hint="eastAsia"/>
        </w:rPr>
        <w:t>HTLV血清学ELISA单试剂检测反应</w:t>
      </w:r>
    </w:p>
    <w:p w14:paraId="5201104C">
      <w:pPr>
        <w:pStyle w:val="167"/>
      </w:pPr>
      <w:bookmarkStart w:id="76" w:name="_Hlk215754942"/>
      <w:r>
        <w:rPr>
          <w:rFonts w:hint="eastAsia"/>
        </w:rPr>
        <w:t>检测方法：</w:t>
      </w:r>
      <w:bookmarkStart w:id="77" w:name="_Hlk214463701"/>
      <w:r>
        <w:rPr>
          <w:rFonts w:hint="eastAsia"/>
        </w:rPr>
        <w:t>采用WB方法开展确证试验</w:t>
      </w:r>
      <w:bookmarkEnd w:id="77"/>
      <w:r>
        <w:rPr>
          <w:rFonts w:hint="eastAsia"/>
        </w:rPr>
        <w:t>。检测过程应严格遵循试剂盒说明书进行操作。</w:t>
      </w:r>
    </w:p>
    <w:p w14:paraId="64335620">
      <w:pPr>
        <w:pStyle w:val="167"/>
      </w:pPr>
      <w:r>
        <w:rPr>
          <w:rFonts w:hint="eastAsia"/>
        </w:rPr>
        <w:t>结果判定规则:</w:t>
      </w:r>
    </w:p>
    <w:bookmarkEnd w:id="76"/>
    <w:p w14:paraId="2CB5F468">
      <w:pPr>
        <w:pStyle w:val="174"/>
        <w:numPr>
          <w:ilvl w:val="0"/>
          <w:numId w:val="37"/>
        </w:numPr>
      </w:pPr>
      <w:bookmarkStart w:id="78" w:name="_Hlk214463728"/>
      <w:r>
        <w:rPr>
          <w:rFonts w:hint="eastAsia"/>
        </w:rPr>
        <w:t>WB确证试验结果无反应性</w:t>
      </w:r>
      <w:bookmarkEnd w:id="78"/>
      <w:r>
        <w:rPr>
          <w:rFonts w:hint="eastAsia"/>
        </w:rPr>
        <w:t>，保留献血资格；</w:t>
      </w:r>
    </w:p>
    <w:p w14:paraId="24790A4E">
      <w:pPr>
        <w:pStyle w:val="174"/>
        <w:numPr>
          <w:ilvl w:val="0"/>
          <w:numId w:val="37"/>
        </w:numPr>
      </w:pPr>
      <w:bookmarkStart w:id="79" w:name="_Hlk214463916"/>
      <w:r>
        <w:rPr>
          <w:rFonts w:hint="eastAsia"/>
        </w:rPr>
        <w:t>WB确证试验结果反应性</w:t>
      </w:r>
      <w:bookmarkEnd w:id="79"/>
      <w:r>
        <w:rPr>
          <w:rFonts w:hint="eastAsia"/>
        </w:rPr>
        <w:t>，永久屏蔽；</w:t>
      </w:r>
    </w:p>
    <w:p w14:paraId="0F6893F3">
      <w:pPr>
        <w:pStyle w:val="174"/>
        <w:numPr>
          <w:ilvl w:val="0"/>
          <w:numId w:val="37"/>
        </w:numPr>
      </w:pPr>
      <w:bookmarkStart w:id="80" w:name="_Hlk214463959"/>
      <w:r>
        <w:rPr>
          <w:rFonts w:hint="eastAsia"/>
        </w:rPr>
        <w:t>WB确证试验结果不确定</w:t>
      </w:r>
      <w:bookmarkEnd w:id="80"/>
      <w:r>
        <w:rPr>
          <w:rFonts w:hint="eastAsia"/>
        </w:rPr>
        <w:t>,屏蔽至少3个月后进行再次评估流程。</w:t>
      </w:r>
    </w:p>
    <w:p w14:paraId="111987CF">
      <w:pPr>
        <w:pStyle w:val="167"/>
      </w:pPr>
      <w:r>
        <w:rPr>
          <w:rFonts w:hint="eastAsia"/>
        </w:rPr>
        <w:t>HTLV反应性献血者归队流程图见附录F。</w:t>
      </w:r>
    </w:p>
    <w:p w14:paraId="6FDF9231">
      <w:pPr>
        <w:pStyle w:val="94"/>
        <w:spacing w:before="156" w:after="156"/>
      </w:pPr>
      <w:r>
        <w:rPr>
          <w:rFonts w:hint="eastAsia"/>
        </w:rPr>
        <w:t>DENV、CHIKV、ZIKV核酸检测反应性</w:t>
      </w:r>
    </w:p>
    <w:p w14:paraId="02F694FB">
      <w:pPr>
        <w:pStyle w:val="167"/>
      </w:pPr>
      <w:r>
        <w:rPr>
          <w:rFonts w:hint="eastAsia"/>
        </w:rPr>
        <w:t>检测方法：</w:t>
      </w:r>
      <w:bookmarkStart w:id="81" w:name="_Hlk223544667"/>
      <w:r>
        <w:rPr>
          <w:rFonts w:hint="eastAsia"/>
        </w:rPr>
        <w:t>采用TMA或PCR方法开展ID-NAT检测，送疾控部门进行基因型检测</w:t>
      </w:r>
      <w:bookmarkEnd w:id="81"/>
      <w:r>
        <w:rPr>
          <w:rFonts w:hint="eastAsia"/>
        </w:rPr>
        <w:t>。检测过程应严格遵循试剂盒说明书进行操作。</w:t>
      </w:r>
    </w:p>
    <w:p w14:paraId="4FECBD5D">
      <w:pPr>
        <w:pStyle w:val="167"/>
      </w:pPr>
      <w:r>
        <w:rPr>
          <w:rFonts w:hint="eastAsia"/>
        </w:rPr>
        <w:t>补充实验结果判定规则：</w:t>
      </w:r>
    </w:p>
    <w:p w14:paraId="20279FB2">
      <w:pPr>
        <w:pStyle w:val="174"/>
        <w:numPr>
          <w:ilvl w:val="0"/>
          <w:numId w:val="38"/>
        </w:numPr>
      </w:pPr>
      <w:r>
        <w:rPr>
          <w:rFonts w:hint="eastAsia"/>
        </w:rPr>
        <w:t>ID-NAT重复2次检测、基因型检测结果均无反应性，保留献血资格；</w:t>
      </w:r>
    </w:p>
    <w:p w14:paraId="2B75A683">
      <w:pPr>
        <w:pStyle w:val="174"/>
        <w:numPr>
          <w:ilvl w:val="0"/>
          <w:numId w:val="38"/>
        </w:numPr>
      </w:pPr>
      <w:bookmarkStart w:id="82" w:name="_Hlk214464341"/>
      <w:r>
        <w:rPr>
          <w:rFonts w:hint="eastAsia"/>
        </w:rPr>
        <w:t>ID-NAT重复2次检测或基因检测结果任一反应性</w:t>
      </w:r>
      <w:bookmarkEnd w:id="82"/>
      <w:r>
        <w:rPr>
          <w:rFonts w:hint="eastAsia"/>
        </w:rPr>
        <w:t>，</w:t>
      </w:r>
      <w:bookmarkStart w:id="83" w:name="_Hlk214464385"/>
      <w:r>
        <w:rPr>
          <w:rFonts w:hint="eastAsia"/>
        </w:rPr>
        <w:t>对献血者屏蔽4周后解除屏蔽，恢复献血资格</w:t>
      </w:r>
      <w:bookmarkEnd w:id="83"/>
      <w:r>
        <w:rPr>
          <w:rFonts w:hint="eastAsia"/>
        </w:rPr>
        <w:t>。</w:t>
      </w:r>
    </w:p>
    <w:p w14:paraId="1DAEDD5C">
      <w:pPr>
        <w:pStyle w:val="167"/>
      </w:pPr>
      <w:r>
        <w:rPr>
          <w:rFonts w:hint="eastAsia"/>
        </w:rPr>
        <w:t>DENV、CHIKV、ZIKV反应性献血者归队流程图见附录G。</w:t>
      </w:r>
    </w:p>
    <w:p w14:paraId="3030E7F3">
      <w:pPr>
        <w:pStyle w:val="105"/>
        <w:spacing w:before="156" w:after="156"/>
      </w:pPr>
      <w:r>
        <w:rPr>
          <w:rFonts w:hint="eastAsia"/>
        </w:rPr>
        <w:t>再次评估</w:t>
      </w:r>
    </w:p>
    <w:p w14:paraId="6BC68B48">
      <w:pPr>
        <w:pStyle w:val="56"/>
        <w:ind w:firstLine="420"/>
      </w:pPr>
      <w:r>
        <w:rPr>
          <w:rFonts w:hint="eastAsia"/>
        </w:rPr>
        <w:t>初次评估屏蔽至少</w:t>
      </w:r>
      <w:r>
        <w:rPr>
          <w:rFonts w:hint="eastAsia" w:ascii="宋体" w:hAnsi="宋体" w:cs="宋体"/>
          <w:kern w:val="2"/>
          <w:szCs w:val="21"/>
          <w:lang w:bidi="ar"/>
        </w:rPr>
        <w:t> </w:t>
      </w:r>
      <w:r>
        <w:rPr>
          <w:rFonts w:hint="eastAsia"/>
        </w:rPr>
        <w:t>3</w:t>
      </w:r>
      <w:r>
        <w:rPr>
          <w:rFonts w:hint="eastAsia" w:ascii="宋体" w:hAnsi="宋体" w:cs="宋体"/>
          <w:kern w:val="2"/>
          <w:szCs w:val="21"/>
          <w:lang w:bidi="ar"/>
        </w:rPr>
        <w:t> </w:t>
      </w:r>
      <w:r>
        <w:rPr>
          <w:rFonts w:hint="eastAsia"/>
        </w:rPr>
        <w:t>个月后进行再次评估流程，除蚊媒病以外，其他按现行无偿献血的经血传播感染病原体血液筛查项目检测，如所有检测项目结果无反应性则恢复献血资格，如任一项目结果反应性则永久屏蔽。</w:t>
      </w:r>
    </w:p>
    <w:p w14:paraId="4325383A">
      <w:pPr>
        <w:pStyle w:val="104"/>
        <w:spacing w:before="312" w:after="312"/>
      </w:pPr>
      <w:r>
        <w:rPr>
          <w:rFonts w:hint="eastAsia"/>
        </w:rPr>
        <w:t>归队告知与档案管理</w:t>
      </w:r>
    </w:p>
    <w:p w14:paraId="462927DD">
      <w:pPr>
        <w:pStyle w:val="105"/>
        <w:spacing w:before="156" w:after="156"/>
      </w:pPr>
      <w:r>
        <w:rPr>
          <w:rFonts w:hint="eastAsia"/>
        </w:rPr>
        <w:t xml:space="preserve">归队管理 </w:t>
      </w:r>
    </w:p>
    <w:p w14:paraId="66243BD1">
      <w:pPr>
        <w:pStyle w:val="65"/>
        <w:spacing w:before="156" w:after="156"/>
      </w:pPr>
      <w:r>
        <w:rPr>
          <w:rFonts w:hint="eastAsia"/>
        </w:rPr>
        <w:t>告知原则</w:t>
      </w:r>
    </w:p>
    <w:p w14:paraId="46B52336">
      <w:pPr>
        <w:pStyle w:val="56"/>
        <w:ind w:firstLine="420"/>
      </w:pPr>
      <w:r>
        <w:rPr>
          <w:rFonts w:hint="eastAsia"/>
        </w:rPr>
        <w:t>血站应遵循及时、准确、保密的原则，将献血者归队评估结果告知献血者本人，保障其充分知情权。</w:t>
      </w:r>
    </w:p>
    <w:p w14:paraId="278B5CD2">
      <w:pPr>
        <w:pStyle w:val="65"/>
        <w:spacing w:before="156" w:after="156"/>
      </w:pPr>
      <w:r>
        <w:rPr>
          <w:rFonts w:hint="eastAsia"/>
        </w:rPr>
        <w:t>告知事项</w:t>
      </w:r>
    </w:p>
    <w:p w14:paraId="254F60FE">
      <w:pPr>
        <w:pStyle w:val="56"/>
        <w:ind w:firstLine="420"/>
      </w:pPr>
      <w:r>
        <w:rPr>
          <w:rFonts w:hint="eastAsia"/>
        </w:rPr>
        <w:t>告知内容应包括但不限于：</w:t>
      </w:r>
    </w:p>
    <w:p w14:paraId="2F7F8D3D">
      <w:pPr>
        <w:pStyle w:val="174"/>
        <w:numPr>
          <w:ilvl w:val="0"/>
          <w:numId w:val="39"/>
        </w:numPr>
      </w:pPr>
      <w:r>
        <w:rPr>
          <w:rFonts w:hint="eastAsia"/>
        </w:rPr>
        <w:t>归队检测项目的检测结果；</w:t>
      </w:r>
    </w:p>
    <w:p w14:paraId="5C71F6BA">
      <w:pPr>
        <w:pStyle w:val="174"/>
        <w:numPr>
          <w:ilvl w:val="0"/>
          <w:numId w:val="39"/>
        </w:numPr>
      </w:pPr>
      <w:r>
        <w:rPr>
          <w:rFonts w:hint="eastAsia"/>
        </w:rPr>
        <w:t>基于检测结果的归队判定结论；</w:t>
      </w:r>
    </w:p>
    <w:p w14:paraId="6C677EAE">
      <w:pPr>
        <w:pStyle w:val="174"/>
        <w:numPr>
          <w:ilvl w:val="0"/>
          <w:numId w:val="39"/>
        </w:numPr>
      </w:pPr>
      <w:r>
        <w:rPr>
          <w:rFonts w:hint="eastAsia"/>
        </w:rPr>
        <w:t>后续献血资格的处理意见及依据；</w:t>
      </w:r>
    </w:p>
    <w:p w14:paraId="5A7CDB67">
      <w:pPr>
        <w:pStyle w:val="174"/>
        <w:numPr>
          <w:ilvl w:val="0"/>
          <w:numId w:val="39"/>
        </w:numPr>
      </w:pPr>
      <w:r>
        <w:rPr>
          <w:rFonts w:hint="eastAsia"/>
        </w:rPr>
        <w:t>必要的医学解释和咨询途径。</w:t>
      </w:r>
    </w:p>
    <w:p w14:paraId="7A3FC077">
      <w:pPr>
        <w:pStyle w:val="65"/>
        <w:spacing w:before="156" w:after="156"/>
      </w:pPr>
      <w:r>
        <w:rPr>
          <w:rFonts w:hint="eastAsia"/>
        </w:rPr>
        <w:t>告知方式</w:t>
      </w:r>
    </w:p>
    <w:p w14:paraId="0296E17A">
      <w:pPr>
        <w:pStyle w:val="56"/>
        <w:ind w:firstLine="420"/>
        <w:rPr>
          <w:rFonts w:ascii="宋体" w:hAnsi="宋体"/>
        </w:rPr>
      </w:pPr>
      <w:r>
        <w:rPr>
          <w:rFonts w:hint="eastAsia"/>
        </w:rPr>
        <w:t>血站</w:t>
      </w:r>
      <w:r>
        <w:rPr>
          <w:rFonts w:hint="eastAsia" w:ascii="宋体" w:hAnsi="宋体"/>
        </w:rPr>
        <w:t>应通过电话、短信、信函或当面告知等方式，将归队结果告知献血者本人。告知过程应有记录可查。涉及HIV检测结果的告知，应参照国家艾滋病检测相关管理规定执行，并提供必要的咨询和心理支持。</w:t>
      </w:r>
    </w:p>
    <w:p w14:paraId="3FC6A816">
      <w:pPr>
        <w:pStyle w:val="65"/>
        <w:spacing w:before="156" w:after="156"/>
      </w:pPr>
      <w:r>
        <w:rPr>
          <w:rFonts w:hint="eastAsia"/>
        </w:rPr>
        <w:t>知情权保障</w:t>
      </w:r>
    </w:p>
    <w:p w14:paraId="6C5D0EBC">
      <w:pPr>
        <w:pStyle w:val="56"/>
        <w:ind w:firstLine="420"/>
      </w:pPr>
      <w:r>
        <w:rPr>
          <w:rFonts w:hint="eastAsia"/>
        </w:rPr>
        <w:t>血站在归队评估前应向献血者充分说明归队流程、检测项目及意义、可能的结果及后续处理方式，并获得献血者的书面知情同意。归队检测结果仅用于评估献血资格，不得作为疾病诊断依据。</w:t>
      </w:r>
    </w:p>
    <w:p w14:paraId="2EEC2359">
      <w:pPr>
        <w:pStyle w:val="105"/>
        <w:spacing w:before="156" w:after="156"/>
      </w:pPr>
      <w:r>
        <w:rPr>
          <w:rFonts w:hint="eastAsia"/>
        </w:rPr>
        <w:t>档案管理要求</w:t>
      </w:r>
    </w:p>
    <w:p w14:paraId="473CC172">
      <w:pPr>
        <w:pStyle w:val="165"/>
      </w:pPr>
      <w:r>
        <w:rPr>
          <w:rFonts w:hint="eastAsia"/>
        </w:rPr>
        <w:t>归队档案的管理应符合国家有关档案管理和献血者信息保密的规定，确保档案的真实性、完整性和可追溯性。未经授权，任何单位和个人不得查阅、复制或泄露档案内容。</w:t>
      </w:r>
    </w:p>
    <w:p w14:paraId="47ADF609">
      <w:pPr>
        <w:pStyle w:val="165"/>
      </w:pPr>
      <w:r>
        <w:rPr>
          <w:rFonts w:hint="eastAsia"/>
        </w:rPr>
        <w:t>血站应为每位申请归队的献血者建立档案管理，档案信息应包括以下内容：</w:t>
      </w:r>
    </w:p>
    <w:p w14:paraId="71994D0F">
      <w:pPr>
        <w:pStyle w:val="174"/>
        <w:numPr>
          <w:ilvl w:val="0"/>
          <w:numId w:val="40"/>
        </w:numPr>
      </w:pPr>
      <w:r>
        <w:rPr>
          <w:rFonts w:hint="eastAsia"/>
        </w:rPr>
        <w:t>《献血者归队申请表》；</w:t>
      </w:r>
    </w:p>
    <w:p w14:paraId="07657FE7">
      <w:pPr>
        <w:pStyle w:val="174"/>
        <w:numPr>
          <w:ilvl w:val="0"/>
          <w:numId w:val="40"/>
        </w:numPr>
      </w:pPr>
      <w:r>
        <w:rPr>
          <w:rFonts w:hint="eastAsia"/>
        </w:rPr>
        <w:t>《知情同意书》；</w:t>
      </w:r>
    </w:p>
    <w:p w14:paraId="7C5B0A67">
      <w:pPr>
        <w:pStyle w:val="174"/>
        <w:numPr>
          <w:ilvl w:val="0"/>
          <w:numId w:val="40"/>
        </w:numPr>
        <w:rPr>
          <w:color w:val="000000" w:themeColor="text1"/>
          <w14:textFill>
            <w14:solidFill>
              <w14:schemeClr w14:val="tx1"/>
            </w14:solidFill>
          </w14:textFill>
        </w:rPr>
      </w:pPr>
      <w:r>
        <w:rPr>
          <w:rFonts w:hint="eastAsia"/>
        </w:rPr>
        <w:t>归队</w:t>
      </w:r>
      <w:r>
        <w:rPr>
          <w:rFonts w:hint="eastAsia"/>
          <w:color w:val="000000" w:themeColor="text1"/>
          <w14:textFill>
            <w14:solidFill>
              <w14:schemeClr w14:val="tx1"/>
            </w14:solidFill>
          </w14:textFill>
        </w:rPr>
        <w:t>检测结果记录；</w:t>
      </w:r>
    </w:p>
    <w:p w14:paraId="4D718648">
      <w:pPr>
        <w:pStyle w:val="174"/>
        <w:numPr>
          <w:ilvl w:val="0"/>
          <w:numId w:val="40"/>
        </w:numPr>
        <w:rPr>
          <w:color w:val="000000" w:themeColor="text1"/>
          <w14:textFill>
            <w14:solidFill>
              <w14:schemeClr w14:val="tx1"/>
            </w14:solidFill>
          </w14:textFill>
        </w:rPr>
      </w:pPr>
      <w:r>
        <w:rPr>
          <w:rFonts w:hint="eastAsia"/>
          <w:color w:val="000000" w:themeColor="text1"/>
          <w14:textFill>
            <w14:solidFill>
              <w14:schemeClr w14:val="tx1"/>
            </w14:solidFill>
          </w14:textFill>
        </w:rPr>
        <w:t>归队审核审批记录；</w:t>
      </w:r>
    </w:p>
    <w:p w14:paraId="7A368E48">
      <w:pPr>
        <w:pStyle w:val="174"/>
        <w:numPr>
          <w:ilvl w:val="0"/>
          <w:numId w:val="40"/>
        </w:numPr>
        <w:rPr>
          <w:color w:val="000000" w:themeColor="text1"/>
          <w14:textFill>
            <w14:solidFill>
              <w14:schemeClr w14:val="tx1"/>
            </w14:solidFill>
          </w14:textFill>
        </w:rPr>
      </w:pPr>
      <w:r>
        <w:rPr>
          <w:rFonts w:hint="eastAsia"/>
          <w:color w:val="000000" w:themeColor="text1"/>
          <w14:textFill>
            <w14:solidFill>
              <w14:schemeClr w14:val="tx1"/>
            </w14:solidFill>
          </w14:textFill>
        </w:rPr>
        <w:t>归队结果告知记录。</w:t>
      </w:r>
    </w:p>
    <w:p w14:paraId="05314C50">
      <w:pPr>
        <w:pStyle w:val="165"/>
        <w:rPr>
          <w:color w:val="000000" w:themeColor="text1"/>
          <w14:textFill>
            <w14:solidFill>
              <w14:schemeClr w14:val="tx1"/>
            </w14:solidFill>
          </w14:textFill>
        </w:rPr>
      </w:pPr>
      <w:r>
        <w:rPr>
          <w:rFonts w:hint="eastAsia"/>
          <w:color w:val="000000" w:themeColor="text1"/>
          <w14:textFill>
            <w14:solidFill>
              <w14:schemeClr w14:val="tx1"/>
            </w14:solidFill>
          </w14:textFill>
        </w:rPr>
        <w:t>归队管理档案的保存期限应参照血站献血者档案管理要求，自归档之日起不少于10年。保存形式可以是纸质档案或符合法律法规要求的电子档案。</w:t>
      </w:r>
    </w:p>
    <w:p w14:paraId="1B923AEF">
      <w:pPr>
        <w:pStyle w:val="56"/>
        <w:ind w:firstLine="420"/>
        <w:rPr>
          <w:color w:val="FF0000"/>
        </w:rPr>
      </w:pPr>
    </w:p>
    <w:p w14:paraId="53052306">
      <w:pPr>
        <w:pStyle w:val="56"/>
        <w:ind w:firstLine="420"/>
        <w:rPr>
          <w:color w:val="FF0000"/>
        </w:rPr>
      </w:pPr>
    </w:p>
    <w:p w14:paraId="6A8AE47D">
      <w:pPr>
        <w:pStyle w:val="56"/>
        <w:ind w:firstLine="420"/>
        <w:rPr>
          <w:color w:val="FF0000"/>
        </w:rPr>
      </w:pPr>
    </w:p>
    <w:p w14:paraId="0DB49D07">
      <w:pPr>
        <w:pStyle w:val="56"/>
        <w:ind w:firstLine="420"/>
        <w:rPr>
          <w:color w:val="FF0000"/>
        </w:rPr>
      </w:pPr>
    </w:p>
    <w:p w14:paraId="75CD3550">
      <w:pPr>
        <w:pStyle w:val="56"/>
        <w:ind w:firstLine="420"/>
        <w:rPr>
          <w:color w:val="FF0000"/>
        </w:rPr>
      </w:pPr>
    </w:p>
    <w:p w14:paraId="02D2AD93">
      <w:pPr>
        <w:pStyle w:val="56"/>
        <w:ind w:firstLine="420"/>
        <w:rPr>
          <w:color w:val="FF0000"/>
        </w:rPr>
      </w:pPr>
    </w:p>
    <w:p w14:paraId="71AD2898">
      <w:pPr>
        <w:pStyle w:val="56"/>
        <w:ind w:firstLine="420"/>
        <w:rPr>
          <w:color w:val="FF0000"/>
        </w:rPr>
      </w:pPr>
    </w:p>
    <w:p w14:paraId="19A82E62">
      <w:pPr>
        <w:pStyle w:val="56"/>
        <w:ind w:firstLine="420"/>
        <w:rPr>
          <w:color w:val="FF0000"/>
        </w:rPr>
      </w:pPr>
    </w:p>
    <w:p w14:paraId="316EF55F">
      <w:pPr>
        <w:pStyle w:val="56"/>
        <w:ind w:firstLine="420"/>
        <w:rPr>
          <w:color w:val="FF0000"/>
        </w:rPr>
      </w:pPr>
    </w:p>
    <w:p w14:paraId="545B2EA5">
      <w:pPr>
        <w:pStyle w:val="56"/>
        <w:ind w:firstLine="420"/>
        <w:rPr>
          <w:color w:val="FF0000"/>
        </w:rPr>
      </w:pPr>
    </w:p>
    <w:p w14:paraId="1353F2E0">
      <w:pPr>
        <w:pStyle w:val="56"/>
        <w:ind w:firstLine="420"/>
        <w:rPr>
          <w:color w:val="FF0000"/>
        </w:rPr>
      </w:pPr>
    </w:p>
    <w:p w14:paraId="6F61D943">
      <w:pPr>
        <w:pStyle w:val="56"/>
        <w:ind w:firstLine="420"/>
        <w:rPr>
          <w:color w:val="FF0000"/>
        </w:rPr>
      </w:pPr>
    </w:p>
    <w:p w14:paraId="32B03004">
      <w:pPr>
        <w:pStyle w:val="56"/>
        <w:ind w:firstLine="420"/>
        <w:rPr>
          <w:color w:val="FF0000"/>
        </w:rPr>
      </w:pPr>
    </w:p>
    <w:p w14:paraId="294322B5">
      <w:pPr>
        <w:pStyle w:val="56"/>
        <w:ind w:firstLine="420"/>
        <w:rPr>
          <w:color w:val="FF0000"/>
        </w:rPr>
      </w:pPr>
    </w:p>
    <w:bookmarkEnd w:id="22"/>
    <w:p w14:paraId="2CC00804">
      <w:pPr>
        <w:pStyle w:val="198"/>
        <w:rPr>
          <w:vanish w:val="0"/>
        </w:rPr>
      </w:pPr>
      <w:bookmarkStart w:id="84" w:name="BookMark5"/>
    </w:p>
    <w:p w14:paraId="0CB38197">
      <w:pPr>
        <w:pStyle w:val="199"/>
        <w:rPr>
          <w:vanish w:val="0"/>
        </w:rPr>
      </w:pPr>
    </w:p>
    <w:p w14:paraId="361ABDF1">
      <w:pPr>
        <w:pStyle w:val="76"/>
        <w:spacing w:after="156"/>
      </w:pPr>
      <w:r>
        <w:br w:type="textWrapping"/>
      </w:r>
      <w:r>
        <w:rPr>
          <w:rFonts w:hint="eastAsia"/>
        </w:rPr>
        <w:t>（资料性）</w:t>
      </w:r>
      <w:r>
        <w:br w:type="textWrapping"/>
      </w:r>
      <w:r>
        <w:rPr>
          <w:rFonts w:hint="eastAsia"/>
        </w:rPr>
        <w:t>HBV反应性献血者归队流程</w:t>
      </w:r>
    </w:p>
    <w:p w14:paraId="787BB02D">
      <w:pPr>
        <w:pStyle w:val="211"/>
      </w:pPr>
      <w:r>
        <w:rPr>
          <w:rFonts w:hint="eastAsia"/>
        </w:rPr>
        <w:t>HBV反应性献血者归队流程见图A.1。</w:t>
      </w:r>
    </w:p>
    <w:p w14:paraId="6010930F">
      <w:pPr>
        <w:pStyle w:val="56"/>
        <w:ind w:firstLine="420"/>
      </w:pPr>
      <w:r>
        <w:drawing>
          <wp:inline distT="0" distB="0" distL="0" distR="0">
            <wp:extent cx="5381625" cy="653415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381625" cy="6534150"/>
                    </a:xfrm>
                    <a:prstGeom prst="rect">
                      <a:avLst/>
                    </a:prstGeom>
                    <a:noFill/>
                    <a:ln>
                      <a:noFill/>
                    </a:ln>
                  </pic:spPr>
                </pic:pic>
              </a:graphicData>
            </a:graphic>
          </wp:inline>
        </w:drawing>
      </w:r>
    </w:p>
    <w:p w14:paraId="229F8981">
      <w:pPr>
        <w:pStyle w:val="83"/>
        <w:spacing w:before="156" w:after="156"/>
      </w:pPr>
      <w:r>
        <w:rPr>
          <w:rFonts w:hint="eastAsia"/>
        </w:rPr>
        <w:t>HBV反应性献血者归队流程图</w:t>
      </w:r>
    </w:p>
    <w:p w14:paraId="27BB4F64">
      <w:pPr>
        <w:pStyle w:val="56"/>
        <w:ind w:firstLine="420"/>
      </w:pPr>
    </w:p>
    <w:p w14:paraId="1327FDD0">
      <w:pPr>
        <w:pStyle w:val="56"/>
        <w:ind w:firstLine="0" w:firstLineChars="0"/>
      </w:pPr>
    </w:p>
    <w:p w14:paraId="2D23C01D">
      <w:pPr>
        <w:pStyle w:val="56"/>
        <w:ind w:firstLine="0" w:firstLineChars="0"/>
        <w:sectPr>
          <w:pgSz w:w="11906" w:h="16838"/>
          <w:pgMar w:top="1928" w:right="1134" w:bottom="1134" w:left="1134" w:header="1418" w:footer="1134" w:gutter="284"/>
          <w:cols w:space="425" w:num="1"/>
          <w:formProt w:val="0"/>
          <w:docGrid w:type="lines" w:linePitch="312" w:charSpace="0"/>
        </w:sectPr>
      </w:pPr>
    </w:p>
    <w:p w14:paraId="285422ED">
      <w:pPr>
        <w:pStyle w:val="198"/>
        <w:rPr>
          <w:vanish w:val="0"/>
        </w:rPr>
      </w:pPr>
    </w:p>
    <w:p w14:paraId="21286C2D">
      <w:pPr>
        <w:pStyle w:val="199"/>
        <w:rPr>
          <w:vanish w:val="0"/>
        </w:rPr>
      </w:pPr>
    </w:p>
    <w:p w14:paraId="7B984156">
      <w:pPr>
        <w:pStyle w:val="76"/>
        <w:spacing w:after="156"/>
      </w:pPr>
      <w:r>
        <w:br w:type="textWrapping"/>
      </w:r>
      <w:r>
        <w:rPr>
          <w:rFonts w:hint="eastAsia"/>
        </w:rPr>
        <w:t>（资料性）</w:t>
      </w:r>
      <w:r>
        <w:br w:type="textWrapping"/>
      </w:r>
      <w:r>
        <w:rPr>
          <w:rFonts w:hint="eastAsia"/>
        </w:rPr>
        <w:t>HCV反应性献血者归队流程</w:t>
      </w:r>
    </w:p>
    <w:p w14:paraId="10F2F83F">
      <w:pPr>
        <w:pStyle w:val="211"/>
      </w:pPr>
      <w:r>
        <w:rPr>
          <w:rFonts w:hint="eastAsia"/>
        </w:rPr>
        <w:t>HCV反应性献血者归队流程见图B.1。</w:t>
      </w:r>
    </w:p>
    <w:p w14:paraId="765AEDE9">
      <w:pPr>
        <w:pStyle w:val="56"/>
        <w:ind w:firstLine="420"/>
      </w:pPr>
      <w:r>
        <w:drawing>
          <wp:inline distT="0" distB="0" distL="0" distR="0">
            <wp:extent cx="5276850" cy="634365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76850" cy="6343650"/>
                    </a:xfrm>
                    <a:prstGeom prst="rect">
                      <a:avLst/>
                    </a:prstGeom>
                    <a:noFill/>
                    <a:ln>
                      <a:noFill/>
                    </a:ln>
                  </pic:spPr>
                </pic:pic>
              </a:graphicData>
            </a:graphic>
          </wp:inline>
        </w:drawing>
      </w:r>
    </w:p>
    <w:p w14:paraId="3B1DB95C">
      <w:pPr>
        <w:pStyle w:val="83"/>
        <w:spacing w:before="156" w:after="156"/>
      </w:pPr>
      <w:r>
        <w:rPr>
          <w:rFonts w:hint="eastAsia"/>
        </w:rPr>
        <w:t>H</w:t>
      </w:r>
      <w:r>
        <w:t>CV</w:t>
      </w:r>
      <w:r>
        <w:rPr>
          <w:rFonts w:hint="eastAsia"/>
        </w:rPr>
        <w:t>反应性献血者归队流程图</w:t>
      </w:r>
    </w:p>
    <w:p w14:paraId="35BBBEE3">
      <w:pPr>
        <w:pStyle w:val="56"/>
        <w:ind w:firstLine="420"/>
      </w:pPr>
    </w:p>
    <w:p w14:paraId="5D5E2386">
      <w:pPr>
        <w:pStyle w:val="56"/>
        <w:ind w:firstLine="420"/>
        <w:sectPr>
          <w:pgSz w:w="11906" w:h="16838"/>
          <w:pgMar w:top="1928" w:right="1134" w:bottom="1134" w:left="1134" w:header="1418" w:footer="1134" w:gutter="284"/>
          <w:cols w:space="425" w:num="1"/>
          <w:formProt w:val="0"/>
          <w:docGrid w:type="lines" w:linePitch="312" w:charSpace="0"/>
        </w:sectPr>
      </w:pPr>
    </w:p>
    <w:p w14:paraId="464B4484">
      <w:pPr>
        <w:pStyle w:val="198"/>
        <w:rPr>
          <w:vanish w:val="0"/>
        </w:rPr>
      </w:pPr>
    </w:p>
    <w:p w14:paraId="75D80DFB">
      <w:pPr>
        <w:pStyle w:val="199"/>
        <w:rPr>
          <w:vanish w:val="0"/>
        </w:rPr>
      </w:pPr>
    </w:p>
    <w:p w14:paraId="28811F25">
      <w:pPr>
        <w:pStyle w:val="76"/>
        <w:spacing w:after="156"/>
      </w:pPr>
      <w:r>
        <w:br w:type="textWrapping"/>
      </w:r>
      <w:r>
        <w:rPr>
          <w:rFonts w:hint="eastAsia"/>
        </w:rPr>
        <w:t>（资料性）</w:t>
      </w:r>
      <w:r>
        <w:br w:type="textWrapping"/>
      </w:r>
      <w:r>
        <w:rPr>
          <w:rFonts w:hint="eastAsia"/>
        </w:rPr>
        <w:t>HIV反应性献血者归队流程</w:t>
      </w:r>
    </w:p>
    <w:p w14:paraId="0B1892D9">
      <w:pPr>
        <w:pStyle w:val="211"/>
      </w:pPr>
      <w:r>
        <w:rPr>
          <w:rFonts w:hint="eastAsia"/>
        </w:rPr>
        <w:t>HIV反应性献血者归队流程见图C.1。</w:t>
      </w:r>
    </w:p>
    <w:p w14:paraId="3688F44F">
      <w:pPr>
        <w:pStyle w:val="56"/>
        <w:ind w:firstLine="420"/>
      </w:pPr>
      <w:r>
        <w:drawing>
          <wp:inline distT="0" distB="0" distL="114300" distR="114300">
            <wp:extent cx="5279390" cy="6534785"/>
            <wp:effectExtent l="0" t="0" r="0" b="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6"/>
                    <a:stretch>
                      <a:fillRect/>
                    </a:stretch>
                  </pic:blipFill>
                  <pic:spPr>
                    <a:xfrm>
                      <a:off x="0" y="0"/>
                      <a:ext cx="5279390" cy="6534785"/>
                    </a:xfrm>
                    <a:prstGeom prst="rect">
                      <a:avLst/>
                    </a:prstGeom>
                    <a:noFill/>
                    <a:ln>
                      <a:noFill/>
                    </a:ln>
                  </pic:spPr>
                </pic:pic>
              </a:graphicData>
            </a:graphic>
          </wp:inline>
        </w:drawing>
      </w:r>
    </w:p>
    <w:p w14:paraId="2EA3332F">
      <w:pPr>
        <w:pStyle w:val="83"/>
        <w:spacing w:before="156" w:after="156"/>
      </w:pPr>
      <w:r>
        <w:rPr>
          <w:rFonts w:hint="eastAsia"/>
        </w:rPr>
        <w:t>HIV反应性献血者归队流程图</w:t>
      </w:r>
    </w:p>
    <w:p w14:paraId="56C88FB1">
      <w:pPr>
        <w:pStyle w:val="56"/>
        <w:ind w:firstLine="420"/>
      </w:pPr>
    </w:p>
    <w:p w14:paraId="3BAA27CA">
      <w:pPr>
        <w:pStyle w:val="56"/>
        <w:ind w:firstLine="420"/>
      </w:pPr>
    </w:p>
    <w:p w14:paraId="00027D0D">
      <w:pPr>
        <w:pStyle w:val="56"/>
        <w:ind w:firstLine="420"/>
        <w:sectPr>
          <w:pgSz w:w="11906" w:h="16838"/>
          <w:pgMar w:top="1928" w:right="1134" w:bottom="1134" w:left="1134" w:header="1418" w:footer="1134" w:gutter="284"/>
          <w:cols w:space="425" w:num="1"/>
          <w:formProt w:val="0"/>
          <w:docGrid w:type="lines" w:linePitch="312" w:charSpace="0"/>
        </w:sectPr>
      </w:pPr>
    </w:p>
    <w:p w14:paraId="289D90DD">
      <w:pPr>
        <w:pStyle w:val="198"/>
        <w:rPr>
          <w:vanish w:val="0"/>
        </w:rPr>
      </w:pPr>
    </w:p>
    <w:p w14:paraId="50A24D21">
      <w:pPr>
        <w:pStyle w:val="199"/>
        <w:rPr>
          <w:vanish w:val="0"/>
        </w:rPr>
      </w:pPr>
    </w:p>
    <w:p w14:paraId="40EC2004">
      <w:pPr>
        <w:pStyle w:val="76"/>
        <w:spacing w:after="156"/>
      </w:pPr>
      <w:r>
        <w:br w:type="textWrapping"/>
      </w:r>
      <w:r>
        <w:rPr>
          <w:rFonts w:hint="eastAsia"/>
        </w:rPr>
        <w:t>（资料性）</w:t>
      </w:r>
      <w:r>
        <w:br w:type="textWrapping"/>
      </w:r>
      <w:r>
        <w:rPr>
          <w:rFonts w:hint="eastAsia"/>
        </w:rPr>
        <w:t>TP反应性献血者归队流程</w:t>
      </w:r>
    </w:p>
    <w:p w14:paraId="5C3CDC36">
      <w:pPr>
        <w:pStyle w:val="211"/>
      </w:pPr>
      <w:r>
        <w:rPr>
          <w:rFonts w:hint="eastAsia"/>
        </w:rPr>
        <w:t>TP反应性献血者归队流程见图D.1。</w:t>
      </w:r>
    </w:p>
    <w:p w14:paraId="12BC640E">
      <w:pPr>
        <w:pStyle w:val="56"/>
        <w:ind w:firstLine="420"/>
      </w:pPr>
      <w:r>
        <w:drawing>
          <wp:inline distT="0" distB="0" distL="0" distR="0">
            <wp:extent cx="5276850" cy="673417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76850" cy="6734175"/>
                    </a:xfrm>
                    <a:prstGeom prst="rect">
                      <a:avLst/>
                    </a:prstGeom>
                    <a:noFill/>
                    <a:ln>
                      <a:noFill/>
                    </a:ln>
                  </pic:spPr>
                </pic:pic>
              </a:graphicData>
            </a:graphic>
          </wp:inline>
        </w:drawing>
      </w:r>
    </w:p>
    <w:p w14:paraId="742DE6D9">
      <w:pPr>
        <w:pStyle w:val="83"/>
        <w:spacing w:before="156" w:after="156"/>
      </w:pPr>
      <w:r>
        <w:rPr>
          <w:rFonts w:hint="eastAsia"/>
        </w:rPr>
        <w:t>TP反应性献血者归队流程图</w:t>
      </w:r>
    </w:p>
    <w:p w14:paraId="1278B3C1">
      <w:pPr>
        <w:pStyle w:val="56"/>
        <w:ind w:firstLine="420"/>
      </w:pPr>
    </w:p>
    <w:p w14:paraId="4275F013">
      <w:pPr>
        <w:pStyle w:val="56"/>
        <w:ind w:firstLine="420"/>
        <w:sectPr>
          <w:pgSz w:w="11906" w:h="16838"/>
          <w:pgMar w:top="1928" w:right="1134" w:bottom="1134" w:left="1134" w:header="1418" w:footer="1134" w:gutter="284"/>
          <w:cols w:space="425" w:num="1"/>
          <w:formProt w:val="0"/>
          <w:docGrid w:type="lines" w:linePitch="312" w:charSpace="0"/>
        </w:sectPr>
      </w:pPr>
    </w:p>
    <w:p w14:paraId="64EFFF10">
      <w:pPr>
        <w:pStyle w:val="198"/>
        <w:rPr>
          <w:vanish w:val="0"/>
        </w:rPr>
      </w:pPr>
    </w:p>
    <w:p w14:paraId="36A7651A">
      <w:pPr>
        <w:pStyle w:val="199"/>
        <w:rPr>
          <w:vanish w:val="0"/>
        </w:rPr>
      </w:pPr>
    </w:p>
    <w:p w14:paraId="134346FB">
      <w:pPr>
        <w:pStyle w:val="76"/>
        <w:spacing w:after="156"/>
      </w:pPr>
      <w:r>
        <w:br w:type="textWrapping"/>
      </w:r>
      <w:r>
        <w:rPr>
          <w:rFonts w:hint="eastAsia"/>
        </w:rPr>
        <w:t>（资料性）</w:t>
      </w:r>
      <w:r>
        <w:br w:type="textWrapping"/>
      </w:r>
      <w:r>
        <w:rPr>
          <w:rFonts w:hint="eastAsia"/>
        </w:rPr>
        <w:t>HBV、HCV、HIV NAT联检反应性但NAT鉴别无反应性献血者归队流程</w:t>
      </w:r>
    </w:p>
    <w:p w14:paraId="6035507E">
      <w:pPr>
        <w:pStyle w:val="211"/>
      </w:pPr>
      <w:r>
        <w:rPr>
          <w:rFonts w:hint="eastAsia"/>
        </w:rPr>
        <w:t>HBV、HCV、HIV NAT联检反应性但NAT鉴别无反应性献血者归队流程见图E.1。</w:t>
      </w:r>
    </w:p>
    <w:p w14:paraId="620DEFFE">
      <w:pPr>
        <w:pStyle w:val="56"/>
        <w:ind w:firstLine="420"/>
      </w:pPr>
      <w:r>
        <w:drawing>
          <wp:inline distT="0" distB="0" distL="0" distR="0">
            <wp:extent cx="5276850" cy="614362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76850" cy="6143625"/>
                    </a:xfrm>
                    <a:prstGeom prst="rect">
                      <a:avLst/>
                    </a:prstGeom>
                    <a:noFill/>
                    <a:ln>
                      <a:noFill/>
                    </a:ln>
                  </pic:spPr>
                </pic:pic>
              </a:graphicData>
            </a:graphic>
          </wp:inline>
        </w:drawing>
      </w:r>
    </w:p>
    <w:p w14:paraId="4B8FA591">
      <w:pPr>
        <w:pStyle w:val="83"/>
        <w:spacing w:before="156" w:after="156"/>
      </w:pPr>
      <w:r>
        <w:rPr>
          <w:rFonts w:hint="eastAsia"/>
        </w:rPr>
        <w:t>HBV、HCV、HIV NAT联检反应性、NAT鉴别无反应性献血者归队流程图</w:t>
      </w:r>
    </w:p>
    <w:p w14:paraId="1A33AAE4">
      <w:pPr>
        <w:pStyle w:val="56"/>
        <w:ind w:firstLine="420"/>
      </w:pPr>
    </w:p>
    <w:p w14:paraId="7F9B814E">
      <w:pPr>
        <w:pStyle w:val="56"/>
        <w:ind w:firstLine="420"/>
        <w:sectPr>
          <w:pgSz w:w="11906" w:h="16838"/>
          <w:pgMar w:top="1928" w:right="1134" w:bottom="1134" w:left="1134" w:header="1418" w:footer="1134" w:gutter="284"/>
          <w:cols w:space="425" w:num="1"/>
          <w:formProt w:val="0"/>
          <w:docGrid w:type="lines" w:linePitch="312" w:charSpace="0"/>
        </w:sectPr>
      </w:pPr>
    </w:p>
    <w:p w14:paraId="7C343237">
      <w:pPr>
        <w:pStyle w:val="198"/>
        <w:rPr>
          <w:vanish w:val="0"/>
        </w:rPr>
      </w:pPr>
    </w:p>
    <w:p w14:paraId="20846DAF">
      <w:pPr>
        <w:pStyle w:val="199"/>
        <w:rPr>
          <w:vanish w:val="0"/>
        </w:rPr>
      </w:pPr>
    </w:p>
    <w:p w14:paraId="4162012F">
      <w:pPr>
        <w:pStyle w:val="76"/>
        <w:spacing w:after="156"/>
      </w:pPr>
      <w:r>
        <w:br w:type="textWrapping"/>
      </w:r>
      <w:r>
        <w:rPr>
          <w:rFonts w:hint="eastAsia"/>
        </w:rPr>
        <w:t>（资料性）</w:t>
      </w:r>
      <w:r>
        <w:br w:type="textWrapping"/>
      </w:r>
      <w:r>
        <w:rPr>
          <w:rFonts w:hint="eastAsia"/>
        </w:rPr>
        <w:t>HTLV反应性献血者归队流程</w:t>
      </w:r>
    </w:p>
    <w:p w14:paraId="10E9A7F5">
      <w:pPr>
        <w:pStyle w:val="211"/>
      </w:pPr>
      <w:r>
        <w:rPr>
          <w:rFonts w:hint="eastAsia"/>
        </w:rPr>
        <w:t>HTLV反应性献血者归队流程见图F.1。</w:t>
      </w:r>
    </w:p>
    <w:p w14:paraId="47B9F61D">
      <w:pPr>
        <w:pStyle w:val="56"/>
        <w:ind w:firstLine="420"/>
      </w:pPr>
      <w:r>
        <w:drawing>
          <wp:inline distT="0" distB="0" distL="0" distR="0">
            <wp:extent cx="5276850" cy="574357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76850" cy="5743575"/>
                    </a:xfrm>
                    <a:prstGeom prst="rect">
                      <a:avLst/>
                    </a:prstGeom>
                    <a:noFill/>
                    <a:ln>
                      <a:noFill/>
                    </a:ln>
                  </pic:spPr>
                </pic:pic>
              </a:graphicData>
            </a:graphic>
          </wp:inline>
        </w:drawing>
      </w:r>
    </w:p>
    <w:p w14:paraId="3F86C4C3">
      <w:pPr>
        <w:pStyle w:val="83"/>
        <w:spacing w:before="156" w:after="156"/>
      </w:pPr>
      <w:r>
        <w:rPr>
          <w:rFonts w:hint="eastAsia"/>
        </w:rPr>
        <w:t>HTLV反应性献血者归队流程图</w:t>
      </w:r>
    </w:p>
    <w:p w14:paraId="2E7744CC">
      <w:pPr>
        <w:pStyle w:val="56"/>
        <w:ind w:firstLine="420"/>
      </w:pPr>
    </w:p>
    <w:p w14:paraId="44637BE9">
      <w:pPr>
        <w:pStyle w:val="56"/>
        <w:ind w:firstLine="420"/>
        <w:sectPr>
          <w:pgSz w:w="11906" w:h="16838"/>
          <w:pgMar w:top="1928" w:right="1134" w:bottom="1134" w:left="1134" w:header="1418" w:footer="1134" w:gutter="284"/>
          <w:cols w:space="425" w:num="1"/>
          <w:formProt w:val="0"/>
          <w:docGrid w:type="lines" w:linePitch="312" w:charSpace="0"/>
        </w:sectPr>
      </w:pPr>
    </w:p>
    <w:p w14:paraId="3830F5C2">
      <w:pPr>
        <w:pStyle w:val="198"/>
        <w:rPr>
          <w:vanish w:val="0"/>
        </w:rPr>
      </w:pPr>
    </w:p>
    <w:p w14:paraId="763E3A57">
      <w:pPr>
        <w:pStyle w:val="199"/>
        <w:rPr>
          <w:vanish w:val="0"/>
        </w:rPr>
      </w:pPr>
    </w:p>
    <w:p w14:paraId="71D1AE0D">
      <w:pPr>
        <w:pStyle w:val="76"/>
        <w:spacing w:after="156"/>
      </w:pPr>
      <w:r>
        <w:br w:type="textWrapping"/>
      </w:r>
      <w:r>
        <w:rPr>
          <w:rFonts w:hint="eastAsia"/>
        </w:rPr>
        <w:t>（资料性）</w:t>
      </w:r>
      <w:r>
        <w:br w:type="textWrapping"/>
      </w:r>
      <w:r>
        <w:rPr>
          <w:rFonts w:hint="eastAsia"/>
        </w:rPr>
        <w:t>DENV、CHIKV、ZIKV反应性献血者归队流程</w:t>
      </w:r>
    </w:p>
    <w:p w14:paraId="7D503F85">
      <w:pPr>
        <w:pStyle w:val="211"/>
      </w:pPr>
      <w:r>
        <w:rPr>
          <w:rFonts w:hint="eastAsia"/>
        </w:rPr>
        <w:t>DENV、CHIKV、ZIKV反应性献血者归队流程见图G.1。</w:t>
      </w:r>
    </w:p>
    <w:p w14:paraId="381D11EC">
      <w:pPr>
        <w:pStyle w:val="56"/>
        <w:ind w:firstLine="420"/>
      </w:pPr>
      <w:r>
        <w:drawing>
          <wp:inline distT="0" distB="0" distL="0" distR="0">
            <wp:extent cx="5276850" cy="43624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276850" cy="4362450"/>
                    </a:xfrm>
                    <a:prstGeom prst="rect">
                      <a:avLst/>
                    </a:prstGeom>
                    <a:noFill/>
                    <a:ln>
                      <a:noFill/>
                    </a:ln>
                  </pic:spPr>
                </pic:pic>
              </a:graphicData>
            </a:graphic>
          </wp:inline>
        </w:drawing>
      </w:r>
    </w:p>
    <w:p w14:paraId="3995476B">
      <w:pPr>
        <w:pStyle w:val="83"/>
        <w:spacing w:before="156" w:after="156"/>
      </w:pPr>
      <w:r>
        <w:rPr>
          <w:rFonts w:hint="eastAsia"/>
        </w:rPr>
        <w:t>DENV、CHIKV、ZIKV反应性献血者归队流程图</w:t>
      </w:r>
    </w:p>
    <w:p w14:paraId="30804B4A">
      <w:pPr>
        <w:pStyle w:val="56"/>
        <w:ind w:firstLine="420"/>
      </w:pPr>
    </w:p>
    <w:p w14:paraId="01FEF377">
      <w:pPr>
        <w:pStyle w:val="56"/>
        <w:ind w:firstLine="420"/>
      </w:pPr>
    </w:p>
    <w:bookmarkEnd w:id="84"/>
    <w:p w14:paraId="215C9F46">
      <w:pPr>
        <w:pStyle w:val="56"/>
        <w:ind w:firstLine="420"/>
        <w:sectPr>
          <w:pgSz w:w="11906" w:h="16838"/>
          <w:pgMar w:top="1928" w:right="1134" w:bottom="1134" w:left="1134" w:header="1418" w:footer="1134" w:gutter="284"/>
          <w:cols w:space="425" w:num="1"/>
          <w:formProt w:val="0"/>
          <w:docGrid w:type="lines" w:linePitch="312" w:charSpace="0"/>
        </w:sectPr>
      </w:pPr>
      <w:bookmarkStart w:id="85" w:name="BookMark6"/>
    </w:p>
    <w:p w14:paraId="58B23C96">
      <w:pPr>
        <w:pStyle w:val="63"/>
        <w:spacing w:after="156"/>
      </w:pPr>
      <w:r>
        <w:rPr>
          <w:rFonts w:hint="eastAsia"/>
          <w:spacing w:val="105"/>
        </w:rPr>
        <w:t>参考文</w:t>
      </w:r>
      <w:r>
        <w:rPr>
          <w:rFonts w:hint="eastAsia"/>
        </w:rPr>
        <w:t>献</w:t>
      </w:r>
    </w:p>
    <w:p w14:paraId="0DCDFDC7">
      <w:pPr>
        <w:pStyle w:val="56"/>
        <w:numPr>
          <w:ilvl w:val="0"/>
          <w:numId w:val="41"/>
        </w:numPr>
        <w:ind w:firstLineChars="0"/>
      </w:pPr>
      <w:r>
        <w:rPr>
          <w:rFonts w:hint="eastAsia"/>
        </w:rPr>
        <w:t>GB 18467—2011  献血者健康检查要求</w:t>
      </w:r>
    </w:p>
    <w:p w14:paraId="0801D49E">
      <w:pPr>
        <w:pStyle w:val="56"/>
        <w:numPr>
          <w:ilvl w:val="0"/>
          <w:numId w:val="41"/>
        </w:numPr>
        <w:ind w:firstLineChars="0"/>
      </w:pPr>
      <w:r>
        <w:rPr>
          <w:rFonts w:hint="eastAsia"/>
        </w:rPr>
        <w:t>T/CSBT 002—201</w:t>
      </w:r>
      <w:r>
        <w:t>9</w:t>
      </w:r>
      <w:r>
        <w:rPr>
          <w:rFonts w:hint="eastAsia"/>
        </w:rPr>
        <w:t xml:space="preserve"> </w:t>
      </w:r>
      <w:r>
        <w:t xml:space="preserve"> </w:t>
      </w:r>
      <w:r>
        <w:rPr>
          <w:rFonts w:hint="eastAsia"/>
        </w:rPr>
        <w:t>血液筛查反应性献血者归队指南</w:t>
      </w:r>
    </w:p>
    <w:p w14:paraId="15AFF4A5">
      <w:pPr>
        <w:pStyle w:val="56"/>
        <w:numPr>
          <w:ilvl w:val="0"/>
          <w:numId w:val="41"/>
        </w:numPr>
        <w:ind w:firstLineChars="0"/>
      </w:pPr>
      <w:r>
        <w:rPr>
          <w:rFonts w:hint="eastAsia"/>
        </w:rPr>
        <w:t>《血站技术操作规程》（国卫医函〔2019〕98号）</w:t>
      </w:r>
    </w:p>
    <w:p w14:paraId="006DA295">
      <w:pPr>
        <w:pStyle w:val="56"/>
        <w:numPr>
          <w:ilvl w:val="0"/>
          <w:numId w:val="41"/>
        </w:numPr>
        <w:ind w:firstLineChars="0"/>
      </w:pPr>
      <w:r>
        <w:rPr>
          <w:rFonts w:hint="eastAsia"/>
        </w:rPr>
        <w:t>《血站基本标准》（卫医发〔2000〕448号）</w:t>
      </w:r>
    </w:p>
    <w:p w14:paraId="16F9D889">
      <w:pPr>
        <w:pStyle w:val="56"/>
        <w:numPr>
          <w:ilvl w:val="0"/>
          <w:numId w:val="41"/>
        </w:numPr>
        <w:ind w:firstLineChars="0"/>
      </w:pPr>
      <w:r>
        <w:rPr>
          <w:rFonts w:hint="eastAsia"/>
        </w:rPr>
        <w:t>《血站管理办法》（卫生部令第44号）</w:t>
      </w:r>
    </w:p>
    <w:p w14:paraId="20B35FBA">
      <w:pPr>
        <w:pStyle w:val="56"/>
        <w:numPr>
          <w:ilvl w:val="0"/>
          <w:numId w:val="41"/>
        </w:numPr>
        <w:ind w:firstLineChars="0"/>
      </w:pPr>
      <w:r>
        <w:rPr>
          <w:rFonts w:hint="eastAsia"/>
        </w:rPr>
        <w:t>《血站质量管理规范》（卫医发〔2006〕167号）</w:t>
      </w:r>
    </w:p>
    <w:p w14:paraId="1E338615">
      <w:pPr>
        <w:pStyle w:val="56"/>
        <w:numPr>
          <w:ilvl w:val="0"/>
          <w:numId w:val="41"/>
        </w:numPr>
        <w:ind w:firstLineChars="0"/>
      </w:pPr>
      <w:r>
        <w:rPr>
          <w:rFonts w:hint="eastAsia"/>
        </w:rPr>
        <w:t>《血站实验室质量管理规范》</w:t>
      </w:r>
      <w:r>
        <w:t xml:space="preserve"> </w:t>
      </w:r>
      <w:r>
        <w:rPr>
          <w:rFonts w:hint="eastAsia"/>
        </w:rPr>
        <w:t>（卫医发〔2006〕183号）</w:t>
      </w:r>
    </w:p>
    <w:p w14:paraId="6F8D8091">
      <w:pPr>
        <w:pStyle w:val="56"/>
        <w:ind w:left="420" w:firstLine="0" w:firstLineChars="0"/>
      </w:pPr>
    </w:p>
    <w:bookmarkEnd w:id="85"/>
    <w:p w14:paraId="50D2D395">
      <w:pPr>
        <w:pStyle w:val="56"/>
        <w:ind w:firstLine="0" w:firstLineChars="0"/>
        <w:jc w:val="center"/>
      </w:pPr>
      <w:bookmarkStart w:id="86" w:name="BookMark8"/>
      <w:r>
        <w:rPr>
          <w:rFonts w:hint="eastAsia"/>
        </w:rPr>
        <w:drawing>
          <wp:inline distT="0" distB="0" distL="114300" distR="114300">
            <wp:extent cx="1485900" cy="317500"/>
            <wp:effectExtent l="0" t="0" r="0" b="6350"/>
            <wp:docPr id="1" name="图片 1" descr="1"/>
            <wp:cNvGraphicFramePr/>
            <a:graphic xmlns:a="http://schemas.openxmlformats.org/drawingml/2006/main">
              <a:graphicData uri="http://schemas.openxmlformats.org/drawingml/2006/picture">
                <pic:pic xmlns:pic="http://schemas.openxmlformats.org/drawingml/2006/picture">
                  <pic:nvPicPr>
                    <pic:cNvPr id="1" name="图片 1" descr="1"/>
                    <pic:cNvPicPr/>
                  </pic:nvPicPr>
                  <pic:blipFill>
                    <a:blip r:embed="rId21"/>
                    <a:stretch>
                      <a:fillRect/>
                    </a:stretch>
                  </pic:blipFill>
                  <pic:spPr>
                    <a:xfrm>
                      <a:off x="0" y="0"/>
                      <a:ext cx="1485900" cy="317500"/>
                    </a:xfrm>
                    <a:prstGeom prst="rect">
                      <a:avLst/>
                    </a:prstGeom>
                  </pic:spPr>
                </pic:pic>
              </a:graphicData>
            </a:graphic>
          </wp:inline>
        </w:drawing>
      </w:r>
      <w:bookmarkEnd w:id="86"/>
    </w:p>
    <w:sectPr>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61046">
    <w:pPr>
      <w:pStyle w:val="17"/>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F01BE">
    <w:pPr>
      <w:pStyle w:val="17"/>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6E693">
    <w:pPr>
      <w:pStyle w:val="52"/>
    </w:pPr>
    <w:r>
      <w:fldChar w:fldCharType="begin"/>
    </w:r>
    <w:r>
      <w:instrText xml:space="preserve">PAGE   \* MERGEFORMAT</w:instrText>
    </w:r>
    <w:r>
      <w:fldChar w:fldCharType="separate"/>
    </w:r>
    <w:r>
      <w:rPr>
        <w:lang w:val="zh-CN"/>
      </w:rPr>
      <w:t>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997CB">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53381">
    <w:pPr>
      <w:pStyle w:val="18"/>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324B0">
    <w:pPr>
      <w:pStyle w:val="61"/>
    </w:pPr>
    <w:r>
      <w:fldChar w:fldCharType="begin"/>
    </w:r>
    <w:r>
      <w:instrText xml:space="preserve"> STYLEREF  标准文件_文件编号  \* MERGEFORMAT </w:instrText>
    </w:r>
    <w:r>
      <w:fldChar w:fldCharType="separate"/>
    </w:r>
    <w:r>
      <w:t>DB46/T XXXX—2025</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73A9D">
    <w:pPr>
      <w:pStyle w:val="18"/>
      <w:jc w:val="right"/>
      <w:rPr>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DB46/T XXXX—2025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7FB32"/>
    <w:multiLevelType w:val="multilevel"/>
    <w:tmpl w:val="8377FB32"/>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95027547"/>
    <w:multiLevelType w:val="multilevel"/>
    <w:tmpl w:val="95027547"/>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9A714AA3"/>
    <w:multiLevelType w:val="multilevel"/>
    <w:tmpl w:val="9A714AA3"/>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C56D5EA6"/>
    <w:multiLevelType w:val="multilevel"/>
    <w:tmpl w:val="C56D5EA6"/>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
    <w:nsid w:val="C9473CBC"/>
    <w:multiLevelType w:val="multilevel"/>
    <w:tmpl w:val="C9473CBC"/>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6">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7">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8">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0">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2">
    <w:nsid w:val="0E3918EA"/>
    <w:multiLevelType w:val="multilevel"/>
    <w:tmpl w:val="0E3918EA"/>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0EC8473F"/>
    <w:multiLevelType w:val="multilevel"/>
    <w:tmpl w:val="0EC8473F"/>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6">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7">
    <w:nsid w:val="248731A3"/>
    <w:multiLevelType w:val="multilevel"/>
    <w:tmpl w:val="248731A3"/>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8">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9">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0">
    <w:nsid w:val="38294694"/>
    <w:multiLevelType w:val="multilevel"/>
    <w:tmpl w:val="38294694"/>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2">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3">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4">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5">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6">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7">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5BA05A6D"/>
    <w:multiLevelType w:val="multilevel"/>
    <w:tmpl w:val="5BA05A6D"/>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9">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30">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1">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32">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3">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4">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283"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283"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283"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7">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8">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9">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36"/>
  </w:num>
  <w:num w:numId="3">
    <w:abstractNumId w:val="10"/>
  </w:num>
  <w:num w:numId="4">
    <w:abstractNumId w:val="32"/>
  </w:num>
  <w:num w:numId="5">
    <w:abstractNumId w:val="26"/>
  </w:num>
  <w:num w:numId="6">
    <w:abstractNumId w:val="21"/>
  </w:num>
  <w:num w:numId="7">
    <w:abstractNumId w:val="15"/>
  </w:num>
  <w:num w:numId="8">
    <w:abstractNumId w:val="8"/>
  </w:num>
  <w:num w:numId="9">
    <w:abstractNumId w:val="16"/>
  </w:num>
  <w:num w:numId="10">
    <w:abstractNumId w:val="24"/>
  </w:num>
  <w:num w:numId="11">
    <w:abstractNumId w:val="34"/>
  </w:num>
  <w:num w:numId="12">
    <w:abstractNumId w:val="19"/>
  </w:num>
  <w:num w:numId="13">
    <w:abstractNumId w:val="17"/>
  </w:num>
  <w:num w:numId="14">
    <w:abstractNumId w:val="14"/>
  </w:num>
  <w:num w:numId="15">
    <w:abstractNumId w:val="27"/>
  </w:num>
  <w:num w:numId="16">
    <w:abstractNumId w:val="30"/>
  </w:num>
  <w:num w:numId="17">
    <w:abstractNumId w:val="25"/>
  </w:num>
  <w:num w:numId="18">
    <w:abstractNumId w:val="38"/>
  </w:num>
  <w:num w:numId="19">
    <w:abstractNumId w:val="23"/>
  </w:num>
  <w:num w:numId="20">
    <w:abstractNumId w:val="6"/>
  </w:num>
  <w:num w:numId="21">
    <w:abstractNumId w:val="18"/>
  </w:num>
  <w:num w:numId="22">
    <w:abstractNumId w:val="39"/>
  </w:num>
  <w:num w:numId="23">
    <w:abstractNumId w:val="29"/>
  </w:num>
  <w:num w:numId="24">
    <w:abstractNumId w:val="11"/>
  </w:num>
  <w:num w:numId="25">
    <w:abstractNumId w:val="35"/>
  </w:num>
  <w:num w:numId="26">
    <w:abstractNumId w:val="37"/>
  </w:num>
  <w:num w:numId="27">
    <w:abstractNumId w:val="7"/>
  </w:num>
  <w:num w:numId="28">
    <w:abstractNumId w:val="9"/>
  </w:num>
  <w:num w:numId="29">
    <w:abstractNumId w:val="22"/>
  </w:num>
  <w:num w:numId="30">
    <w:abstractNumId w:val="33"/>
  </w:num>
  <w:num w:numId="31">
    <w:abstractNumId w:val="31"/>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attachedTemplate r:id="rId1"/>
  <w:documentProtection w:edit="forms"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091"/>
    <w:rsid w:val="0000040A"/>
    <w:rsid w:val="00000A94"/>
    <w:rsid w:val="00001972"/>
    <w:rsid w:val="00001D9A"/>
    <w:rsid w:val="00007B3A"/>
    <w:rsid w:val="00007D57"/>
    <w:rsid w:val="000107E0"/>
    <w:rsid w:val="000108FE"/>
    <w:rsid w:val="00010A38"/>
    <w:rsid w:val="00011FDE"/>
    <w:rsid w:val="00012FFD"/>
    <w:rsid w:val="00014162"/>
    <w:rsid w:val="00014340"/>
    <w:rsid w:val="00016A9C"/>
    <w:rsid w:val="00022184"/>
    <w:rsid w:val="00022762"/>
    <w:rsid w:val="000238E0"/>
    <w:rsid w:val="000249DB"/>
    <w:rsid w:val="0002595E"/>
    <w:rsid w:val="000303C3"/>
    <w:rsid w:val="000331D3"/>
    <w:rsid w:val="000346A5"/>
    <w:rsid w:val="000346EE"/>
    <w:rsid w:val="000359C3"/>
    <w:rsid w:val="00035A7D"/>
    <w:rsid w:val="000365ED"/>
    <w:rsid w:val="0004249A"/>
    <w:rsid w:val="00042F58"/>
    <w:rsid w:val="00043282"/>
    <w:rsid w:val="00044286"/>
    <w:rsid w:val="00045B59"/>
    <w:rsid w:val="00047F28"/>
    <w:rsid w:val="000501E7"/>
    <w:rsid w:val="000503AA"/>
    <w:rsid w:val="000506A1"/>
    <w:rsid w:val="000515DD"/>
    <w:rsid w:val="0005265A"/>
    <w:rsid w:val="000539DD"/>
    <w:rsid w:val="00053BBA"/>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12A0"/>
    <w:rsid w:val="00092B8A"/>
    <w:rsid w:val="00092FB0"/>
    <w:rsid w:val="000934C5"/>
    <w:rsid w:val="00093D25"/>
    <w:rsid w:val="00093DAB"/>
    <w:rsid w:val="00094D73"/>
    <w:rsid w:val="00096D63"/>
    <w:rsid w:val="000A0B60"/>
    <w:rsid w:val="000A0EB8"/>
    <w:rsid w:val="000A19FC"/>
    <w:rsid w:val="000A1A60"/>
    <w:rsid w:val="000A296B"/>
    <w:rsid w:val="000A3079"/>
    <w:rsid w:val="000A3098"/>
    <w:rsid w:val="000A7311"/>
    <w:rsid w:val="000B060F"/>
    <w:rsid w:val="000B1592"/>
    <w:rsid w:val="000B1FF2"/>
    <w:rsid w:val="000B3CDA"/>
    <w:rsid w:val="000B6A0B"/>
    <w:rsid w:val="000C0F6C"/>
    <w:rsid w:val="000C11DB"/>
    <w:rsid w:val="000C1492"/>
    <w:rsid w:val="000C2FBD"/>
    <w:rsid w:val="000C4493"/>
    <w:rsid w:val="000C4B41"/>
    <w:rsid w:val="000C57D6"/>
    <w:rsid w:val="000C6362"/>
    <w:rsid w:val="000C7666"/>
    <w:rsid w:val="000D0A9C"/>
    <w:rsid w:val="000D0B4F"/>
    <w:rsid w:val="000D1795"/>
    <w:rsid w:val="000D329A"/>
    <w:rsid w:val="000D4B9C"/>
    <w:rsid w:val="000D4EB6"/>
    <w:rsid w:val="000D753B"/>
    <w:rsid w:val="000E2E35"/>
    <w:rsid w:val="000E4BB4"/>
    <w:rsid w:val="000E4C9E"/>
    <w:rsid w:val="000E6FD7"/>
    <w:rsid w:val="000F06E1"/>
    <w:rsid w:val="000F0E3C"/>
    <w:rsid w:val="000F19D5"/>
    <w:rsid w:val="000F4AEA"/>
    <w:rsid w:val="000F633F"/>
    <w:rsid w:val="000F67E9"/>
    <w:rsid w:val="00104926"/>
    <w:rsid w:val="00105D5A"/>
    <w:rsid w:val="00113B1E"/>
    <w:rsid w:val="0011711C"/>
    <w:rsid w:val="0012059C"/>
    <w:rsid w:val="00124E4F"/>
    <w:rsid w:val="001260B7"/>
    <w:rsid w:val="001265CB"/>
    <w:rsid w:val="001321C6"/>
    <w:rsid w:val="001325C4"/>
    <w:rsid w:val="00133010"/>
    <w:rsid w:val="001338EE"/>
    <w:rsid w:val="00133AAE"/>
    <w:rsid w:val="00135323"/>
    <w:rsid w:val="001356C4"/>
    <w:rsid w:val="00136002"/>
    <w:rsid w:val="001371C8"/>
    <w:rsid w:val="00141114"/>
    <w:rsid w:val="00142969"/>
    <w:rsid w:val="001446C2"/>
    <w:rsid w:val="001457E7"/>
    <w:rsid w:val="00145A88"/>
    <w:rsid w:val="00145D9D"/>
    <w:rsid w:val="00146079"/>
    <w:rsid w:val="00146388"/>
    <w:rsid w:val="00147186"/>
    <w:rsid w:val="00151161"/>
    <w:rsid w:val="0015225F"/>
    <w:rsid w:val="001529E5"/>
    <w:rsid w:val="00152A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012C"/>
    <w:rsid w:val="001A1A53"/>
    <w:rsid w:val="001A234A"/>
    <w:rsid w:val="001A4CF3"/>
    <w:rsid w:val="001B065F"/>
    <w:rsid w:val="001B06E8"/>
    <w:rsid w:val="001B6444"/>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1F7AA2"/>
    <w:rsid w:val="00200183"/>
    <w:rsid w:val="00200333"/>
    <w:rsid w:val="0020107D"/>
    <w:rsid w:val="002027E0"/>
    <w:rsid w:val="00202AA4"/>
    <w:rsid w:val="002031F7"/>
    <w:rsid w:val="002040E6"/>
    <w:rsid w:val="0020527B"/>
    <w:rsid w:val="00205F2C"/>
    <w:rsid w:val="00210B15"/>
    <w:rsid w:val="002142EA"/>
    <w:rsid w:val="002204BB"/>
    <w:rsid w:val="00221B79"/>
    <w:rsid w:val="00221C6B"/>
    <w:rsid w:val="0022286F"/>
    <w:rsid w:val="002253A1"/>
    <w:rsid w:val="00225CF8"/>
    <w:rsid w:val="0022794E"/>
    <w:rsid w:val="002301C5"/>
    <w:rsid w:val="00233D64"/>
    <w:rsid w:val="002343E2"/>
    <w:rsid w:val="0023482A"/>
    <w:rsid w:val="002359CB"/>
    <w:rsid w:val="00235B26"/>
    <w:rsid w:val="002413F0"/>
    <w:rsid w:val="00243540"/>
    <w:rsid w:val="0024497B"/>
    <w:rsid w:val="0024515B"/>
    <w:rsid w:val="00246021"/>
    <w:rsid w:val="0024666E"/>
    <w:rsid w:val="00246946"/>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42EA"/>
    <w:rsid w:val="002C5278"/>
    <w:rsid w:val="002C7EBB"/>
    <w:rsid w:val="002D06C1"/>
    <w:rsid w:val="002D0BBC"/>
    <w:rsid w:val="002D42B5"/>
    <w:rsid w:val="002D4F1A"/>
    <w:rsid w:val="002D6EC6"/>
    <w:rsid w:val="002D79AC"/>
    <w:rsid w:val="002E039D"/>
    <w:rsid w:val="002E4D5A"/>
    <w:rsid w:val="002E6326"/>
    <w:rsid w:val="002E6396"/>
    <w:rsid w:val="002F30E0"/>
    <w:rsid w:val="002F319E"/>
    <w:rsid w:val="002F35E4"/>
    <w:rsid w:val="002F3730"/>
    <w:rsid w:val="002F38E1"/>
    <w:rsid w:val="002F7AF6"/>
    <w:rsid w:val="00300E63"/>
    <w:rsid w:val="00302F5F"/>
    <w:rsid w:val="0030441D"/>
    <w:rsid w:val="00306063"/>
    <w:rsid w:val="00313B85"/>
    <w:rsid w:val="00317988"/>
    <w:rsid w:val="00317FE2"/>
    <w:rsid w:val="003221B4"/>
    <w:rsid w:val="003223EE"/>
    <w:rsid w:val="0032258D"/>
    <w:rsid w:val="00322E62"/>
    <w:rsid w:val="00324D13"/>
    <w:rsid w:val="00324D2A"/>
    <w:rsid w:val="00324EDD"/>
    <w:rsid w:val="003331E4"/>
    <w:rsid w:val="00333DF3"/>
    <w:rsid w:val="00336C64"/>
    <w:rsid w:val="00337162"/>
    <w:rsid w:val="0034194F"/>
    <w:rsid w:val="00344605"/>
    <w:rsid w:val="003474AA"/>
    <w:rsid w:val="00350D1D"/>
    <w:rsid w:val="00352C83"/>
    <w:rsid w:val="0035436C"/>
    <w:rsid w:val="003615D2"/>
    <w:rsid w:val="0036429C"/>
    <w:rsid w:val="00364A53"/>
    <w:rsid w:val="003654CB"/>
    <w:rsid w:val="00365AA9"/>
    <w:rsid w:val="00365F86"/>
    <w:rsid w:val="00365F87"/>
    <w:rsid w:val="00366E89"/>
    <w:rsid w:val="003705F4"/>
    <w:rsid w:val="00370D58"/>
    <w:rsid w:val="00371316"/>
    <w:rsid w:val="00376713"/>
    <w:rsid w:val="003803A6"/>
    <w:rsid w:val="00381815"/>
    <w:rsid w:val="003819AF"/>
    <w:rsid w:val="003820E9"/>
    <w:rsid w:val="00382DE7"/>
    <w:rsid w:val="00384FFC"/>
    <w:rsid w:val="003872FC"/>
    <w:rsid w:val="00387651"/>
    <w:rsid w:val="00387ADC"/>
    <w:rsid w:val="00390020"/>
    <w:rsid w:val="003903D6"/>
    <w:rsid w:val="00390EE6"/>
    <w:rsid w:val="0039118F"/>
    <w:rsid w:val="00392A08"/>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D79C6"/>
    <w:rsid w:val="003E091D"/>
    <w:rsid w:val="003E1C53"/>
    <w:rsid w:val="003E2A69"/>
    <w:rsid w:val="003E2D49"/>
    <w:rsid w:val="003E2FD4"/>
    <w:rsid w:val="003E49F6"/>
    <w:rsid w:val="003E660F"/>
    <w:rsid w:val="003F0538"/>
    <w:rsid w:val="003F0841"/>
    <w:rsid w:val="003F23D3"/>
    <w:rsid w:val="003F3F08"/>
    <w:rsid w:val="003F49F1"/>
    <w:rsid w:val="003F6272"/>
    <w:rsid w:val="00400E72"/>
    <w:rsid w:val="00401400"/>
    <w:rsid w:val="00403407"/>
    <w:rsid w:val="00403420"/>
    <w:rsid w:val="00404869"/>
    <w:rsid w:val="00405884"/>
    <w:rsid w:val="00407D39"/>
    <w:rsid w:val="0041477A"/>
    <w:rsid w:val="004167A3"/>
    <w:rsid w:val="00424752"/>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AE4"/>
    <w:rsid w:val="00485C89"/>
    <w:rsid w:val="00486BE3"/>
    <w:rsid w:val="004871EF"/>
    <w:rsid w:val="004905E4"/>
    <w:rsid w:val="00490A89"/>
    <w:rsid w:val="00490AB4"/>
    <w:rsid w:val="00492F02"/>
    <w:rsid w:val="004939AE"/>
    <w:rsid w:val="004A12DF"/>
    <w:rsid w:val="004A17E6"/>
    <w:rsid w:val="004A1BA8"/>
    <w:rsid w:val="004A4B57"/>
    <w:rsid w:val="004A63FA"/>
    <w:rsid w:val="004B0272"/>
    <w:rsid w:val="004B1211"/>
    <w:rsid w:val="004B2701"/>
    <w:rsid w:val="004B2E1B"/>
    <w:rsid w:val="004B3AA8"/>
    <w:rsid w:val="004B3E93"/>
    <w:rsid w:val="004B41CB"/>
    <w:rsid w:val="004B5761"/>
    <w:rsid w:val="004B6234"/>
    <w:rsid w:val="004C0F6D"/>
    <w:rsid w:val="004C1FBC"/>
    <w:rsid w:val="004C3F1D"/>
    <w:rsid w:val="004C458D"/>
    <w:rsid w:val="004C7556"/>
    <w:rsid w:val="004C7E48"/>
    <w:rsid w:val="004C7E8B"/>
    <w:rsid w:val="004C7E9D"/>
    <w:rsid w:val="004C7F67"/>
    <w:rsid w:val="004D076D"/>
    <w:rsid w:val="004D0EF1"/>
    <w:rsid w:val="004D2253"/>
    <w:rsid w:val="004D3CE5"/>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0DBF"/>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430"/>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184C"/>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091"/>
    <w:rsid w:val="005B0F3F"/>
    <w:rsid w:val="005B4903"/>
    <w:rsid w:val="005B51CE"/>
    <w:rsid w:val="005B5885"/>
    <w:rsid w:val="005B5CD7"/>
    <w:rsid w:val="005B6CF6"/>
    <w:rsid w:val="005B7422"/>
    <w:rsid w:val="005C0386"/>
    <w:rsid w:val="005C29B8"/>
    <w:rsid w:val="005C5F21"/>
    <w:rsid w:val="005C7156"/>
    <w:rsid w:val="005D0C75"/>
    <w:rsid w:val="005D4171"/>
    <w:rsid w:val="005D6A95"/>
    <w:rsid w:val="005D6B2C"/>
    <w:rsid w:val="005D6D9C"/>
    <w:rsid w:val="005E2335"/>
    <w:rsid w:val="005E34CA"/>
    <w:rsid w:val="005E3C18"/>
    <w:rsid w:val="005E42AF"/>
    <w:rsid w:val="005E6812"/>
    <w:rsid w:val="005E74B1"/>
    <w:rsid w:val="005E7881"/>
    <w:rsid w:val="005E78E0"/>
    <w:rsid w:val="005F0D9C"/>
    <w:rsid w:val="005F284E"/>
    <w:rsid w:val="005F4712"/>
    <w:rsid w:val="006015CE"/>
    <w:rsid w:val="00604784"/>
    <w:rsid w:val="00606419"/>
    <w:rsid w:val="00607D29"/>
    <w:rsid w:val="00612952"/>
    <w:rsid w:val="0061393E"/>
    <w:rsid w:val="00614CC1"/>
    <w:rsid w:val="00615A9D"/>
    <w:rsid w:val="00617387"/>
    <w:rsid w:val="006205D6"/>
    <w:rsid w:val="006252D8"/>
    <w:rsid w:val="006259BC"/>
    <w:rsid w:val="0062636B"/>
    <w:rsid w:val="00627150"/>
    <w:rsid w:val="00631082"/>
    <w:rsid w:val="00632182"/>
    <w:rsid w:val="00632AE0"/>
    <w:rsid w:val="00633A07"/>
    <w:rsid w:val="00633C17"/>
    <w:rsid w:val="00634A2F"/>
    <w:rsid w:val="00634D9E"/>
    <w:rsid w:val="00636E3E"/>
    <w:rsid w:val="006379F7"/>
    <w:rsid w:val="00637E4D"/>
    <w:rsid w:val="00640620"/>
    <w:rsid w:val="00641A1F"/>
    <w:rsid w:val="00645904"/>
    <w:rsid w:val="00651ACB"/>
    <w:rsid w:val="00651C47"/>
    <w:rsid w:val="00651D62"/>
    <w:rsid w:val="00652AB2"/>
    <w:rsid w:val="00653FED"/>
    <w:rsid w:val="00654EC0"/>
    <w:rsid w:val="0065525B"/>
    <w:rsid w:val="00655D4F"/>
    <w:rsid w:val="00656D29"/>
    <w:rsid w:val="0066204D"/>
    <w:rsid w:val="00663F66"/>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435D"/>
    <w:rsid w:val="006850CD"/>
    <w:rsid w:val="00685AAB"/>
    <w:rsid w:val="00686520"/>
    <w:rsid w:val="00695D22"/>
    <w:rsid w:val="006A07AA"/>
    <w:rsid w:val="006A25E5"/>
    <w:rsid w:val="006A2B46"/>
    <w:rsid w:val="006A336D"/>
    <w:rsid w:val="006A37B9"/>
    <w:rsid w:val="006B2672"/>
    <w:rsid w:val="006B54BF"/>
    <w:rsid w:val="006B5F44"/>
    <w:rsid w:val="006B5F90"/>
    <w:rsid w:val="006B62E4"/>
    <w:rsid w:val="006C1BBA"/>
    <w:rsid w:val="006C2079"/>
    <w:rsid w:val="006C3F97"/>
    <w:rsid w:val="006C5A62"/>
    <w:rsid w:val="006C5D68"/>
    <w:rsid w:val="006C6976"/>
    <w:rsid w:val="006C6DD0"/>
    <w:rsid w:val="006D04EA"/>
    <w:rsid w:val="006D0AB7"/>
    <w:rsid w:val="006D16C4"/>
    <w:rsid w:val="006D3E96"/>
    <w:rsid w:val="006D4515"/>
    <w:rsid w:val="006D4BB1"/>
    <w:rsid w:val="006D6593"/>
    <w:rsid w:val="006D71D9"/>
    <w:rsid w:val="006E23EA"/>
    <w:rsid w:val="006E5152"/>
    <w:rsid w:val="006F03A8"/>
    <w:rsid w:val="006F2ACA"/>
    <w:rsid w:val="006F2ADC"/>
    <w:rsid w:val="006F2BFE"/>
    <w:rsid w:val="006F31E9"/>
    <w:rsid w:val="006F523B"/>
    <w:rsid w:val="006F6284"/>
    <w:rsid w:val="007002C5"/>
    <w:rsid w:val="007012DB"/>
    <w:rsid w:val="00704387"/>
    <w:rsid w:val="00707669"/>
    <w:rsid w:val="007101F6"/>
    <w:rsid w:val="00711CBA"/>
    <w:rsid w:val="00711FB5"/>
    <w:rsid w:val="00712A01"/>
    <w:rsid w:val="00714F58"/>
    <w:rsid w:val="0072137A"/>
    <w:rsid w:val="00722FBF"/>
    <w:rsid w:val="00722FC2"/>
    <w:rsid w:val="00724879"/>
    <w:rsid w:val="00724E1B"/>
    <w:rsid w:val="00725949"/>
    <w:rsid w:val="00727FA2"/>
    <w:rsid w:val="007322D9"/>
    <w:rsid w:val="00732BC0"/>
    <w:rsid w:val="00732DBF"/>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19BE"/>
    <w:rsid w:val="00752B4D"/>
    <w:rsid w:val="007537FD"/>
    <w:rsid w:val="00755402"/>
    <w:rsid w:val="0075569A"/>
    <w:rsid w:val="00756B26"/>
    <w:rsid w:val="00756EDF"/>
    <w:rsid w:val="007600E3"/>
    <w:rsid w:val="007622E7"/>
    <w:rsid w:val="00765C43"/>
    <w:rsid w:val="00765EFB"/>
    <w:rsid w:val="007671CA"/>
    <w:rsid w:val="00767C61"/>
    <w:rsid w:val="0077008A"/>
    <w:rsid w:val="00771F19"/>
    <w:rsid w:val="00773C1F"/>
    <w:rsid w:val="00774DA4"/>
    <w:rsid w:val="00776599"/>
    <w:rsid w:val="0078114B"/>
    <w:rsid w:val="00781DD2"/>
    <w:rsid w:val="00783ECF"/>
    <w:rsid w:val="0078413A"/>
    <w:rsid w:val="00794D71"/>
    <w:rsid w:val="007959E8"/>
    <w:rsid w:val="00795E9C"/>
    <w:rsid w:val="007969E9"/>
    <w:rsid w:val="007A0521"/>
    <w:rsid w:val="007A0A5D"/>
    <w:rsid w:val="007A2E12"/>
    <w:rsid w:val="007A3475"/>
    <w:rsid w:val="007A3918"/>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C6B94"/>
    <w:rsid w:val="007D06C4"/>
    <w:rsid w:val="007D1352"/>
    <w:rsid w:val="007D2508"/>
    <w:rsid w:val="007D29C6"/>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4237"/>
    <w:rsid w:val="00825138"/>
    <w:rsid w:val="008269DD"/>
    <w:rsid w:val="00830256"/>
    <w:rsid w:val="00830621"/>
    <w:rsid w:val="00831E46"/>
    <w:rsid w:val="0083348C"/>
    <w:rsid w:val="0083416C"/>
    <w:rsid w:val="00834973"/>
    <w:rsid w:val="008373D3"/>
    <w:rsid w:val="00840617"/>
    <w:rsid w:val="00840F84"/>
    <w:rsid w:val="00842A47"/>
    <w:rsid w:val="00843C13"/>
    <w:rsid w:val="008454F8"/>
    <w:rsid w:val="00846237"/>
    <w:rsid w:val="0085173A"/>
    <w:rsid w:val="00856316"/>
    <w:rsid w:val="008603CE"/>
    <w:rsid w:val="008620FC"/>
    <w:rsid w:val="008627A5"/>
    <w:rsid w:val="00863E05"/>
    <w:rsid w:val="008642E0"/>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44F"/>
    <w:rsid w:val="008B0C9C"/>
    <w:rsid w:val="008B166D"/>
    <w:rsid w:val="008B17F4"/>
    <w:rsid w:val="008B3615"/>
    <w:rsid w:val="008B4AC4"/>
    <w:rsid w:val="008B50C8"/>
    <w:rsid w:val="008B5281"/>
    <w:rsid w:val="008B7E05"/>
    <w:rsid w:val="008C0EEA"/>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2CB"/>
    <w:rsid w:val="008E6A84"/>
    <w:rsid w:val="008E78AA"/>
    <w:rsid w:val="008F0CDC"/>
    <w:rsid w:val="008F17A3"/>
    <w:rsid w:val="008F1ED3"/>
    <w:rsid w:val="008F23A5"/>
    <w:rsid w:val="008F4C29"/>
    <w:rsid w:val="008F70BD"/>
    <w:rsid w:val="008F73C4"/>
    <w:rsid w:val="008F788F"/>
    <w:rsid w:val="008F7EA2"/>
    <w:rsid w:val="00902722"/>
    <w:rsid w:val="009027BC"/>
    <w:rsid w:val="009057C1"/>
    <w:rsid w:val="009062E6"/>
    <w:rsid w:val="009104BD"/>
    <w:rsid w:val="00911BE5"/>
    <w:rsid w:val="00913BAF"/>
    <w:rsid w:val="00913CA9"/>
    <w:rsid w:val="009145AE"/>
    <w:rsid w:val="009146CE"/>
    <w:rsid w:val="00914CA7"/>
    <w:rsid w:val="00914F50"/>
    <w:rsid w:val="00915C3E"/>
    <w:rsid w:val="009161A8"/>
    <w:rsid w:val="009245F5"/>
    <w:rsid w:val="009249EC"/>
    <w:rsid w:val="00926E6E"/>
    <w:rsid w:val="009273B3"/>
    <w:rsid w:val="00927FC0"/>
    <w:rsid w:val="009305B5"/>
    <w:rsid w:val="00937D9F"/>
    <w:rsid w:val="00940F35"/>
    <w:rsid w:val="009429D5"/>
    <w:rsid w:val="00942BF1"/>
    <w:rsid w:val="00945180"/>
    <w:rsid w:val="009453DB"/>
    <w:rsid w:val="00945428"/>
    <w:rsid w:val="0094607B"/>
    <w:rsid w:val="00953604"/>
    <w:rsid w:val="00953E44"/>
    <w:rsid w:val="0095496B"/>
    <w:rsid w:val="009610DC"/>
    <w:rsid w:val="00961490"/>
    <w:rsid w:val="0096381A"/>
    <w:rsid w:val="00964670"/>
    <w:rsid w:val="00965E04"/>
    <w:rsid w:val="009674AD"/>
    <w:rsid w:val="00970CDC"/>
    <w:rsid w:val="009712FF"/>
    <w:rsid w:val="009754DE"/>
    <w:rsid w:val="00977010"/>
    <w:rsid w:val="00977D02"/>
    <w:rsid w:val="009809BB"/>
    <w:rsid w:val="0098122C"/>
    <w:rsid w:val="0098364B"/>
    <w:rsid w:val="00985CE6"/>
    <w:rsid w:val="009911AF"/>
    <w:rsid w:val="00991875"/>
    <w:rsid w:val="00991F92"/>
    <w:rsid w:val="00992985"/>
    <w:rsid w:val="00993889"/>
    <w:rsid w:val="0099551B"/>
    <w:rsid w:val="009963CE"/>
    <w:rsid w:val="00997BF1"/>
    <w:rsid w:val="009A089C"/>
    <w:rsid w:val="009A118E"/>
    <w:rsid w:val="009A21CD"/>
    <w:rsid w:val="009A278C"/>
    <w:rsid w:val="009A2BC2"/>
    <w:rsid w:val="009A2D0B"/>
    <w:rsid w:val="009A42C1"/>
    <w:rsid w:val="009A5429"/>
    <w:rsid w:val="009A72AD"/>
    <w:rsid w:val="009B09E0"/>
    <w:rsid w:val="009B0BC5"/>
    <w:rsid w:val="009B1247"/>
    <w:rsid w:val="009B46F9"/>
    <w:rsid w:val="009B6029"/>
    <w:rsid w:val="009B6971"/>
    <w:rsid w:val="009C27F1"/>
    <w:rsid w:val="009C3152"/>
    <w:rsid w:val="009C4CFA"/>
    <w:rsid w:val="009C5070"/>
    <w:rsid w:val="009C7D7E"/>
    <w:rsid w:val="009D112C"/>
    <w:rsid w:val="009D47FA"/>
    <w:rsid w:val="009D4C5B"/>
    <w:rsid w:val="009D50D2"/>
    <w:rsid w:val="009D6BCA"/>
    <w:rsid w:val="009E0F62"/>
    <w:rsid w:val="009E4A58"/>
    <w:rsid w:val="009E5A2D"/>
    <w:rsid w:val="009E5AB2"/>
    <w:rsid w:val="009E6219"/>
    <w:rsid w:val="009E7E6F"/>
    <w:rsid w:val="009F03B3"/>
    <w:rsid w:val="00A0096C"/>
    <w:rsid w:val="00A01757"/>
    <w:rsid w:val="00A0192B"/>
    <w:rsid w:val="00A028C0"/>
    <w:rsid w:val="00A02BAE"/>
    <w:rsid w:val="00A04D22"/>
    <w:rsid w:val="00A06A6B"/>
    <w:rsid w:val="00A07E47"/>
    <w:rsid w:val="00A129D0"/>
    <w:rsid w:val="00A12C33"/>
    <w:rsid w:val="00A138BA"/>
    <w:rsid w:val="00A14C8E"/>
    <w:rsid w:val="00A153D9"/>
    <w:rsid w:val="00A15F09"/>
    <w:rsid w:val="00A169B6"/>
    <w:rsid w:val="00A209DF"/>
    <w:rsid w:val="00A2271D"/>
    <w:rsid w:val="00A237D5"/>
    <w:rsid w:val="00A30EFC"/>
    <w:rsid w:val="00A31984"/>
    <w:rsid w:val="00A32D73"/>
    <w:rsid w:val="00A3367B"/>
    <w:rsid w:val="00A3597D"/>
    <w:rsid w:val="00A36DD1"/>
    <w:rsid w:val="00A4006C"/>
    <w:rsid w:val="00A40091"/>
    <w:rsid w:val="00A4030F"/>
    <w:rsid w:val="00A40720"/>
    <w:rsid w:val="00A41C79"/>
    <w:rsid w:val="00A41CB5"/>
    <w:rsid w:val="00A42CDF"/>
    <w:rsid w:val="00A431E0"/>
    <w:rsid w:val="00A4452E"/>
    <w:rsid w:val="00A4472C"/>
    <w:rsid w:val="00A44E69"/>
    <w:rsid w:val="00A4661E"/>
    <w:rsid w:val="00A46E25"/>
    <w:rsid w:val="00A55BD6"/>
    <w:rsid w:val="00A55D50"/>
    <w:rsid w:val="00A57142"/>
    <w:rsid w:val="00A62212"/>
    <w:rsid w:val="00A648CD"/>
    <w:rsid w:val="00A6537A"/>
    <w:rsid w:val="00A67866"/>
    <w:rsid w:val="00A70B07"/>
    <w:rsid w:val="00A723F8"/>
    <w:rsid w:val="00A75F19"/>
    <w:rsid w:val="00A77CCB"/>
    <w:rsid w:val="00A83D8D"/>
    <w:rsid w:val="00A8446B"/>
    <w:rsid w:val="00A8473F"/>
    <w:rsid w:val="00A862D6"/>
    <w:rsid w:val="00A8715E"/>
    <w:rsid w:val="00A90C6A"/>
    <w:rsid w:val="00A9295B"/>
    <w:rsid w:val="00A93B09"/>
    <w:rsid w:val="00A94247"/>
    <w:rsid w:val="00A952D7"/>
    <w:rsid w:val="00A963F7"/>
    <w:rsid w:val="00A96AD8"/>
    <w:rsid w:val="00AA052C"/>
    <w:rsid w:val="00AA1E45"/>
    <w:rsid w:val="00AA2028"/>
    <w:rsid w:val="00AA4286"/>
    <w:rsid w:val="00AA456B"/>
    <w:rsid w:val="00AA57F5"/>
    <w:rsid w:val="00AA672E"/>
    <w:rsid w:val="00AA6EC9"/>
    <w:rsid w:val="00AB3B52"/>
    <w:rsid w:val="00AB41D5"/>
    <w:rsid w:val="00AB6309"/>
    <w:rsid w:val="00AB6C5F"/>
    <w:rsid w:val="00AB7129"/>
    <w:rsid w:val="00AC27A6"/>
    <w:rsid w:val="00AC30F7"/>
    <w:rsid w:val="00AC3A5A"/>
    <w:rsid w:val="00AC4D95"/>
    <w:rsid w:val="00AC5DF4"/>
    <w:rsid w:val="00AD0AEF"/>
    <w:rsid w:val="00AD11B7"/>
    <w:rsid w:val="00AD1A94"/>
    <w:rsid w:val="00AD1C05"/>
    <w:rsid w:val="00AD39F1"/>
    <w:rsid w:val="00AD4126"/>
    <w:rsid w:val="00AD421C"/>
    <w:rsid w:val="00AD44FA"/>
    <w:rsid w:val="00AD4C7F"/>
    <w:rsid w:val="00AE070A"/>
    <w:rsid w:val="00AE101C"/>
    <w:rsid w:val="00AE37E5"/>
    <w:rsid w:val="00AE38E3"/>
    <w:rsid w:val="00AE4A60"/>
    <w:rsid w:val="00AE5B49"/>
    <w:rsid w:val="00AE5EB4"/>
    <w:rsid w:val="00AF0C18"/>
    <w:rsid w:val="00AF47C5"/>
    <w:rsid w:val="00AF5398"/>
    <w:rsid w:val="00AF783F"/>
    <w:rsid w:val="00B006B7"/>
    <w:rsid w:val="00B01BCA"/>
    <w:rsid w:val="00B03960"/>
    <w:rsid w:val="00B049AF"/>
    <w:rsid w:val="00B07242"/>
    <w:rsid w:val="00B10534"/>
    <w:rsid w:val="00B113DB"/>
    <w:rsid w:val="00B11D8A"/>
    <w:rsid w:val="00B12981"/>
    <w:rsid w:val="00B147DD"/>
    <w:rsid w:val="00B156FD"/>
    <w:rsid w:val="00B17A30"/>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F"/>
    <w:rsid w:val="00B62B58"/>
    <w:rsid w:val="00B65149"/>
    <w:rsid w:val="00B66567"/>
    <w:rsid w:val="00B66F52"/>
    <w:rsid w:val="00B66FE5"/>
    <w:rsid w:val="00B70FD4"/>
    <w:rsid w:val="00B72703"/>
    <w:rsid w:val="00B72880"/>
    <w:rsid w:val="00B74264"/>
    <w:rsid w:val="00B758BF"/>
    <w:rsid w:val="00B77EC8"/>
    <w:rsid w:val="00B82284"/>
    <w:rsid w:val="00B827A6"/>
    <w:rsid w:val="00B831CE"/>
    <w:rsid w:val="00B86677"/>
    <w:rsid w:val="00B87131"/>
    <w:rsid w:val="00B939B1"/>
    <w:rsid w:val="00B96D40"/>
    <w:rsid w:val="00B972C9"/>
    <w:rsid w:val="00B97386"/>
    <w:rsid w:val="00BA263B"/>
    <w:rsid w:val="00BA410A"/>
    <w:rsid w:val="00BA42B2"/>
    <w:rsid w:val="00BA58D4"/>
    <w:rsid w:val="00BA5B9E"/>
    <w:rsid w:val="00BA7C9A"/>
    <w:rsid w:val="00BB203B"/>
    <w:rsid w:val="00BB5F8F"/>
    <w:rsid w:val="00BB657A"/>
    <w:rsid w:val="00BC1A4E"/>
    <w:rsid w:val="00BC1B42"/>
    <w:rsid w:val="00BC4790"/>
    <w:rsid w:val="00BC5DC7"/>
    <w:rsid w:val="00BC6B8B"/>
    <w:rsid w:val="00BC73D8"/>
    <w:rsid w:val="00BD176A"/>
    <w:rsid w:val="00BD52D7"/>
    <w:rsid w:val="00BD5AD2"/>
    <w:rsid w:val="00BE22F3"/>
    <w:rsid w:val="00BE4108"/>
    <w:rsid w:val="00BE5B52"/>
    <w:rsid w:val="00BE7B8D"/>
    <w:rsid w:val="00BF0993"/>
    <w:rsid w:val="00BF10A9"/>
    <w:rsid w:val="00BF1703"/>
    <w:rsid w:val="00BF231C"/>
    <w:rsid w:val="00BF51E5"/>
    <w:rsid w:val="00BF6127"/>
    <w:rsid w:val="00BF74A6"/>
    <w:rsid w:val="00C001BB"/>
    <w:rsid w:val="00C013AD"/>
    <w:rsid w:val="00C02461"/>
    <w:rsid w:val="00C04904"/>
    <w:rsid w:val="00C056B3"/>
    <w:rsid w:val="00C103E5"/>
    <w:rsid w:val="00C13319"/>
    <w:rsid w:val="00C13E2E"/>
    <w:rsid w:val="00C13EE9"/>
    <w:rsid w:val="00C21540"/>
    <w:rsid w:val="00C21906"/>
    <w:rsid w:val="00C21BFA"/>
    <w:rsid w:val="00C22148"/>
    <w:rsid w:val="00C24C8D"/>
    <w:rsid w:val="00C25FE2"/>
    <w:rsid w:val="00C26B53"/>
    <w:rsid w:val="00C279B2"/>
    <w:rsid w:val="00C33E50"/>
    <w:rsid w:val="00C34C20"/>
    <w:rsid w:val="00C35A3E"/>
    <w:rsid w:val="00C37DFC"/>
    <w:rsid w:val="00C41FE7"/>
    <w:rsid w:val="00C42130"/>
    <w:rsid w:val="00C423A4"/>
    <w:rsid w:val="00C44BF5"/>
    <w:rsid w:val="00C4508A"/>
    <w:rsid w:val="00C521D6"/>
    <w:rsid w:val="00C55232"/>
    <w:rsid w:val="00C553A4"/>
    <w:rsid w:val="00C55A06"/>
    <w:rsid w:val="00C55D03"/>
    <w:rsid w:val="00C601BC"/>
    <w:rsid w:val="00C6329F"/>
    <w:rsid w:val="00C63340"/>
    <w:rsid w:val="00C643F9"/>
    <w:rsid w:val="00C64E95"/>
    <w:rsid w:val="00C71372"/>
    <w:rsid w:val="00C72410"/>
    <w:rsid w:val="00C7287F"/>
    <w:rsid w:val="00C72B29"/>
    <w:rsid w:val="00C75C7C"/>
    <w:rsid w:val="00C80982"/>
    <w:rsid w:val="00C80CB8"/>
    <w:rsid w:val="00C819F8"/>
    <w:rsid w:val="00C8248C"/>
    <w:rsid w:val="00C84E33"/>
    <w:rsid w:val="00C8574D"/>
    <w:rsid w:val="00C86D6F"/>
    <w:rsid w:val="00C905FC"/>
    <w:rsid w:val="00C92D03"/>
    <w:rsid w:val="00C9319C"/>
    <w:rsid w:val="00C9435D"/>
    <w:rsid w:val="00C94DF2"/>
    <w:rsid w:val="00C96741"/>
    <w:rsid w:val="00C9737B"/>
    <w:rsid w:val="00CA0764"/>
    <w:rsid w:val="00CA2D1B"/>
    <w:rsid w:val="00CA375D"/>
    <w:rsid w:val="00CA662A"/>
    <w:rsid w:val="00CA7AFD"/>
    <w:rsid w:val="00CA7C3C"/>
    <w:rsid w:val="00CB0189"/>
    <w:rsid w:val="00CB0BA2"/>
    <w:rsid w:val="00CB1A42"/>
    <w:rsid w:val="00CB1B0C"/>
    <w:rsid w:val="00CB2C0B"/>
    <w:rsid w:val="00CB517D"/>
    <w:rsid w:val="00CC038D"/>
    <w:rsid w:val="00CC08DB"/>
    <w:rsid w:val="00CC0DFB"/>
    <w:rsid w:val="00CC39FF"/>
    <w:rsid w:val="00CC3C2F"/>
    <w:rsid w:val="00CC4AC8"/>
    <w:rsid w:val="00CC5233"/>
    <w:rsid w:val="00CC5DE6"/>
    <w:rsid w:val="00CC6E4E"/>
    <w:rsid w:val="00CC6FE8"/>
    <w:rsid w:val="00CC70F5"/>
    <w:rsid w:val="00CC7202"/>
    <w:rsid w:val="00CD05CA"/>
    <w:rsid w:val="00CD2808"/>
    <w:rsid w:val="00CD28BF"/>
    <w:rsid w:val="00CD4092"/>
    <w:rsid w:val="00CD4A20"/>
    <w:rsid w:val="00CD50A1"/>
    <w:rsid w:val="00CD519E"/>
    <w:rsid w:val="00CD561D"/>
    <w:rsid w:val="00CE0C4F"/>
    <w:rsid w:val="00CE30EA"/>
    <w:rsid w:val="00CE451F"/>
    <w:rsid w:val="00CF048A"/>
    <w:rsid w:val="00CF155A"/>
    <w:rsid w:val="00CF2947"/>
    <w:rsid w:val="00CF686F"/>
    <w:rsid w:val="00CF6E60"/>
    <w:rsid w:val="00CF7BCA"/>
    <w:rsid w:val="00D008FD"/>
    <w:rsid w:val="00D00E46"/>
    <w:rsid w:val="00D0321C"/>
    <w:rsid w:val="00D035EC"/>
    <w:rsid w:val="00D06AB1"/>
    <w:rsid w:val="00D072ED"/>
    <w:rsid w:val="00D07A16"/>
    <w:rsid w:val="00D1067E"/>
    <w:rsid w:val="00D10F50"/>
    <w:rsid w:val="00D11219"/>
    <w:rsid w:val="00D11272"/>
    <w:rsid w:val="00D126F5"/>
    <w:rsid w:val="00D13B4D"/>
    <w:rsid w:val="00D1489E"/>
    <w:rsid w:val="00D15123"/>
    <w:rsid w:val="00D16886"/>
    <w:rsid w:val="00D20737"/>
    <w:rsid w:val="00D209B4"/>
    <w:rsid w:val="00D21C8A"/>
    <w:rsid w:val="00D21E81"/>
    <w:rsid w:val="00D223DE"/>
    <w:rsid w:val="00D25E37"/>
    <w:rsid w:val="00D2661A"/>
    <w:rsid w:val="00D27582"/>
    <w:rsid w:val="00D27EC4"/>
    <w:rsid w:val="00D32719"/>
    <w:rsid w:val="00D33333"/>
    <w:rsid w:val="00D33457"/>
    <w:rsid w:val="00D352A2"/>
    <w:rsid w:val="00D3660F"/>
    <w:rsid w:val="00D36737"/>
    <w:rsid w:val="00D4162B"/>
    <w:rsid w:val="00D4514F"/>
    <w:rsid w:val="00D451E2"/>
    <w:rsid w:val="00D45E89"/>
    <w:rsid w:val="00D45E8D"/>
    <w:rsid w:val="00D466AE"/>
    <w:rsid w:val="00D4734F"/>
    <w:rsid w:val="00D51BF3"/>
    <w:rsid w:val="00D54E40"/>
    <w:rsid w:val="00D632E7"/>
    <w:rsid w:val="00D6353A"/>
    <w:rsid w:val="00D66846"/>
    <w:rsid w:val="00D675FB"/>
    <w:rsid w:val="00D71F25"/>
    <w:rsid w:val="00D72A9C"/>
    <w:rsid w:val="00D77031"/>
    <w:rsid w:val="00D84941"/>
    <w:rsid w:val="00D84FA1"/>
    <w:rsid w:val="00D851F0"/>
    <w:rsid w:val="00D86DB7"/>
    <w:rsid w:val="00D877B4"/>
    <w:rsid w:val="00D87886"/>
    <w:rsid w:val="00D926D0"/>
    <w:rsid w:val="00D93030"/>
    <w:rsid w:val="00D950E1"/>
    <w:rsid w:val="00D952A6"/>
    <w:rsid w:val="00D95DA8"/>
    <w:rsid w:val="00D97F99"/>
    <w:rsid w:val="00DA016E"/>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C6FDB"/>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DF6DED"/>
    <w:rsid w:val="00E00706"/>
    <w:rsid w:val="00E01138"/>
    <w:rsid w:val="00E02DFB"/>
    <w:rsid w:val="00E030F9"/>
    <w:rsid w:val="00E0311A"/>
    <w:rsid w:val="00E03138"/>
    <w:rsid w:val="00E03E46"/>
    <w:rsid w:val="00E06404"/>
    <w:rsid w:val="00E065D2"/>
    <w:rsid w:val="00E07157"/>
    <w:rsid w:val="00E11A85"/>
    <w:rsid w:val="00E12495"/>
    <w:rsid w:val="00E15CCD"/>
    <w:rsid w:val="00E202EF"/>
    <w:rsid w:val="00E210B5"/>
    <w:rsid w:val="00E23D99"/>
    <w:rsid w:val="00E2552F"/>
    <w:rsid w:val="00E27214"/>
    <w:rsid w:val="00E3137A"/>
    <w:rsid w:val="00E32CCF"/>
    <w:rsid w:val="00E34A98"/>
    <w:rsid w:val="00E35D1E"/>
    <w:rsid w:val="00E364F9"/>
    <w:rsid w:val="00E365FA"/>
    <w:rsid w:val="00E36789"/>
    <w:rsid w:val="00E44A83"/>
    <w:rsid w:val="00E4533A"/>
    <w:rsid w:val="00E502C1"/>
    <w:rsid w:val="00E502DD"/>
    <w:rsid w:val="00E50D3A"/>
    <w:rsid w:val="00E51387"/>
    <w:rsid w:val="00E5164A"/>
    <w:rsid w:val="00E519B8"/>
    <w:rsid w:val="00E51BB4"/>
    <w:rsid w:val="00E51E68"/>
    <w:rsid w:val="00E52EFD"/>
    <w:rsid w:val="00E53788"/>
    <w:rsid w:val="00E5408A"/>
    <w:rsid w:val="00E56800"/>
    <w:rsid w:val="00E60C63"/>
    <w:rsid w:val="00E62FF9"/>
    <w:rsid w:val="00E635D6"/>
    <w:rsid w:val="00E639BC"/>
    <w:rsid w:val="00E664CC"/>
    <w:rsid w:val="00E70388"/>
    <w:rsid w:val="00E70F92"/>
    <w:rsid w:val="00E72109"/>
    <w:rsid w:val="00E74C54"/>
    <w:rsid w:val="00E77A03"/>
    <w:rsid w:val="00E822E8"/>
    <w:rsid w:val="00E82554"/>
    <w:rsid w:val="00E82606"/>
    <w:rsid w:val="00E827A7"/>
    <w:rsid w:val="00E8419E"/>
    <w:rsid w:val="00E846C8"/>
    <w:rsid w:val="00E84957"/>
    <w:rsid w:val="00E84A55"/>
    <w:rsid w:val="00E85BFF"/>
    <w:rsid w:val="00E90391"/>
    <w:rsid w:val="00E906C2"/>
    <w:rsid w:val="00E9311F"/>
    <w:rsid w:val="00E934D1"/>
    <w:rsid w:val="00E94AF0"/>
    <w:rsid w:val="00E95D13"/>
    <w:rsid w:val="00E95DD3"/>
    <w:rsid w:val="00E969D5"/>
    <w:rsid w:val="00EA0DFC"/>
    <w:rsid w:val="00EA58D1"/>
    <w:rsid w:val="00EA61BC"/>
    <w:rsid w:val="00EA681A"/>
    <w:rsid w:val="00EA735B"/>
    <w:rsid w:val="00EB17DE"/>
    <w:rsid w:val="00EB1E69"/>
    <w:rsid w:val="00EB2086"/>
    <w:rsid w:val="00EB574F"/>
    <w:rsid w:val="00EB5EDF"/>
    <w:rsid w:val="00EB60FE"/>
    <w:rsid w:val="00EB74DB"/>
    <w:rsid w:val="00EC5359"/>
    <w:rsid w:val="00EC562A"/>
    <w:rsid w:val="00EC652A"/>
    <w:rsid w:val="00ED067A"/>
    <w:rsid w:val="00ED2B50"/>
    <w:rsid w:val="00ED4858"/>
    <w:rsid w:val="00ED5BF6"/>
    <w:rsid w:val="00EE0350"/>
    <w:rsid w:val="00EE0719"/>
    <w:rsid w:val="00EE0E80"/>
    <w:rsid w:val="00EE54A6"/>
    <w:rsid w:val="00EE613F"/>
    <w:rsid w:val="00EE7295"/>
    <w:rsid w:val="00EE7869"/>
    <w:rsid w:val="00EF054A"/>
    <w:rsid w:val="00EF3235"/>
    <w:rsid w:val="00EF7E72"/>
    <w:rsid w:val="00F00147"/>
    <w:rsid w:val="00F01963"/>
    <w:rsid w:val="00F06D37"/>
    <w:rsid w:val="00F07B9D"/>
    <w:rsid w:val="00F11586"/>
    <w:rsid w:val="00F1183B"/>
    <w:rsid w:val="00F11C9F"/>
    <w:rsid w:val="00F12263"/>
    <w:rsid w:val="00F1409D"/>
    <w:rsid w:val="00F14214"/>
    <w:rsid w:val="00F157A9"/>
    <w:rsid w:val="00F25BB6"/>
    <w:rsid w:val="00F26B7E"/>
    <w:rsid w:val="00F278B7"/>
    <w:rsid w:val="00F27A3B"/>
    <w:rsid w:val="00F30B64"/>
    <w:rsid w:val="00F33817"/>
    <w:rsid w:val="00F420D5"/>
    <w:rsid w:val="00F43E11"/>
    <w:rsid w:val="00F451EA"/>
    <w:rsid w:val="00F45447"/>
    <w:rsid w:val="00F456C6"/>
    <w:rsid w:val="00F4577B"/>
    <w:rsid w:val="00F46496"/>
    <w:rsid w:val="00F474D0"/>
    <w:rsid w:val="00F50179"/>
    <w:rsid w:val="00F509B1"/>
    <w:rsid w:val="00F515EE"/>
    <w:rsid w:val="00F56511"/>
    <w:rsid w:val="00F6194E"/>
    <w:rsid w:val="00F623AC"/>
    <w:rsid w:val="00F6412A"/>
    <w:rsid w:val="00F65893"/>
    <w:rsid w:val="00F6597E"/>
    <w:rsid w:val="00F66A4A"/>
    <w:rsid w:val="00F71891"/>
    <w:rsid w:val="00F71E22"/>
    <w:rsid w:val="00F72142"/>
    <w:rsid w:val="00F72AE7"/>
    <w:rsid w:val="00F81141"/>
    <w:rsid w:val="00F833BA"/>
    <w:rsid w:val="00F84FD0"/>
    <w:rsid w:val="00F859A8"/>
    <w:rsid w:val="00F86D87"/>
    <w:rsid w:val="00F9108B"/>
    <w:rsid w:val="00F91349"/>
    <w:rsid w:val="00F93A8A"/>
    <w:rsid w:val="00F9461F"/>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CB7"/>
    <w:rsid w:val="00FC4090"/>
    <w:rsid w:val="00FC4AD6"/>
    <w:rsid w:val="00FC55B4"/>
    <w:rsid w:val="00FD00E6"/>
    <w:rsid w:val="00FD0133"/>
    <w:rsid w:val="00FD09A1"/>
    <w:rsid w:val="00FD1D83"/>
    <w:rsid w:val="00FD2A7C"/>
    <w:rsid w:val="00FD4039"/>
    <w:rsid w:val="00FD59EB"/>
    <w:rsid w:val="00FD7299"/>
    <w:rsid w:val="00FE1FBE"/>
    <w:rsid w:val="00FE3901"/>
    <w:rsid w:val="00FE39D3"/>
    <w:rsid w:val="00FE4BCE"/>
    <w:rsid w:val="00FE54AE"/>
    <w:rsid w:val="00FE576A"/>
    <w:rsid w:val="00FE7E79"/>
    <w:rsid w:val="00FF3E7D"/>
    <w:rsid w:val="00FF53A2"/>
    <w:rsid w:val="00FF5B99"/>
    <w:rsid w:val="00FF730C"/>
    <w:rsid w:val="00FF73F4"/>
    <w:rsid w:val="00FF7CE4"/>
    <w:rsid w:val="00FF7E39"/>
    <w:rsid w:val="014E1252"/>
    <w:rsid w:val="028A5150"/>
    <w:rsid w:val="028B7ABC"/>
    <w:rsid w:val="02913B65"/>
    <w:rsid w:val="045C155D"/>
    <w:rsid w:val="0524699F"/>
    <w:rsid w:val="05FA6F1D"/>
    <w:rsid w:val="06277B8D"/>
    <w:rsid w:val="091272E4"/>
    <w:rsid w:val="093D4C2B"/>
    <w:rsid w:val="0A737DDD"/>
    <w:rsid w:val="0AFF56E0"/>
    <w:rsid w:val="0C932489"/>
    <w:rsid w:val="0E98290F"/>
    <w:rsid w:val="10206139"/>
    <w:rsid w:val="11024B17"/>
    <w:rsid w:val="11E303CE"/>
    <w:rsid w:val="11E3705D"/>
    <w:rsid w:val="12151FB5"/>
    <w:rsid w:val="12D70244"/>
    <w:rsid w:val="139454AD"/>
    <w:rsid w:val="14863D96"/>
    <w:rsid w:val="16E12FC2"/>
    <w:rsid w:val="17F20725"/>
    <w:rsid w:val="191C4C03"/>
    <w:rsid w:val="19F5075E"/>
    <w:rsid w:val="1A7B73D1"/>
    <w:rsid w:val="1ACB4D32"/>
    <w:rsid w:val="1BBE376F"/>
    <w:rsid w:val="1D2E66AC"/>
    <w:rsid w:val="1F2508E4"/>
    <w:rsid w:val="1FD35FEC"/>
    <w:rsid w:val="205630F0"/>
    <w:rsid w:val="20652464"/>
    <w:rsid w:val="20954BDB"/>
    <w:rsid w:val="240E0F7D"/>
    <w:rsid w:val="25050C30"/>
    <w:rsid w:val="27124C97"/>
    <w:rsid w:val="286F17FF"/>
    <w:rsid w:val="2994233A"/>
    <w:rsid w:val="29BF021C"/>
    <w:rsid w:val="2A797F6F"/>
    <w:rsid w:val="2A9335EA"/>
    <w:rsid w:val="2B18148F"/>
    <w:rsid w:val="2BD54395"/>
    <w:rsid w:val="2CED3DDA"/>
    <w:rsid w:val="2D0B7011"/>
    <w:rsid w:val="30BF3ADC"/>
    <w:rsid w:val="30D26424"/>
    <w:rsid w:val="31D420C7"/>
    <w:rsid w:val="341224B6"/>
    <w:rsid w:val="361C28F4"/>
    <w:rsid w:val="36813DD6"/>
    <w:rsid w:val="36D7711F"/>
    <w:rsid w:val="37160A8C"/>
    <w:rsid w:val="37292B4B"/>
    <w:rsid w:val="37550D1A"/>
    <w:rsid w:val="37990BFB"/>
    <w:rsid w:val="388C54AA"/>
    <w:rsid w:val="3A936393"/>
    <w:rsid w:val="3B4544DC"/>
    <w:rsid w:val="3B847AC7"/>
    <w:rsid w:val="3D8C36BB"/>
    <w:rsid w:val="3D9B02DB"/>
    <w:rsid w:val="3EE22C65"/>
    <w:rsid w:val="3F6E4FAF"/>
    <w:rsid w:val="407707ED"/>
    <w:rsid w:val="40A56376"/>
    <w:rsid w:val="40B20C7A"/>
    <w:rsid w:val="41994F1A"/>
    <w:rsid w:val="43930209"/>
    <w:rsid w:val="462E1BF2"/>
    <w:rsid w:val="47683A8C"/>
    <w:rsid w:val="4B00242A"/>
    <w:rsid w:val="4CDB5C76"/>
    <w:rsid w:val="516E3AE8"/>
    <w:rsid w:val="525F10E1"/>
    <w:rsid w:val="549C3CA0"/>
    <w:rsid w:val="59AF1A83"/>
    <w:rsid w:val="5BC353D2"/>
    <w:rsid w:val="5C0C4088"/>
    <w:rsid w:val="5D9E6F62"/>
    <w:rsid w:val="5F8E3006"/>
    <w:rsid w:val="60EC436D"/>
    <w:rsid w:val="61C9607F"/>
    <w:rsid w:val="62A84159"/>
    <w:rsid w:val="65A65CF0"/>
    <w:rsid w:val="66996E60"/>
    <w:rsid w:val="67542A49"/>
    <w:rsid w:val="6852192B"/>
    <w:rsid w:val="694463C7"/>
    <w:rsid w:val="6ADF0BB9"/>
    <w:rsid w:val="6B4B3AA5"/>
    <w:rsid w:val="6D6E4C77"/>
    <w:rsid w:val="6F2F6427"/>
    <w:rsid w:val="700C7EB2"/>
    <w:rsid w:val="71213CDA"/>
    <w:rsid w:val="714D023F"/>
    <w:rsid w:val="71B30838"/>
    <w:rsid w:val="736B56E0"/>
    <w:rsid w:val="73DC2153"/>
    <w:rsid w:val="73F50590"/>
    <w:rsid w:val="73F866F1"/>
    <w:rsid w:val="743E45D7"/>
    <w:rsid w:val="76D57016"/>
    <w:rsid w:val="77C33FD9"/>
    <w:rsid w:val="78E24696"/>
    <w:rsid w:val="791D7C4B"/>
    <w:rsid w:val="7C536F77"/>
    <w:rsid w:val="7D442ADE"/>
    <w:rsid w:val="7F107DAC"/>
    <w:rsid w:val="7F2552DD"/>
    <w:rsid w:val="7FD5646C"/>
    <w:rsid w:val="7FE42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Char"/>
    <w:link w:val="2"/>
    <w:qFormat/>
    <w:uiPriority w:val="0"/>
    <w:rPr>
      <w:b/>
      <w:bCs/>
      <w:kern w:val="44"/>
      <w:sz w:val="44"/>
      <w:szCs w:val="44"/>
    </w:rPr>
  </w:style>
  <w:style w:type="character" w:customStyle="1" w:styleId="35">
    <w:name w:val="标题 2 Char"/>
    <w:link w:val="3"/>
    <w:qFormat/>
    <w:uiPriority w:val="0"/>
    <w:rPr>
      <w:rFonts w:ascii="Arial" w:hAnsi="Arial" w:eastAsia="黑体"/>
      <w:b/>
      <w:bCs/>
      <w:kern w:val="2"/>
      <w:sz w:val="32"/>
      <w:szCs w:val="32"/>
    </w:rPr>
  </w:style>
  <w:style w:type="character" w:customStyle="1" w:styleId="36">
    <w:name w:val="标题 3 Char"/>
    <w:link w:val="4"/>
    <w:qFormat/>
    <w:uiPriority w:val="0"/>
    <w:rPr>
      <w:b/>
      <w:bCs/>
      <w:kern w:val="2"/>
      <w:sz w:val="32"/>
      <w:szCs w:val="32"/>
    </w:rPr>
  </w:style>
  <w:style w:type="character" w:customStyle="1" w:styleId="37">
    <w:name w:val="标题 4 Char"/>
    <w:link w:val="5"/>
    <w:qFormat/>
    <w:uiPriority w:val="0"/>
    <w:rPr>
      <w:rFonts w:ascii="Arial" w:hAnsi="Arial" w:eastAsia="黑体"/>
      <w:b/>
      <w:bCs/>
      <w:kern w:val="2"/>
      <w:sz w:val="28"/>
      <w:szCs w:val="28"/>
    </w:rPr>
  </w:style>
  <w:style w:type="character" w:customStyle="1" w:styleId="38">
    <w:name w:val="标题 5 Char"/>
    <w:link w:val="6"/>
    <w:qFormat/>
    <w:uiPriority w:val="0"/>
    <w:rPr>
      <w:b/>
      <w:bCs/>
      <w:kern w:val="2"/>
      <w:sz w:val="28"/>
      <w:szCs w:val="28"/>
    </w:rPr>
  </w:style>
  <w:style w:type="character" w:customStyle="1" w:styleId="39">
    <w:name w:val="标题 6 Char"/>
    <w:link w:val="7"/>
    <w:qFormat/>
    <w:uiPriority w:val="0"/>
    <w:rPr>
      <w:rFonts w:ascii="Arial" w:hAnsi="Arial" w:eastAsia="黑体"/>
      <w:b/>
      <w:bCs/>
      <w:kern w:val="2"/>
      <w:sz w:val="24"/>
      <w:szCs w:val="24"/>
    </w:rPr>
  </w:style>
  <w:style w:type="character" w:customStyle="1" w:styleId="40">
    <w:name w:val="标题 7 Char"/>
    <w:link w:val="8"/>
    <w:qFormat/>
    <w:uiPriority w:val="0"/>
    <w:rPr>
      <w:b/>
      <w:bCs/>
      <w:kern w:val="2"/>
      <w:sz w:val="24"/>
      <w:szCs w:val="24"/>
    </w:rPr>
  </w:style>
  <w:style w:type="character" w:customStyle="1" w:styleId="41">
    <w:name w:val="标题 8 Char"/>
    <w:link w:val="9"/>
    <w:qFormat/>
    <w:uiPriority w:val="0"/>
    <w:rPr>
      <w:rFonts w:ascii="Arial" w:hAnsi="Arial" w:eastAsia="黑体"/>
      <w:kern w:val="2"/>
      <w:sz w:val="24"/>
      <w:szCs w:val="24"/>
    </w:rPr>
  </w:style>
  <w:style w:type="character" w:customStyle="1" w:styleId="42">
    <w:name w:val="标题 9 Char"/>
    <w:link w:val="10"/>
    <w:qFormat/>
    <w:uiPriority w:val="0"/>
    <w:rPr>
      <w:rFonts w:ascii="Arial" w:hAnsi="Arial" w:eastAsia="黑体"/>
      <w:kern w:val="2"/>
      <w:sz w:val="21"/>
      <w:szCs w:val="21"/>
    </w:rPr>
  </w:style>
  <w:style w:type="character" w:customStyle="1" w:styleId="43">
    <w:name w:val="页眉 Char"/>
    <w:link w:val="18"/>
    <w:qFormat/>
    <w:uiPriority w:val="99"/>
    <w:rPr>
      <w:kern w:val="2"/>
      <w:sz w:val="18"/>
      <w:szCs w:val="18"/>
    </w:rPr>
  </w:style>
  <w:style w:type="character" w:customStyle="1" w:styleId="44">
    <w:name w:val="页脚 Char"/>
    <w:link w:val="17"/>
    <w:qFormat/>
    <w:uiPriority w:val="99"/>
    <w:rPr>
      <w:rFonts w:ascii="宋体"/>
      <w:kern w:val="2"/>
      <w:sz w:val="18"/>
      <w:szCs w:val="18"/>
    </w:rPr>
  </w:style>
  <w:style w:type="character" w:customStyle="1" w:styleId="45">
    <w:name w:val="批注框文本 Char"/>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Char"/>
    <w:link w:val="46"/>
    <w:qFormat/>
    <w:uiPriority w:val="29"/>
    <w:rPr>
      <w:i/>
      <w:iCs/>
      <w:color w:val="000000"/>
      <w:kern w:val="2"/>
      <w:sz w:val="21"/>
      <w:szCs w:val="21"/>
    </w:rPr>
  </w:style>
  <w:style w:type="character" w:customStyle="1" w:styleId="48">
    <w:name w:val="标题 Char"/>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ind w:left="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Char"/>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ind w:left="0"/>
      <w:jc w:val="both"/>
      <w:outlineLvl w:val="4"/>
    </w:pPr>
    <w:rPr>
      <w:rFonts w:ascii="黑体" w:hAnsi="Times New Roman" w:eastAsia="黑体" w:cs="Times New Roman"/>
      <w:sz w:val="21"/>
      <w:lang w:val="en-US" w:eastAsia="zh-CN" w:bidi="ar-SA"/>
    </w:rPr>
  </w:style>
  <w:style w:type="character" w:customStyle="1" w:styleId="99">
    <w:name w:val="脚注文本 Char"/>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ind w:left="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Times New Roman"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style>
  <w:style w:type="paragraph" w:customStyle="1" w:styleId="189">
    <w:name w:val="标准文件_一级项2"/>
    <w:basedOn w:val="56"/>
    <w:qFormat/>
    <w:uiPriority w:val="0"/>
    <w:pPr>
      <w:numPr>
        <w:ilvl w:val="0"/>
        <w:numId w:val="31"/>
      </w:numPr>
      <w:spacing w:line="300" w:lineRule="exact"/>
      <w:ind w:firstLineChars="0"/>
    </w:p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glossaryDocument" Target="glossary/document.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9.jpeg"/><Relationship Id="rId20" Type="http://schemas.openxmlformats.org/officeDocument/2006/relationships/image" Target="media/image8.emf"/><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image" Target="media/image6.emf"/><Relationship Id="rId17" Type="http://schemas.openxmlformats.org/officeDocument/2006/relationships/image" Target="media/image5.emf"/><Relationship Id="rId16" Type="http://schemas.openxmlformats.org/officeDocument/2006/relationships/image" Target="media/image4.png"/><Relationship Id="rId15" Type="http://schemas.openxmlformats.org/officeDocument/2006/relationships/image" Target="media/image3.emf"/><Relationship Id="rId14" Type="http://schemas.openxmlformats.org/officeDocument/2006/relationships/image" Target="media/image2.emf"/><Relationship Id="rId13" Type="http://schemas.openxmlformats.org/officeDocument/2006/relationships/image" Target="media/image1.tiff"/><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F011DFECF0347C18E556C626944DD4E"/>
        <w:style w:val=""/>
        <w:category>
          <w:name w:val="常规"/>
          <w:gallery w:val="placeholder"/>
        </w:category>
        <w:types>
          <w:type w:val="bbPlcHdr"/>
        </w:types>
        <w:behaviors>
          <w:behavior w:val="content"/>
        </w:behaviors>
        <w:description w:val=""/>
        <w:guid w:val="{21C29413-A0BB-4712-93E5-1F5672EB2E00}"/>
      </w:docPartPr>
      <w:docPartBody>
        <w:p w14:paraId="20153AFA">
          <w:pPr>
            <w:pStyle w:val="5"/>
          </w:pPr>
          <w:r>
            <w:rPr>
              <w:rStyle w:val="4"/>
              <w:rFonts w:hint="eastAsia"/>
            </w:rPr>
            <w:t>单击或点击此处输入文字。</w:t>
          </w:r>
        </w:p>
      </w:docPartBody>
    </w:docPart>
    <w:docPart>
      <w:docPartPr>
        <w:name w:val="E0CCCA85ACEF4E57B1A8B1154615F5E3"/>
        <w:style w:val=""/>
        <w:category>
          <w:name w:val="常规"/>
          <w:gallery w:val="placeholder"/>
        </w:category>
        <w:types>
          <w:type w:val="bbPlcHdr"/>
        </w:types>
        <w:behaviors>
          <w:behavior w:val="content"/>
        </w:behaviors>
        <w:description w:val=""/>
        <w:guid w:val="{E6E99CD9-BB86-4EA4-BB1D-5810B6B16967}"/>
      </w:docPartPr>
      <w:docPartBody>
        <w:p w14:paraId="5D81C049">
          <w:pPr>
            <w:pStyle w:val="6"/>
          </w:pPr>
          <w:r>
            <w:rPr>
              <w:rStyle w:val="4"/>
              <w:rFonts w:hint="eastAsia"/>
            </w:rPr>
            <w:t>选择一项。</w:t>
          </w:r>
        </w:p>
      </w:docPartBody>
    </w:docPart>
    <w:docPart>
      <w:docPartPr>
        <w:name w:val="077A446E637546308D560CE6933EA321"/>
        <w:style w:val=""/>
        <w:category>
          <w:name w:val="常规"/>
          <w:gallery w:val="placeholder"/>
        </w:category>
        <w:types>
          <w:type w:val="bbPlcHdr"/>
        </w:types>
        <w:behaviors>
          <w:behavior w:val="content"/>
        </w:behaviors>
        <w:description w:val=""/>
        <w:guid w:val="{471856C2-E39F-46E0-994B-0C0EAD97228C}"/>
      </w:docPartPr>
      <w:docPartBody>
        <w:p w14:paraId="4C8C3188">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6DE"/>
    <w:rsid w:val="00010A38"/>
    <w:rsid w:val="000346EE"/>
    <w:rsid w:val="000A163B"/>
    <w:rsid w:val="000C3245"/>
    <w:rsid w:val="00147186"/>
    <w:rsid w:val="0028719B"/>
    <w:rsid w:val="002D46DE"/>
    <w:rsid w:val="002F319E"/>
    <w:rsid w:val="003256D1"/>
    <w:rsid w:val="00403420"/>
    <w:rsid w:val="0041555D"/>
    <w:rsid w:val="004515C1"/>
    <w:rsid w:val="004B1211"/>
    <w:rsid w:val="00522429"/>
    <w:rsid w:val="00544B1E"/>
    <w:rsid w:val="005919BB"/>
    <w:rsid w:val="006527AF"/>
    <w:rsid w:val="006C34C3"/>
    <w:rsid w:val="006F13CC"/>
    <w:rsid w:val="008142DC"/>
    <w:rsid w:val="00874967"/>
    <w:rsid w:val="008B60ED"/>
    <w:rsid w:val="008E0DB9"/>
    <w:rsid w:val="00953A4E"/>
    <w:rsid w:val="009649ED"/>
    <w:rsid w:val="009E7E6F"/>
    <w:rsid w:val="00A6225B"/>
    <w:rsid w:val="00A67B96"/>
    <w:rsid w:val="00AE5B49"/>
    <w:rsid w:val="00B6673B"/>
    <w:rsid w:val="00B871F9"/>
    <w:rsid w:val="00C75C7C"/>
    <w:rsid w:val="00CA3E59"/>
    <w:rsid w:val="00D16400"/>
    <w:rsid w:val="00D54E40"/>
    <w:rsid w:val="00E056E8"/>
    <w:rsid w:val="00EA3AB0"/>
    <w:rsid w:val="00F43E11"/>
    <w:rsid w:val="00FB5F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6F011DFECF0347C18E556C626944DD4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E0CCCA85ACEF4E57B1A8B1154615F5E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077A446E637546308D560CE6933EA321"/>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2080CA-E76C-4DDA-9EA1-4C5D64106782}">
  <ds:schemaRefs/>
</ds:datastoreItem>
</file>

<file path=docProps/app.xml><?xml version="1.0" encoding="utf-8"?>
<Properties xmlns="http://schemas.openxmlformats.org/officeDocument/2006/extended-properties" xmlns:vt="http://schemas.openxmlformats.org/officeDocument/2006/docPropsVTypes">
  <Template>地方标准</Template>
  <Pages>17</Pages>
  <Words>1468</Words>
  <Characters>1847</Characters>
  <Lines>51</Lines>
  <Paragraphs>14</Paragraphs>
  <TotalTime>9</TotalTime>
  <ScaleCrop>false</ScaleCrop>
  <LinksUpToDate>false</LinksUpToDate>
  <CharactersWithSpaces>1915</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2025-11-20T07:06:00Z</dcterms:created>
  <dc:creator>xy2024</dc:creator>
  <cp:lastModifiedBy>杳无音信</cp:lastModifiedBy>
  <cp:lastPrinted>2026-03-04T10:00:00Z</cp:lastPrinted>
  <dcterms:modified xsi:type="dcterms:W3CDTF">2026-03-10T01:39:22Z</dcterms:modified>
  <cp:revision>140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GB</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eyJoZGlkIjoiZjZhNjFiNDEwY2QxZjY1YmEwZmI0Yzc0NDU3ODYzMzUiLCJ1c2VySWQiOiI1OTA2MTU1OTUifQ==</vt:lpwstr>
  </property>
  <property fmtid="{D5CDD505-2E9C-101B-9397-08002B2CF9AE}" pid="15" name="KSOProductBuildVer">
    <vt:lpwstr>2052-12.1.0.25222</vt:lpwstr>
  </property>
  <property fmtid="{D5CDD505-2E9C-101B-9397-08002B2CF9AE}" pid="16" name="ICV">
    <vt:lpwstr>DB8A516DCED14A7DA660FC5FB9666CBE_13</vt:lpwstr>
  </property>
</Properties>
</file>