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10C591">
      <w:pPr>
        <w:spacing w:line="460" w:lineRule="exact"/>
        <w:ind w:firstLine="420" w:firstLineChars="200"/>
      </w:pPr>
    </w:p>
    <w:p w14:paraId="55201A59">
      <w:pPr>
        <w:spacing w:line="460" w:lineRule="exact"/>
        <w:ind w:firstLine="420" w:firstLineChars="200"/>
      </w:pPr>
    </w:p>
    <w:p w14:paraId="373B59A3">
      <w:pPr>
        <w:spacing w:line="460" w:lineRule="exact"/>
        <w:ind w:firstLine="420" w:firstLineChars="200"/>
      </w:pPr>
    </w:p>
    <w:p w14:paraId="363440C4">
      <w:pPr>
        <w:spacing w:line="460" w:lineRule="exact"/>
        <w:ind w:firstLine="420" w:firstLineChars="200"/>
      </w:pPr>
    </w:p>
    <w:p w14:paraId="70A8D554">
      <w:pPr>
        <w:spacing w:line="560" w:lineRule="exact"/>
        <w:ind w:firstLine="880" w:firstLineChars="200"/>
        <w:rPr>
          <w:rFonts w:ascii="方正小标宋简体" w:hAnsi="方正小标宋简体" w:eastAsia="方正小标宋简体" w:cs="方正小标宋简体"/>
          <w:sz w:val="44"/>
          <w:szCs w:val="44"/>
        </w:rPr>
      </w:pPr>
    </w:p>
    <w:p w14:paraId="4222D6C9">
      <w:pPr>
        <w:spacing w:line="700" w:lineRule="exact"/>
        <w:jc w:val="center"/>
        <w:rPr>
          <w:rFonts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海南省地方标准</w:t>
      </w:r>
    </w:p>
    <w:p w14:paraId="4AD2F755">
      <w:pPr>
        <w:spacing w:line="700" w:lineRule="exact"/>
        <w:jc w:val="center"/>
        <w:rPr>
          <w:rFonts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《血液筛查反应性献血者归队管理规范》</w:t>
      </w:r>
    </w:p>
    <w:p w14:paraId="60CE449A">
      <w:pPr>
        <w:spacing w:line="700" w:lineRule="exact"/>
        <w:jc w:val="center"/>
        <w:rPr>
          <w:rFonts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编制说明</w:t>
      </w:r>
    </w:p>
    <w:p w14:paraId="5EC48066">
      <w:pPr>
        <w:spacing w:line="700" w:lineRule="exact"/>
        <w:jc w:val="center"/>
        <w:rPr>
          <w:rFonts w:ascii="方正公文小标宋" w:hAnsi="方正公文小标宋" w:eastAsia="方正公文小标宋" w:cs="方正公文小标宋"/>
          <w:sz w:val="44"/>
          <w:szCs w:val="44"/>
        </w:rPr>
      </w:pPr>
      <w:r>
        <w:rPr>
          <w:rFonts w:hint="eastAsia" w:ascii="方正公文小标宋" w:hAnsi="方正公文小标宋" w:eastAsia="方正公文小标宋" w:cs="方正公文小标宋"/>
          <w:sz w:val="44"/>
          <w:szCs w:val="44"/>
        </w:rPr>
        <w:t>（征求意见稿）</w:t>
      </w:r>
    </w:p>
    <w:p w14:paraId="50C2B302">
      <w:pPr>
        <w:spacing w:line="460" w:lineRule="exact"/>
        <w:ind w:firstLine="420" w:firstLineChars="200"/>
        <w:rPr>
          <w:rFonts w:ascii="Times New Roman" w:hAnsi="Times New Roman" w:cs="Times New Roman"/>
        </w:rPr>
      </w:pPr>
    </w:p>
    <w:p w14:paraId="4FD1B0E1">
      <w:pPr>
        <w:spacing w:line="460" w:lineRule="exact"/>
        <w:ind w:firstLine="420" w:firstLineChars="200"/>
        <w:rPr>
          <w:rFonts w:ascii="Times New Roman" w:hAnsi="Times New Roman" w:cs="Times New Roman"/>
        </w:rPr>
      </w:pPr>
    </w:p>
    <w:p w14:paraId="11D63DD4">
      <w:pPr>
        <w:spacing w:line="460" w:lineRule="exact"/>
        <w:ind w:firstLine="420" w:firstLineChars="200"/>
        <w:rPr>
          <w:rFonts w:ascii="Times New Roman" w:hAnsi="Times New Roman" w:cs="Times New Roman"/>
        </w:rPr>
      </w:pPr>
    </w:p>
    <w:p w14:paraId="311FA5B9">
      <w:pPr>
        <w:spacing w:line="460" w:lineRule="exact"/>
        <w:ind w:firstLine="420" w:firstLineChars="200"/>
        <w:rPr>
          <w:rFonts w:ascii="Times New Roman" w:hAnsi="Times New Roman" w:cs="Times New Roman"/>
        </w:rPr>
      </w:pPr>
    </w:p>
    <w:p w14:paraId="16D2010D">
      <w:pPr>
        <w:spacing w:line="460" w:lineRule="exact"/>
        <w:ind w:firstLine="420" w:firstLineChars="200"/>
        <w:rPr>
          <w:rFonts w:ascii="Times New Roman" w:hAnsi="Times New Roman" w:cs="Times New Roman"/>
        </w:rPr>
      </w:pPr>
    </w:p>
    <w:p w14:paraId="1BD844C8">
      <w:pPr>
        <w:spacing w:line="460" w:lineRule="exact"/>
        <w:ind w:firstLine="420" w:firstLineChars="200"/>
        <w:rPr>
          <w:rFonts w:ascii="Times New Roman" w:hAnsi="Times New Roman" w:cs="Times New Roman"/>
        </w:rPr>
      </w:pPr>
    </w:p>
    <w:p w14:paraId="1E799446">
      <w:pPr>
        <w:spacing w:line="460" w:lineRule="exact"/>
        <w:ind w:firstLine="420" w:firstLineChars="200"/>
        <w:rPr>
          <w:rFonts w:ascii="Times New Roman" w:hAnsi="Times New Roman" w:cs="Times New Roman"/>
        </w:rPr>
      </w:pPr>
    </w:p>
    <w:p w14:paraId="4EF4B279">
      <w:pPr>
        <w:spacing w:line="460" w:lineRule="exact"/>
        <w:ind w:firstLine="420" w:firstLineChars="200"/>
        <w:rPr>
          <w:rFonts w:ascii="Times New Roman" w:hAnsi="Times New Roman" w:cs="Times New Roman"/>
        </w:rPr>
      </w:pPr>
    </w:p>
    <w:p w14:paraId="5D3FA579">
      <w:pPr>
        <w:spacing w:line="460" w:lineRule="exact"/>
        <w:ind w:firstLine="420" w:firstLineChars="200"/>
        <w:rPr>
          <w:rFonts w:ascii="Times New Roman" w:hAnsi="Times New Roman" w:cs="Times New Roman"/>
        </w:rPr>
      </w:pPr>
    </w:p>
    <w:p w14:paraId="3D8F2D01">
      <w:pPr>
        <w:spacing w:line="460" w:lineRule="exact"/>
        <w:ind w:firstLine="420" w:firstLineChars="200"/>
        <w:rPr>
          <w:rFonts w:ascii="Times New Roman" w:hAnsi="Times New Roman" w:cs="Times New Roman"/>
        </w:rPr>
      </w:pPr>
    </w:p>
    <w:p w14:paraId="449D8F86">
      <w:pPr>
        <w:spacing w:line="460" w:lineRule="exact"/>
        <w:ind w:firstLine="420" w:firstLineChars="200"/>
        <w:rPr>
          <w:rFonts w:ascii="Times New Roman" w:hAnsi="Times New Roman" w:cs="Times New Roman"/>
        </w:rPr>
      </w:pPr>
    </w:p>
    <w:p w14:paraId="415CC645">
      <w:pPr>
        <w:spacing w:line="460" w:lineRule="exact"/>
        <w:ind w:firstLine="420" w:firstLineChars="200"/>
        <w:rPr>
          <w:rFonts w:ascii="Times New Roman" w:hAnsi="Times New Roman" w:cs="Times New Roman"/>
        </w:rPr>
      </w:pPr>
    </w:p>
    <w:p w14:paraId="572E7A1B">
      <w:pPr>
        <w:spacing w:line="460" w:lineRule="exact"/>
        <w:ind w:firstLine="420" w:firstLineChars="200"/>
        <w:rPr>
          <w:rFonts w:ascii="Times New Roman" w:hAnsi="Times New Roman" w:cs="Times New Roman"/>
        </w:rPr>
      </w:pPr>
    </w:p>
    <w:p w14:paraId="26BC720C">
      <w:pPr>
        <w:spacing w:line="460" w:lineRule="exact"/>
        <w:ind w:firstLine="420" w:firstLineChars="200"/>
        <w:rPr>
          <w:rFonts w:ascii="Times New Roman" w:hAnsi="Times New Roman" w:cs="Times New Roman"/>
        </w:rPr>
      </w:pPr>
    </w:p>
    <w:p w14:paraId="3433C9EA">
      <w:pPr>
        <w:spacing w:line="700" w:lineRule="exact"/>
        <w:jc w:val="center"/>
        <w:rPr>
          <w:rFonts w:ascii="宋体" w:hAnsi="宋体" w:cs="宋体"/>
          <w:sz w:val="32"/>
          <w:szCs w:val="32"/>
        </w:rPr>
      </w:pPr>
      <w:r>
        <w:rPr>
          <w:rFonts w:hint="eastAsia" w:ascii="宋体" w:hAnsi="宋体" w:cs="宋体"/>
          <w:sz w:val="32"/>
          <w:szCs w:val="32"/>
        </w:rPr>
        <w:t>海南省血液中心</w:t>
      </w:r>
    </w:p>
    <w:p w14:paraId="0F355380">
      <w:pPr>
        <w:spacing w:line="700" w:lineRule="exact"/>
        <w:jc w:val="center"/>
        <w:rPr>
          <w:rFonts w:ascii="宋体" w:hAnsi="宋体" w:cs="方正小标宋简体"/>
          <w:sz w:val="32"/>
          <w:szCs w:val="32"/>
        </w:rPr>
      </w:pPr>
      <w:r>
        <w:rPr>
          <w:rFonts w:hint="eastAsia" w:ascii="宋体" w:hAnsi="宋体" w:cs="方正小标宋简体"/>
          <w:sz w:val="32"/>
          <w:szCs w:val="32"/>
        </w:rPr>
        <w:t>2026年3月</w:t>
      </w:r>
    </w:p>
    <w:p w14:paraId="3E6A33C6">
      <w:pPr>
        <w:spacing w:line="700" w:lineRule="exact"/>
        <w:jc w:val="center"/>
        <w:rPr>
          <w:rFonts w:ascii="宋体" w:hAnsi="宋体" w:cs="宋体"/>
          <w:sz w:val="32"/>
          <w:szCs w:val="32"/>
        </w:rPr>
        <w:sectPr>
          <w:pgSz w:w="11906" w:h="16838"/>
          <w:pgMar w:top="1440" w:right="1800" w:bottom="1440" w:left="1800" w:header="851" w:footer="992" w:gutter="0"/>
          <w:cols w:space="425" w:num="1"/>
          <w:docGrid w:type="lines" w:linePitch="312" w:charSpace="0"/>
        </w:sectPr>
      </w:pPr>
    </w:p>
    <w:sdt>
      <w:sdtPr>
        <w:rPr>
          <w:rFonts w:ascii="宋体" w:hAnsi="宋体"/>
          <w:sz w:val="32"/>
          <w:szCs w:val="32"/>
        </w:rPr>
        <w:id w:val="147465250"/>
        <w:docPartObj>
          <w:docPartGallery w:val="Table of Contents"/>
          <w:docPartUnique/>
        </w:docPartObj>
      </w:sdtPr>
      <w:sdtEndPr>
        <w:rPr>
          <w:rFonts w:hint="eastAsia" w:ascii="方正小标宋简体" w:hAnsi="方正小标宋简体" w:eastAsia="方正小标宋简体" w:cs="方正小标宋简体"/>
          <w:sz w:val="21"/>
          <w:szCs w:val="44"/>
        </w:rPr>
      </w:sdtEndPr>
      <w:sdtContent>
        <w:p w14:paraId="2258A0F1">
          <w:pPr>
            <w:jc w:val="center"/>
            <w:rPr>
              <w:sz w:val="32"/>
              <w:szCs w:val="32"/>
            </w:rPr>
          </w:pPr>
          <w:r>
            <w:rPr>
              <w:rFonts w:ascii="宋体" w:hAnsi="宋体"/>
              <w:sz w:val="32"/>
              <w:szCs w:val="32"/>
            </w:rPr>
            <w:t>目录</w:t>
          </w:r>
        </w:p>
        <w:p w14:paraId="4F754071">
          <w:pPr>
            <w:pStyle w:val="11"/>
            <w:tabs>
              <w:tab w:val="right" w:leader="dot" w:pos="8296"/>
            </w:tabs>
            <w:rPr>
              <w:rFonts w:asciiTheme="minorHAnsi" w:hAnsiTheme="minorHAnsi" w:eastAsiaTheme="minorEastAsia" w:cstheme="minorBidi"/>
              <w:kern w:val="2"/>
            </w:rPr>
          </w:pPr>
          <w:r>
            <w:rPr>
              <w:rFonts w:hint="eastAsia" w:ascii="方正小标宋简体" w:hAnsi="方正小标宋简体" w:eastAsia="方正小标宋简体" w:cs="方正小标宋简体"/>
              <w:sz w:val="44"/>
              <w:szCs w:val="44"/>
            </w:rPr>
            <w:fldChar w:fldCharType="begin"/>
          </w:r>
          <w:r>
            <w:rPr>
              <w:rFonts w:hint="eastAsia" w:ascii="方正小标宋简体" w:hAnsi="方正小标宋简体" w:eastAsia="方正小标宋简体" w:cs="方正小标宋简体"/>
              <w:sz w:val="44"/>
              <w:szCs w:val="44"/>
            </w:rPr>
            <w:instrText xml:space="preserve">TOC \o "1-3" \h \u </w:instrText>
          </w:r>
          <w:r>
            <w:rPr>
              <w:rFonts w:hint="eastAsia" w:ascii="方正小标宋简体" w:hAnsi="方正小标宋简体" w:eastAsia="方正小标宋简体" w:cs="方正小标宋简体"/>
              <w:sz w:val="44"/>
              <w:szCs w:val="44"/>
            </w:rPr>
            <w:fldChar w:fldCharType="separate"/>
          </w:r>
          <w:r>
            <w:fldChar w:fldCharType="begin"/>
          </w:r>
          <w:r>
            <w:instrText xml:space="preserve"> HYPERLINK \l "_Toc223722419" </w:instrText>
          </w:r>
          <w:r>
            <w:fldChar w:fldCharType="separate"/>
          </w:r>
          <w:r>
            <w:rPr>
              <w:rStyle w:val="16"/>
              <w:rFonts w:hint="eastAsia"/>
            </w:rPr>
            <w:t>一、 项目简况</w:t>
          </w:r>
          <w:r>
            <w:tab/>
          </w:r>
          <w:r>
            <w:fldChar w:fldCharType="begin"/>
          </w:r>
          <w:r>
            <w:instrText xml:space="preserve"> PAGEREF _Toc223722419 \h </w:instrText>
          </w:r>
          <w:r>
            <w:fldChar w:fldCharType="separate"/>
          </w:r>
          <w:r>
            <w:t>1</w:t>
          </w:r>
          <w:r>
            <w:fldChar w:fldCharType="end"/>
          </w:r>
          <w:r>
            <w:fldChar w:fldCharType="end"/>
          </w:r>
        </w:p>
        <w:p w14:paraId="26279BA3">
          <w:pPr>
            <w:pStyle w:val="11"/>
            <w:tabs>
              <w:tab w:val="right" w:leader="dot" w:pos="8296"/>
            </w:tabs>
            <w:rPr>
              <w:rFonts w:asciiTheme="minorHAnsi" w:hAnsiTheme="minorHAnsi" w:eastAsiaTheme="minorEastAsia" w:cstheme="minorBidi"/>
              <w:kern w:val="2"/>
            </w:rPr>
          </w:pPr>
          <w:r>
            <w:fldChar w:fldCharType="begin"/>
          </w:r>
          <w:r>
            <w:instrText xml:space="preserve"> HYPERLINK \l "_Toc223722420" </w:instrText>
          </w:r>
          <w:r>
            <w:fldChar w:fldCharType="separate"/>
          </w:r>
          <w:r>
            <w:rPr>
              <w:rStyle w:val="16"/>
              <w:rFonts w:hint="eastAsia"/>
            </w:rPr>
            <w:t>二、 编制标准的背景、必要性及意义</w:t>
          </w:r>
          <w:r>
            <w:tab/>
          </w:r>
          <w:r>
            <w:fldChar w:fldCharType="begin"/>
          </w:r>
          <w:r>
            <w:instrText xml:space="preserve"> PAGEREF _Toc223722420 \h </w:instrText>
          </w:r>
          <w:r>
            <w:fldChar w:fldCharType="separate"/>
          </w:r>
          <w:r>
            <w:t>2</w:t>
          </w:r>
          <w:r>
            <w:fldChar w:fldCharType="end"/>
          </w:r>
          <w:r>
            <w:fldChar w:fldCharType="end"/>
          </w:r>
        </w:p>
        <w:p w14:paraId="51D70A6D">
          <w:pPr>
            <w:pStyle w:val="11"/>
            <w:tabs>
              <w:tab w:val="right" w:leader="dot" w:pos="8296"/>
            </w:tabs>
            <w:rPr>
              <w:rFonts w:asciiTheme="minorHAnsi" w:hAnsiTheme="minorHAnsi" w:eastAsiaTheme="minorEastAsia" w:cstheme="minorBidi"/>
              <w:kern w:val="2"/>
            </w:rPr>
          </w:pPr>
          <w:r>
            <w:fldChar w:fldCharType="begin"/>
          </w:r>
          <w:r>
            <w:instrText xml:space="preserve"> HYPERLINK \l "_Toc223722421" </w:instrText>
          </w:r>
          <w:r>
            <w:fldChar w:fldCharType="separate"/>
          </w:r>
          <w:r>
            <w:rPr>
              <w:rStyle w:val="16"/>
              <w:rFonts w:hint="eastAsia"/>
            </w:rPr>
            <w:t>三、 编制过程简介</w:t>
          </w:r>
          <w:r>
            <w:tab/>
          </w:r>
          <w:r>
            <w:fldChar w:fldCharType="begin"/>
          </w:r>
          <w:r>
            <w:instrText xml:space="preserve"> PAGEREF _Toc223722421 \h </w:instrText>
          </w:r>
          <w:r>
            <w:fldChar w:fldCharType="separate"/>
          </w:r>
          <w:r>
            <w:t>5</w:t>
          </w:r>
          <w:r>
            <w:fldChar w:fldCharType="end"/>
          </w:r>
          <w:r>
            <w:fldChar w:fldCharType="end"/>
          </w:r>
        </w:p>
        <w:p w14:paraId="2491F4E6">
          <w:pPr>
            <w:pStyle w:val="12"/>
            <w:tabs>
              <w:tab w:val="right" w:leader="dot" w:pos="8296"/>
            </w:tabs>
            <w:rPr>
              <w:rFonts w:asciiTheme="minorHAnsi" w:hAnsiTheme="minorHAnsi" w:eastAsiaTheme="minorEastAsia" w:cstheme="minorBidi"/>
              <w:kern w:val="2"/>
            </w:rPr>
          </w:pPr>
          <w:r>
            <w:fldChar w:fldCharType="begin"/>
          </w:r>
          <w:r>
            <w:instrText xml:space="preserve"> HYPERLINK \l "_Toc223722422" </w:instrText>
          </w:r>
          <w:r>
            <w:fldChar w:fldCharType="separate"/>
          </w:r>
          <w:r>
            <w:rPr>
              <w:rStyle w:val="16"/>
              <w:rFonts w:hint="eastAsia"/>
            </w:rPr>
            <w:t>(一) 成立标准起草组</w:t>
          </w:r>
          <w:r>
            <w:tab/>
          </w:r>
          <w:r>
            <w:fldChar w:fldCharType="begin"/>
          </w:r>
          <w:r>
            <w:instrText xml:space="preserve"> PAGEREF _Toc223722422 \h </w:instrText>
          </w:r>
          <w:r>
            <w:fldChar w:fldCharType="separate"/>
          </w:r>
          <w:r>
            <w:t>5</w:t>
          </w:r>
          <w:r>
            <w:fldChar w:fldCharType="end"/>
          </w:r>
          <w:r>
            <w:fldChar w:fldCharType="end"/>
          </w:r>
        </w:p>
        <w:p w14:paraId="2F440CE0">
          <w:pPr>
            <w:pStyle w:val="12"/>
            <w:tabs>
              <w:tab w:val="right" w:leader="dot" w:pos="8296"/>
            </w:tabs>
            <w:rPr>
              <w:rFonts w:asciiTheme="minorHAnsi" w:hAnsiTheme="minorHAnsi" w:eastAsiaTheme="minorEastAsia" w:cstheme="minorBidi"/>
              <w:kern w:val="2"/>
            </w:rPr>
          </w:pPr>
          <w:r>
            <w:fldChar w:fldCharType="begin"/>
          </w:r>
          <w:r>
            <w:instrText xml:space="preserve"> HYPERLINK \l "_Toc223722423" </w:instrText>
          </w:r>
          <w:r>
            <w:fldChar w:fldCharType="separate"/>
          </w:r>
          <w:r>
            <w:rPr>
              <w:rStyle w:val="16"/>
              <w:rFonts w:hint="eastAsia"/>
            </w:rPr>
            <w:t>(二) 标准起草过程</w:t>
          </w:r>
          <w:r>
            <w:tab/>
          </w:r>
          <w:r>
            <w:fldChar w:fldCharType="begin"/>
          </w:r>
          <w:r>
            <w:instrText xml:space="preserve"> PAGEREF _Toc223722423 \h </w:instrText>
          </w:r>
          <w:r>
            <w:fldChar w:fldCharType="separate"/>
          </w:r>
          <w:r>
            <w:t>5</w:t>
          </w:r>
          <w:r>
            <w:fldChar w:fldCharType="end"/>
          </w:r>
          <w:r>
            <w:fldChar w:fldCharType="end"/>
          </w:r>
        </w:p>
        <w:p w14:paraId="6C6A65C8">
          <w:pPr>
            <w:pStyle w:val="11"/>
            <w:tabs>
              <w:tab w:val="right" w:leader="dot" w:pos="8296"/>
            </w:tabs>
            <w:rPr>
              <w:rFonts w:asciiTheme="minorHAnsi" w:hAnsiTheme="minorHAnsi" w:eastAsiaTheme="minorEastAsia" w:cstheme="minorBidi"/>
              <w:kern w:val="2"/>
            </w:rPr>
          </w:pPr>
          <w:r>
            <w:fldChar w:fldCharType="begin"/>
          </w:r>
          <w:r>
            <w:instrText xml:space="preserve"> HYPERLINK \l "_Toc223722424" </w:instrText>
          </w:r>
          <w:r>
            <w:fldChar w:fldCharType="separate"/>
          </w:r>
          <w:r>
            <w:rPr>
              <w:rStyle w:val="16"/>
              <w:rFonts w:hint="eastAsia"/>
            </w:rPr>
            <w:t>四、 制定标准的原则和依据，与现行法律法规、标准的关系</w:t>
          </w:r>
          <w:r>
            <w:tab/>
          </w:r>
          <w:r>
            <w:fldChar w:fldCharType="begin"/>
          </w:r>
          <w:r>
            <w:instrText xml:space="preserve"> PAGEREF _Toc223722424 \h </w:instrText>
          </w:r>
          <w:r>
            <w:fldChar w:fldCharType="separate"/>
          </w:r>
          <w:r>
            <w:t>8</w:t>
          </w:r>
          <w:r>
            <w:fldChar w:fldCharType="end"/>
          </w:r>
          <w:r>
            <w:fldChar w:fldCharType="end"/>
          </w:r>
        </w:p>
        <w:p w14:paraId="635E6604">
          <w:pPr>
            <w:pStyle w:val="12"/>
            <w:tabs>
              <w:tab w:val="right" w:leader="dot" w:pos="8296"/>
            </w:tabs>
            <w:rPr>
              <w:rFonts w:asciiTheme="minorHAnsi" w:hAnsiTheme="minorHAnsi" w:eastAsiaTheme="minorEastAsia" w:cstheme="minorBidi"/>
              <w:kern w:val="2"/>
            </w:rPr>
          </w:pPr>
          <w:r>
            <w:fldChar w:fldCharType="begin"/>
          </w:r>
          <w:r>
            <w:instrText xml:space="preserve"> HYPERLINK \l "_Toc223722425" </w:instrText>
          </w:r>
          <w:r>
            <w:fldChar w:fldCharType="separate"/>
          </w:r>
          <w:r>
            <w:rPr>
              <w:rStyle w:val="16"/>
              <w:rFonts w:hint="eastAsia"/>
            </w:rPr>
            <w:t>(一) 制定标准的原则</w:t>
          </w:r>
          <w:r>
            <w:tab/>
          </w:r>
          <w:r>
            <w:fldChar w:fldCharType="begin"/>
          </w:r>
          <w:r>
            <w:instrText xml:space="preserve"> PAGEREF _Toc223722425 \h </w:instrText>
          </w:r>
          <w:r>
            <w:fldChar w:fldCharType="separate"/>
          </w:r>
          <w:r>
            <w:t>8</w:t>
          </w:r>
          <w:r>
            <w:fldChar w:fldCharType="end"/>
          </w:r>
          <w:r>
            <w:fldChar w:fldCharType="end"/>
          </w:r>
        </w:p>
        <w:p w14:paraId="0E822B78">
          <w:pPr>
            <w:pStyle w:val="12"/>
            <w:tabs>
              <w:tab w:val="right" w:leader="dot" w:pos="8296"/>
            </w:tabs>
            <w:rPr>
              <w:rFonts w:asciiTheme="minorHAnsi" w:hAnsiTheme="minorHAnsi" w:eastAsiaTheme="minorEastAsia" w:cstheme="minorBidi"/>
              <w:kern w:val="2"/>
            </w:rPr>
          </w:pPr>
          <w:r>
            <w:fldChar w:fldCharType="begin"/>
          </w:r>
          <w:r>
            <w:instrText xml:space="preserve"> HYPERLINK \l "_Toc223722426" </w:instrText>
          </w:r>
          <w:r>
            <w:fldChar w:fldCharType="separate"/>
          </w:r>
          <w:r>
            <w:rPr>
              <w:rStyle w:val="16"/>
              <w:rFonts w:hint="eastAsia"/>
            </w:rPr>
            <w:t>(二) 制定标准的主要依据</w:t>
          </w:r>
          <w:r>
            <w:tab/>
          </w:r>
          <w:r>
            <w:fldChar w:fldCharType="begin"/>
          </w:r>
          <w:r>
            <w:instrText xml:space="preserve"> PAGEREF _Toc223722426 \h </w:instrText>
          </w:r>
          <w:r>
            <w:fldChar w:fldCharType="separate"/>
          </w:r>
          <w:r>
            <w:t>9</w:t>
          </w:r>
          <w:r>
            <w:fldChar w:fldCharType="end"/>
          </w:r>
          <w:r>
            <w:fldChar w:fldCharType="end"/>
          </w:r>
        </w:p>
        <w:p w14:paraId="313FCA17">
          <w:pPr>
            <w:pStyle w:val="6"/>
            <w:tabs>
              <w:tab w:val="right" w:leader="dot" w:pos="8296"/>
            </w:tabs>
            <w:rPr>
              <w:rFonts w:asciiTheme="minorHAnsi" w:hAnsiTheme="minorHAnsi" w:eastAsiaTheme="minorEastAsia" w:cstheme="minorBidi"/>
              <w:kern w:val="2"/>
            </w:rPr>
          </w:pPr>
          <w:r>
            <w:fldChar w:fldCharType="begin"/>
          </w:r>
          <w:r>
            <w:instrText xml:space="preserve"> HYPERLINK \l "_Toc223722427" </w:instrText>
          </w:r>
          <w:r>
            <w:fldChar w:fldCharType="separate"/>
          </w:r>
          <w:r>
            <w:rPr>
              <w:rStyle w:val="16"/>
              <w:rFonts w:ascii="仿宋_GB2312" w:hAnsi="仿宋" w:eastAsia="仿宋_GB2312" w:cs="仿宋_GB2312"/>
            </w:rPr>
            <w:t>1.</w:t>
          </w:r>
          <w:r>
            <w:rPr>
              <w:rStyle w:val="16"/>
              <w:rFonts w:hint="eastAsia" w:ascii="仿宋_GB2312" w:hAnsi="仿宋" w:eastAsia="仿宋_GB2312" w:cs="仿宋_GB2312"/>
            </w:rPr>
            <w:t>法律法规及相关政策文件：</w:t>
          </w:r>
          <w:r>
            <w:tab/>
          </w:r>
          <w:r>
            <w:fldChar w:fldCharType="begin"/>
          </w:r>
          <w:r>
            <w:instrText xml:space="preserve"> PAGEREF _Toc223722427 \h </w:instrText>
          </w:r>
          <w:r>
            <w:fldChar w:fldCharType="separate"/>
          </w:r>
          <w:r>
            <w:t>9</w:t>
          </w:r>
          <w:r>
            <w:fldChar w:fldCharType="end"/>
          </w:r>
          <w:r>
            <w:fldChar w:fldCharType="end"/>
          </w:r>
        </w:p>
        <w:p w14:paraId="58A2694F">
          <w:pPr>
            <w:pStyle w:val="6"/>
            <w:tabs>
              <w:tab w:val="right" w:leader="dot" w:pos="8296"/>
            </w:tabs>
            <w:rPr>
              <w:rFonts w:asciiTheme="minorHAnsi" w:hAnsiTheme="minorHAnsi" w:eastAsiaTheme="minorEastAsia" w:cstheme="minorBidi"/>
              <w:kern w:val="2"/>
            </w:rPr>
          </w:pPr>
          <w:r>
            <w:fldChar w:fldCharType="begin"/>
          </w:r>
          <w:r>
            <w:instrText xml:space="preserve"> HYPERLINK \l "_Toc223722428" </w:instrText>
          </w:r>
          <w:r>
            <w:fldChar w:fldCharType="separate"/>
          </w:r>
          <w:r>
            <w:rPr>
              <w:rStyle w:val="16"/>
              <w:rFonts w:ascii="仿宋_GB2312" w:hAnsi="仿宋" w:eastAsia="仿宋_GB2312" w:cs="仿宋_GB2312"/>
            </w:rPr>
            <w:t>2.</w:t>
          </w:r>
          <w:r>
            <w:rPr>
              <w:rStyle w:val="16"/>
              <w:rFonts w:hint="eastAsia" w:ascii="仿宋_GB2312" w:hAnsi="仿宋" w:eastAsia="仿宋_GB2312" w:cs="仿宋_GB2312"/>
            </w:rPr>
            <w:t>相关标准：</w:t>
          </w:r>
          <w:r>
            <w:tab/>
          </w:r>
          <w:r>
            <w:fldChar w:fldCharType="begin"/>
          </w:r>
          <w:r>
            <w:instrText xml:space="preserve"> PAGEREF _Toc223722428 \h </w:instrText>
          </w:r>
          <w:r>
            <w:fldChar w:fldCharType="separate"/>
          </w:r>
          <w:r>
            <w:t>10</w:t>
          </w:r>
          <w:r>
            <w:fldChar w:fldCharType="end"/>
          </w:r>
          <w:r>
            <w:fldChar w:fldCharType="end"/>
          </w:r>
        </w:p>
        <w:p w14:paraId="6C976EE9">
          <w:pPr>
            <w:pStyle w:val="12"/>
            <w:tabs>
              <w:tab w:val="right" w:leader="dot" w:pos="8296"/>
            </w:tabs>
            <w:rPr>
              <w:rFonts w:asciiTheme="minorHAnsi" w:hAnsiTheme="minorHAnsi" w:eastAsiaTheme="minorEastAsia" w:cstheme="minorBidi"/>
              <w:kern w:val="2"/>
            </w:rPr>
          </w:pPr>
          <w:r>
            <w:fldChar w:fldCharType="begin"/>
          </w:r>
          <w:r>
            <w:instrText xml:space="preserve"> HYPERLINK \l "_Toc223722429" </w:instrText>
          </w:r>
          <w:r>
            <w:fldChar w:fldCharType="separate"/>
          </w:r>
          <w:r>
            <w:rPr>
              <w:rStyle w:val="16"/>
              <w:rFonts w:hint="eastAsia"/>
            </w:rPr>
            <w:t>(三) 与现行法律、法规标准的关系</w:t>
          </w:r>
          <w:r>
            <w:tab/>
          </w:r>
          <w:r>
            <w:fldChar w:fldCharType="begin"/>
          </w:r>
          <w:r>
            <w:instrText xml:space="preserve"> PAGEREF _Toc223722429 \h </w:instrText>
          </w:r>
          <w:r>
            <w:fldChar w:fldCharType="separate"/>
          </w:r>
          <w:r>
            <w:t>10</w:t>
          </w:r>
          <w:r>
            <w:fldChar w:fldCharType="end"/>
          </w:r>
          <w:r>
            <w:fldChar w:fldCharType="end"/>
          </w:r>
        </w:p>
        <w:p w14:paraId="01855379">
          <w:pPr>
            <w:pStyle w:val="11"/>
            <w:tabs>
              <w:tab w:val="right" w:leader="dot" w:pos="8296"/>
            </w:tabs>
            <w:rPr>
              <w:rFonts w:asciiTheme="minorHAnsi" w:hAnsiTheme="minorHAnsi" w:eastAsiaTheme="minorEastAsia" w:cstheme="minorBidi"/>
              <w:kern w:val="2"/>
            </w:rPr>
          </w:pPr>
          <w:r>
            <w:fldChar w:fldCharType="begin"/>
          </w:r>
          <w:r>
            <w:instrText xml:space="preserve"> HYPERLINK \l "_Toc223722430" </w:instrText>
          </w:r>
          <w:r>
            <w:fldChar w:fldCharType="separate"/>
          </w:r>
          <w:r>
            <w:rPr>
              <w:rStyle w:val="16"/>
              <w:rFonts w:hint="eastAsia"/>
            </w:rPr>
            <w:t>五、 主要条款的说明，主要技术指标、参数、试验验证的论述</w:t>
          </w:r>
          <w:r>
            <w:tab/>
          </w:r>
          <w:r>
            <w:fldChar w:fldCharType="begin"/>
          </w:r>
          <w:r>
            <w:instrText xml:space="preserve"> PAGEREF _Toc223722430 \h </w:instrText>
          </w:r>
          <w:r>
            <w:fldChar w:fldCharType="separate"/>
          </w:r>
          <w:r>
            <w:t>10</w:t>
          </w:r>
          <w:r>
            <w:fldChar w:fldCharType="end"/>
          </w:r>
          <w:r>
            <w:fldChar w:fldCharType="end"/>
          </w:r>
        </w:p>
        <w:p w14:paraId="38017C71">
          <w:pPr>
            <w:pStyle w:val="12"/>
            <w:tabs>
              <w:tab w:val="right" w:leader="dot" w:pos="8296"/>
            </w:tabs>
            <w:rPr>
              <w:rFonts w:asciiTheme="minorHAnsi" w:hAnsiTheme="minorHAnsi" w:eastAsiaTheme="minorEastAsia" w:cstheme="minorBidi"/>
              <w:kern w:val="2"/>
            </w:rPr>
          </w:pPr>
          <w:r>
            <w:fldChar w:fldCharType="begin"/>
          </w:r>
          <w:r>
            <w:instrText xml:space="preserve"> HYPERLINK \l "_Toc223722431" </w:instrText>
          </w:r>
          <w:r>
            <w:fldChar w:fldCharType="separate"/>
          </w:r>
          <w:r>
            <w:rPr>
              <w:rStyle w:val="16"/>
              <w:rFonts w:hint="eastAsia"/>
            </w:rPr>
            <w:t>(一) 术语与定义</w:t>
          </w:r>
          <w:r>
            <w:tab/>
          </w:r>
          <w:r>
            <w:fldChar w:fldCharType="begin"/>
          </w:r>
          <w:r>
            <w:instrText xml:space="preserve"> PAGEREF _Toc223722431 \h </w:instrText>
          </w:r>
          <w:r>
            <w:fldChar w:fldCharType="separate"/>
          </w:r>
          <w:r>
            <w:t>10</w:t>
          </w:r>
          <w:r>
            <w:fldChar w:fldCharType="end"/>
          </w:r>
          <w:r>
            <w:fldChar w:fldCharType="end"/>
          </w:r>
        </w:p>
        <w:p w14:paraId="14F85548">
          <w:pPr>
            <w:pStyle w:val="12"/>
            <w:tabs>
              <w:tab w:val="right" w:leader="dot" w:pos="8296"/>
            </w:tabs>
            <w:rPr>
              <w:rFonts w:asciiTheme="minorHAnsi" w:hAnsiTheme="minorHAnsi" w:eastAsiaTheme="minorEastAsia" w:cstheme="minorBidi"/>
              <w:kern w:val="2"/>
            </w:rPr>
          </w:pPr>
          <w:r>
            <w:fldChar w:fldCharType="begin"/>
          </w:r>
          <w:r>
            <w:instrText xml:space="preserve"> HYPERLINK \l "_Toc223722432" </w:instrText>
          </w:r>
          <w:r>
            <w:fldChar w:fldCharType="separate"/>
          </w:r>
          <w:r>
            <w:rPr>
              <w:rStyle w:val="16"/>
              <w:rFonts w:hint="eastAsia"/>
            </w:rPr>
            <w:t>(二) 缩略语</w:t>
          </w:r>
          <w:r>
            <w:tab/>
          </w:r>
          <w:r>
            <w:fldChar w:fldCharType="begin"/>
          </w:r>
          <w:r>
            <w:instrText xml:space="preserve"> PAGEREF _Toc223722432 \h </w:instrText>
          </w:r>
          <w:r>
            <w:fldChar w:fldCharType="separate"/>
          </w:r>
          <w:r>
            <w:t>10</w:t>
          </w:r>
          <w:r>
            <w:fldChar w:fldCharType="end"/>
          </w:r>
          <w:r>
            <w:fldChar w:fldCharType="end"/>
          </w:r>
        </w:p>
        <w:p w14:paraId="3AF712E6">
          <w:pPr>
            <w:pStyle w:val="12"/>
            <w:tabs>
              <w:tab w:val="right" w:leader="dot" w:pos="8296"/>
            </w:tabs>
            <w:rPr>
              <w:rFonts w:asciiTheme="minorHAnsi" w:hAnsiTheme="minorHAnsi" w:eastAsiaTheme="minorEastAsia" w:cstheme="minorBidi"/>
              <w:kern w:val="2"/>
            </w:rPr>
          </w:pPr>
          <w:r>
            <w:fldChar w:fldCharType="begin"/>
          </w:r>
          <w:r>
            <w:instrText xml:space="preserve"> HYPERLINK \l "_Toc223722433" </w:instrText>
          </w:r>
          <w:r>
            <w:fldChar w:fldCharType="separate"/>
          </w:r>
          <w:r>
            <w:rPr>
              <w:rStyle w:val="16"/>
              <w:rFonts w:hint="eastAsia"/>
            </w:rPr>
            <w:t>(三) 总体原则</w:t>
          </w:r>
          <w:r>
            <w:tab/>
          </w:r>
          <w:r>
            <w:fldChar w:fldCharType="begin"/>
          </w:r>
          <w:r>
            <w:instrText xml:space="preserve"> PAGEREF _Toc223722433 \h </w:instrText>
          </w:r>
          <w:r>
            <w:fldChar w:fldCharType="separate"/>
          </w:r>
          <w:r>
            <w:t>10</w:t>
          </w:r>
          <w:r>
            <w:fldChar w:fldCharType="end"/>
          </w:r>
          <w:r>
            <w:fldChar w:fldCharType="end"/>
          </w:r>
        </w:p>
        <w:p w14:paraId="43D2FE74">
          <w:pPr>
            <w:pStyle w:val="12"/>
            <w:tabs>
              <w:tab w:val="right" w:leader="dot" w:pos="8296"/>
            </w:tabs>
            <w:rPr>
              <w:rFonts w:asciiTheme="minorHAnsi" w:hAnsiTheme="minorHAnsi" w:eastAsiaTheme="minorEastAsia" w:cstheme="minorBidi"/>
              <w:kern w:val="2"/>
            </w:rPr>
          </w:pPr>
          <w:r>
            <w:fldChar w:fldCharType="begin"/>
          </w:r>
          <w:r>
            <w:instrText xml:space="preserve"> HYPERLINK \l "_Toc223722434" </w:instrText>
          </w:r>
          <w:r>
            <w:fldChar w:fldCharType="separate"/>
          </w:r>
          <w:r>
            <w:rPr>
              <w:rStyle w:val="16"/>
              <w:rFonts w:hint="eastAsia"/>
            </w:rPr>
            <w:t>(四) 献血者归队条件</w:t>
          </w:r>
          <w:r>
            <w:tab/>
          </w:r>
          <w:r>
            <w:fldChar w:fldCharType="begin"/>
          </w:r>
          <w:r>
            <w:instrText xml:space="preserve"> PAGEREF _Toc223722434 \h </w:instrText>
          </w:r>
          <w:r>
            <w:fldChar w:fldCharType="separate"/>
          </w:r>
          <w:r>
            <w:t>11</w:t>
          </w:r>
          <w:r>
            <w:fldChar w:fldCharType="end"/>
          </w:r>
          <w:r>
            <w:fldChar w:fldCharType="end"/>
          </w:r>
        </w:p>
        <w:p w14:paraId="685182F5">
          <w:pPr>
            <w:pStyle w:val="12"/>
            <w:tabs>
              <w:tab w:val="right" w:leader="dot" w:pos="8296"/>
            </w:tabs>
            <w:rPr>
              <w:rFonts w:asciiTheme="minorHAnsi" w:hAnsiTheme="minorHAnsi" w:eastAsiaTheme="minorEastAsia" w:cstheme="minorBidi"/>
              <w:kern w:val="2"/>
            </w:rPr>
          </w:pPr>
          <w:r>
            <w:fldChar w:fldCharType="begin"/>
          </w:r>
          <w:r>
            <w:instrText xml:space="preserve"> HYPERLINK \l "_Toc223722435" </w:instrText>
          </w:r>
          <w:r>
            <w:fldChar w:fldCharType="separate"/>
          </w:r>
          <w:r>
            <w:rPr>
              <w:rStyle w:val="16"/>
              <w:rFonts w:hint="eastAsia"/>
            </w:rPr>
            <w:t>(五) 献血者归队流程</w:t>
          </w:r>
          <w:r>
            <w:tab/>
          </w:r>
          <w:r>
            <w:fldChar w:fldCharType="begin"/>
          </w:r>
          <w:r>
            <w:instrText xml:space="preserve"> PAGEREF _Toc223722435 \h </w:instrText>
          </w:r>
          <w:r>
            <w:fldChar w:fldCharType="separate"/>
          </w:r>
          <w:r>
            <w:t>11</w:t>
          </w:r>
          <w:r>
            <w:fldChar w:fldCharType="end"/>
          </w:r>
          <w:r>
            <w:fldChar w:fldCharType="end"/>
          </w:r>
        </w:p>
        <w:p w14:paraId="1E3E9601">
          <w:pPr>
            <w:pStyle w:val="12"/>
            <w:tabs>
              <w:tab w:val="right" w:leader="dot" w:pos="8296"/>
            </w:tabs>
            <w:rPr>
              <w:rFonts w:asciiTheme="minorHAnsi" w:hAnsiTheme="minorHAnsi" w:eastAsiaTheme="minorEastAsia" w:cstheme="minorBidi"/>
              <w:kern w:val="2"/>
            </w:rPr>
          </w:pPr>
          <w:r>
            <w:fldChar w:fldCharType="begin"/>
          </w:r>
          <w:r>
            <w:instrText xml:space="preserve"> HYPERLINK \l "_Toc223722436" </w:instrText>
          </w:r>
          <w:r>
            <w:fldChar w:fldCharType="separate"/>
          </w:r>
          <w:r>
            <w:rPr>
              <w:rStyle w:val="16"/>
              <w:rFonts w:hint="eastAsia"/>
            </w:rPr>
            <w:t>(六) 归队检测方法与结果判定</w:t>
          </w:r>
          <w:r>
            <w:tab/>
          </w:r>
          <w:r>
            <w:fldChar w:fldCharType="begin"/>
          </w:r>
          <w:r>
            <w:instrText xml:space="preserve"> PAGEREF _Toc223722436 \h </w:instrText>
          </w:r>
          <w:r>
            <w:fldChar w:fldCharType="separate"/>
          </w:r>
          <w:r>
            <w:t>11</w:t>
          </w:r>
          <w:r>
            <w:fldChar w:fldCharType="end"/>
          </w:r>
          <w:r>
            <w:fldChar w:fldCharType="end"/>
          </w:r>
        </w:p>
        <w:p w14:paraId="5C61D6D1">
          <w:pPr>
            <w:pStyle w:val="12"/>
            <w:tabs>
              <w:tab w:val="right" w:leader="dot" w:pos="8296"/>
            </w:tabs>
            <w:rPr>
              <w:rFonts w:asciiTheme="minorHAnsi" w:hAnsiTheme="minorHAnsi" w:eastAsiaTheme="minorEastAsia" w:cstheme="minorBidi"/>
              <w:kern w:val="2"/>
            </w:rPr>
          </w:pPr>
          <w:r>
            <w:fldChar w:fldCharType="begin"/>
          </w:r>
          <w:r>
            <w:instrText xml:space="preserve"> HYPERLINK \l "_Toc223722437" </w:instrText>
          </w:r>
          <w:r>
            <w:fldChar w:fldCharType="separate"/>
          </w:r>
          <w:r>
            <w:rPr>
              <w:rStyle w:val="16"/>
              <w:rFonts w:hint="eastAsia"/>
            </w:rPr>
            <w:t>(七) 归队告知与档案管理</w:t>
          </w:r>
          <w:r>
            <w:tab/>
          </w:r>
          <w:r>
            <w:fldChar w:fldCharType="begin"/>
          </w:r>
          <w:r>
            <w:instrText xml:space="preserve"> PAGEREF _Toc223722437 \h </w:instrText>
          </w:r>
          <w:r>
            <w:fldChar w:fldCharType="separate"/>
          </w:r>
          <w:r>
            <w:t>12</w:t>
          </w:r>
          <w:r>
            <w:fldChar w:fldCharType="end"/>
          </w:r>
          <w:r>
            <w:fldChar w:fldCharType="end"/>
          </w:r>
        </w:p>
        <w:p w14:paraId="2D6F746D">
          <w:pPr>
            <w:pStyle w:val="11"/>
            <w:tabs>
              <w:tab w:val="right" w:leader="dot" w:pos="8296"/>
            </w:tabs>
            <w:rPr>
              <w:rFonts w:asciiTheme="minorHAnsi" w:hAnsiTheme="minorHAnsi" w:eastAsiaTheme="minorEastAsia" w:cstheme="minorBidi"/>
              <w:kern w:val="2"/>
            </w:rPr>
          </w:pPr>
          <w:r>
            <w:fldChar w:fldCharType="begin"/>
          </w:r>
          <w:r>
            <w:instrText xml:space="preserve"> HYPERLINK \l "_Toc223722439" </w:instrText>
          </w:r>
          <w:r>
            <w:fldChar w:fldCharType="separate"/>
          </w:r>
          <w:r>
            <w:rPr>
              <w:rStyle w:val="16"/>
              <w:rFonts w:hint="eastAsia"/>
            </w:rPr>
            <w:t>六、 标准中如果涉及专利，应有明确的知识产权说明</w:t>
          </w:r>
          <w:r>
            <w:tab/>
          </w:r>
          <w:r>
            <w:fldChar w:fldCharType="begin"/>
          </w:r>
          <w:r>
            <w:instrText xml:space="preserve"> PAGEREF _Toc223722439 \h </w:instrText>
          </w:r>
          <w:r>
            <w:fldChar w:fldCharType="separate"/>
          </w:r>
          <w:r>
            <w:t>12</w:t>
          </w:r>
          <w:r>
            <w:fldChar w:fldCharType="end"/>
          </w:r>
          <w:r>
            <w:fldChar w:fldCharType="end"/>
          </w:r>
        </w:p>
        <w:p w14:paraId="336512B4">
          <w:pPr>
            <w:pStyle w:val="11"/>
            <w:tabs>
              <w:tab w:val="right" w:leader="dot" w:pos="8296"/>
            </w:tabs>
            <w:rPr>
              <w:rFonts w:asciiTheme="minorHAnsi" w:hAnsiTheme="minorHAnsi" w:eastAsiaTheme="minorEastAsia" w:cstheme="minorBidi"/>
              <w:kern w:val="2"/>
            </w:rPr>
          </w:pPr>
          <w:r>
            <w:fldChar w:fldCharType="begin"/>
          </w:r>
          <w:r>
            <w:instrText xml:space="preserve"> HYPERLINK \l "_Toc223722440" </w:instrText>
          </w:r>
          <w:r>
            <w:fldChar w:fldCharType="separate"/>
          </w:r>
          <w:r>
            <w:rPr>
              <w:rStyle w:val="16"/>
              <w:rFonts w:hint="eastAsia"/>
            </w:rPr>
            <w:t>七、 标准公平性竞争审查</w:t>
          </w:r>
          <w:r>
            <w:tab/>
          </w:r>
          <w:r>
            <w:fldChar w:fldCharType="begin"/>
          </w:r>
          <w:r>
            <w:instrText xml:space="preserve"> PAGEREF _Toc223722440 \h </w:instrText>
          </w:r>
          <w:r>
            <w:fldChar w:fldCharType="separate"/>
          </w:r>
          <w:r>
            <w:t>12</w:t>
          </w:r>
          <w:r>
            <w:fldChar w:fldCharType="end"/>
          </w:r>
          <w:r>
            <w:fldChar w:fldCharType="end"/>
          </w:r>
        </w:p>
        <w:p w14:paraId="19914609">
          <w:pPr>
            <w:pStyle w:val="11"/>
            <w:tabs>
              <w:tab w:val="right" w:leader="dot" w:pos="8296"/>
            </w:tabs>
            <w:rPr>
              <w:rFonts w:asciiTheme="minorHAnsi" w:hAnsiTheme="minorHAnsi" w:eastAsiaTheme="minorEastAsia" w:cstheme="minorBidi"/>
              <w:kern w:val="2"/>
            </w:rPr>
          </w:pPr>
          <w:r>
            <w:fldChar w:fldCharType="begin"/>
          </w:r>
          <w:r>
            <w:instrText xml:space="preserve"> HYPERLINK \l "_Toc223722441" </w:instrText>
          </w:r>
          <w:r>
            <w:fldChar w:fldCharType="separate"/>
          </w:r>
          <w:r>
            <w:rPr>
              <w:rStyle w:val="16"/>
              <w:rFonts w:hint="eastAsia"/>
            </w:rPr>
            <w:t>八、 采用国际标准或国外先进标准的，说明采标程度，以及国内外同类标准水平的对比情况。</w:t>
          </w:r>
          <w:r>
            <w:tab/>
          </w:r>
          <w:r>
            <w:fldChar w:fldCharType="begin"/>
          </w:r>
          <w:r>
            <w:instrText xml:space="preserve"> PAGEREF _Toc223722441 \h </w:instrText>
          </w:r>
          <w:r>
            <w:fldChar w:fldCharType="separate"/>
          </w:r>
          <w:r>
            <w:t>12</w:t>
          </w:r>
          <w:r>
            <w:fldChar w:fldCharType="end"/>
          </w:r>
          <w:r>
            <w:fldChar w:fldCharType="end"/>
          </w:r>
        </w:p>
        <w:p w14:paraId="08A72249">
          <w:pPr>
            <w:pStyle w:val="11"/>
            <w:tabs>
              <w:tab w:val="right" w:leader="dot" w:pos="8296"/>
            </w:tabs>
            <w:rPr>
              <w:rFonts w:asciiTheme="minorHAnsi" w:hAnsiTheme="minorHAnsi" w:eastAsiaTheme="minorEastAsia" w:cstheme="minorBidi"/>
              <w:kern w:val="2"/>
            </w:rPr>
          </w:pPr>
          <w:r>
            <w:fldChar w:fldCharType="begin"/>
          </w:r>
          <w:r>
            <w:instrText xml:space="preserve"> HYPERLINK \l "_Toc223722442" </w:instrText>
          </w:r>
          <w:r>
            <w:fldChar w:fldCharType="separate"/>
          </w:r>
          <w:r>
            <w:rPr>
              <w:rStyle w:val="16"/>
              <w:rFonts w:hint="eastAsia"/>
            </w:rPr>
            <w:t>九、 重大分歧意见的处理依据和结果</w:t>
          </w:r>
          <w:r>
            <w:tab/>
          </w:r>
          <w:r>
            <w:fldChar w:fldCharType="begin"/>
          </w:r>
          <w:r>
            <w:instrText xml:space="preserve"> PAGEREF _Toc223722442 \h </w:instrText>
          </w:r>
          <w:r>
            <w:fldChar w:fldCharType="separate"/>
          </w:r>
          <w:r>
            <w:t>12</w:t>
          </w:r>
          <w:r>
            <w:fldChar w:fldCharType="end"/>
          </w:r>
          <w:r>
            <w:fldChar w:fldCharType="end"/>
          </w:r>
        </w:p>
        <w:p w14:paraId="0B95E92D">
          <w:pPr>
            <w:pStyle w:val="11"/>
            <w:tabs>
              <w:tab w:val="right" w:leader="dot" w:pos="8296"/>
            </w:tabs>
            <w:rPr>
              <w:rFonts w:asciiTheme="minorHAnsi" w:hAnsiTheme="minorHAnsi" w:eastAsiaTheme="minorEastAsia" w:cstheme="minorBidi"/>
              <w:kern w:val="2"/>
            </w:rPr>
          </w:pPr>
          <w:r>
            <w:fldChar w:fldCharType="begin"/>
          </w:r>
          <w:r>
            <w:instrText xml:space="preserve"> HYPERLINK \l "_Toc223722443" </w:instrText>
          </w:r>
          <w:r>
            <w:fldChar w:fldCharType="separate"/>
          </w:r>
          <w:r>
            <w:rPr>
              <w:rStyle w:val="16"/>
              <w:rFonts w:hint="eastAsia"/>
            </w:rPr>
            <w:t>十、 实施标准的措施建议</w:t>
          </w:r>
          <w:r>
            <w:tab/>
          </w:r>
          <w:r>
            <w:fldChar w:fldCharType="begin"/>
          </w:r>
          <w:r>
            <w:instrText xml:space="preserve"> PAGEREF _Toc223722443 \h </w:instrText>
          </w:r>
          <w:r>
            <w:fldChar w:fldCharType="separate"/>
          </w:r>
          <w:r>
            <w:t>12</w:t>
          </w:r>
          <w:r>
            <w:fldChar w:fldCharType="end"/>
          </w:r>
          <w:r>
            <w:fldChar w:fldCharType="end"/>
          </w:r>
        </w:p>
        <w:p w14:paraId="70BFC563">
          <w:pPr>
            <w:pStyle w:val="12"/>
            <w:tabs>
              <w:tab w:val="right" w:leader="dot" w:pos="8296"/>
            </w:tabs>
            <w:rPr>
              <w:rFonts w:asciiTheme="minorHAnsi" w:hAnsiTheme="minorHAnsi" w:eastAsiaTheme="minorEastAsia" w:cstheme="minorBidi"/>
              <w:kern w:val="2"/>
            </w:rPr>
          </w:pPr>
          <w:r>
            <w:fldChar w:fldCharType="begin"/>
          </w:r>
          <w:r>
            <w:instrText xml:space="preserve"> HYPERLINK \l "_Toc223722444" </w:instrText>
          </w:r>
          <w:r>
            <w:fldChar w:fldCharType="separate"/>
          </w:r>
          <w:r>
            <w:rPr>
              <w:rStyle w:val="16"/>
              <w:rFonts w:hint="eastAsia"/>
            </w:rPr>
            <w:t>(一) 政府部门推动实施的承诺</w:t>
          </w:r>
          <w:r>
            <w:tab/>
          </w:r>
          <w:r>
            <w:fldChar w:fldCharType="begin"/>
          </w:r>
          <w:r>
            <w:instrText xml:space="preserve"> PAGEREF _Toc223722444 \h </w:instrText>
          </w:r>
          <w:r>
            <w:fldChar w:fldCharType="separate"/>
          </w:r>
          <w:r>
            <w:t>12</w:t>
          </w:r>
          <w:r>
            <w:fldChar w:fldCharType="end"/>
          </w:r>
          <w:r>
            <w:fldChar w:fldCharType="end"/>
          </w:r>
        </w:p>
        <w:p w14:paraId="5FBDC798">
          <w:pPr>
            <w:pStyle w:val="12"/>
            <w:tabs>
              <w:tab w:val="right" w:leader="dot" w:pos="8296"/>
            </w:tabs>
            <w:rPr>
              <w:rFonts w:asciiTheme="minorHAnsi" w:hAnsiTheme="minorHAnsi" w:eastAsiaTheme="minorEastAsia" w:cstheme="minorBidi"/>
              <w:kern w:val="2"/>
            </w:rPr>
          </w:pPr>
          <w:r>
            <w:fldChar w:fldCharType="begin"/>
          </w:r>
          <w:r>
            <w:instrText xml:space="preserve"> HYPERLINK \l "_Toc223722445" </w:instrText>
          </w:r>
          <w:r>
            <w:fldChar w:fldCharType="separate"/>
          </w:r>
          <w:r>
            <w:rPr>
              <w:rStyle w:val="16"/>
              <w:rFonts w:hint="eastAsia"/>
            </w:rPr>
            <w:t>(二) 培训计划</w:t>
          </w:r>
          <w:r>
            <w:tab/>
          </w:r>
          <w:r>
            <w:fldChar w:fldCharType="begin"/>
          </w:r>
          <w:r>
            <w:instrText xml:space="preserve"> PAGEREF _Toc223722445 \h </w:instrText>
          </w:r>
          <w:r>
            <w:fldChar w:fldCharType="separate"/>
          </w:r>
          <w:r>
            <w:t>13</w:t>
          </w:r>
          <w:r>
            <w:fldChar w:fldCharType="end"/>
          </w:r>
          <w:r>
            <w:fldChar w:fldCharType="end"/>
          </w:r>
        </w:p>
        <w:p w14:paraId="47592B98">
          <w:pPr>
            <w:pStyle w:val="12"/>
            <w:tabs>
              <w:tab w:val="right" w:leader="dot" w:pos="8296"/>
            </w:tabs>
            <w:rPr>
              <w:rFonts w:asciiTheme="minorHAnsi" w:hAnsiTheme="minorHAnsi" w:eastAsiaTheme="minorEastAsia" w:cstheme="minorBidi"/>
              <w:kern w:val="2"/>
            </w:rPr>
          </w:pPr>
          <w:r>
            <w:fldChar w:fldCharType="begin"/>
          </w:r>
          <w:r>
            <w:instrText xml:space="preserve"> HYPERLINK \l "_Toc223722446" </w:instrText>
          </w:r>
          <w:r>
            <w:fldChar w:fldCharType="separate"/>
          </w:r>
          <w:r>
            <w:rPr>
              <w:rStyle w:val="16"/>
              <w:rFonts w:hint="eastAsia"/>
            </w:rPr>
            <w:t>(三) 实施的技术指导措施</w:t>
          </w:r>
          <w:r>
            <w:tab/>
          </w:r>
          <w:r>
            <w:fldChar w:fldCharType="begin"/>
          </w:r>
          <w:r>
            <w:instrText xml:space="preserve"> PAGEREF _Toc223722446 \h </w:instrText>
          </w:r>
          <w:r>
            <w:fldChar w:fldCharType="separate"/>
          </w:r>
          <w:r>
            <w:t>14</w:t>
          </w:r>
          <w:r>
            <w:fldChar w:fldCharType="end"/>
          </w:r>
          <w:r>
            <w:fldChar w:fldCharType="end"/>
          </w:r>
        </w:p>
        <w:p w14:paraId="119BFCF1">
          <w:pPr>
            <w:pStyle w:val="12"/>
            <w:tabs>
              <w:tab w:val="right" w:leader="dot" w:pos="8296"/>
            </w:tabs>
            <w:rPr>
              <w:rFonts w:asciiTheme="minorHAnsi" w:hAnsiTheme="minorHAnsi" w:eastAsiaTheme="minorEastAsia" w:cstheme="minorBidi"/>
              <w:kern w:val="2"/>
            </w:rPr>
          </w:pPr>
          <w:r>
            <w:fldChar w:fldCharType="begin"/>
          </w:r>
          <w:r>
            <w:instrText xml:space="preserve"> HYPERLINK \l "_Toc223722447" </w:instrText>
          </w:r>
          <w:r>
            <w:fldChar w:fldCharType="separate"/>
          </w:r>
          <w:r>
            <w:rPr>
              <w:rStyle w:val="16"/>
              <w:rFonts w:hint="eastAsia"/>
            </w:rPr>
            <w:t>(四) 对实施情况的监督检查措施</w:t>
          </w:r>
          <w:r>
            <w:tab/>
          </w:r>
          <w:r>
            <w:fldChar w:fldCharType="begin"/>
          </w:r>
          <w:r>
            <w:instrText xml:space="preserve"> PAGEREF _Toc223722447 \h </w:instrText>
          </w:r>
          <w:r>
            <w:fldChar w:fldCharType="separate"/>
          </w:r>
          <w:r>
            <w:t>14</w:t>
          </w:r>
          <w:r>
            <w:fldChar w:fldCharType="end"/>
          </w:r>
          <w:r>
            <w:fldChar w:fldCharType="end"/>
          </w:r>
        </w:p>
        <w:p w14:paraId="75F075FA">
          <w:pPr>
            <w:pStyle w:val="11"/>
            <w:tabs>
              <w:tab w:val="right" w:leader="dot" w:pos="8296"/>
            </w:tabs>
            <w:rPr>
              <w:rFonts w:asciiTheme="minorHAnsi" w:hAnsiTheme="minorHAnsi" w:eastAsiaTheme="minorEastAsia" w:cstheme="minorBidi"/>
              <w:kern w:val="2"/>
            </w:rPr>
          </w:pPr>
          <w:r>
            <w:fldChar w:fldCharType="begin"/>
          </w:r>
          <w:r>
            <w:instrText xml:space="preserve"> HYPERLINK \l "_Toc223722448" </w:instrText>
          </w:r>
          <w:r>
            <w:fldChar w:fldCharType="separate"/>
          </w:r>
          <w:r>
            <w:rPr>
              <w:rStyle w:val="16"/>
              <w:rFonts w:hint="eastAsia"/>
            </w:rPr>
            <w:t>十一、 预期效果</w:t>
          </w:r>
          <w:r>
            <w:tab/>
          </w:r>
          <w:r>
            <w:fldChar w:fldCharType="begin"/>
          </w:r>
          <w:r>
            <w:instrText xml:space="preserve"> PAGEREF _Toc223722448 \h </w:instrText>
          </w:r>
          <w:r>
            <w:fldChar w:fldCharType="separate"/>
          </w:r>
          <w:r>
            <w:t>15</w:t>
          </w:r>
          <w:r>
            <w:fldChar w:fldCharType="end"/>
          </w:r>
          <w:r>
            <w:fldChar w:fldCharType="end"/>
          </w:r>
        </w:p>
        <w:p w14:paraId="3317FE1F">
          <w:pPr>
            <w:pStyle w:val="11"/>
            <w:tabs>
              <w:tab w:val="right" w:leader="dot" w:pos="8296"/>
            </w:tabs>
            <w:rPr>
              <w:rFonts w:asciiTheme="minorHAnsi" w:hAnsiTheme="minorHAnsi" w:eastAsiaTheme="minorEastAsia" w:cstheme="minorBidi"/>
              <w:kern w:val="2"/>
            </w:rPr>
          </w:pPr>
          <w:r>
            <w:fldChar w:fldCharType="begin"/>
          </w:r>
          <w:r>
            <w:instrText xml:space="preserve"> HYPERLINK \l "_Toc223722449" </w:instrText>
          </w:r>
          <w:r>
            <w:fldChar w:fldCharType="separate"/>
          </w:r>
          <w:r>
            <w:rPr>
              <w:rStyle w:val="16"/>
              <w:rFonts w:hint="eastAsia"/>
            </w:rPr>
            <w:t>十二、 其他应予说明的事项</w:t>
          </w:r>
          <w:r>
            <w:tab/>
          </w:r>
          <w:r>
            <w:fldChar w:fldCharType="begin"/>
          </w:r>
          <w:r>
            <w:instrText xml:space="preserve"> PAGEREF _Toc223722449 \h </w:instrText>
          </w:r>
          <w:r>
            <w:fldChar w:fldCharType="separate"/>
          </w:r>
          <w:r>
            <w:t>17</w:t>
          </w:r>
          <w:r>
            <w:fldChar w:fldCharType="end"/>
          </w:r>
          <w:r>
            <w:fldChar w:fldCharType="end"/>
          </w:r>
        </w:p>
        <w:p w14:paraId="3F26A00E">
          <w:pPr>
            <w:spacing w:line="400" w:lineRule="exact"/>
            <w:jc w:val="center"/>
            <w:rPr>
              <w:rFonts w:ascii="方正小标宋简体" w:hAnsi="方正小标宋简体" w:eastAsia="方正小标宋简体" w:cs="方正小标宋简体"/>
              <w:szCs w:val="44"/>
            </w:rPr>
          </w:pPr>
          <w:r>
            <w:rPr>
              <w:rFonts w:hint="eastAsia" w:ascii="方正小标宋简体" w:hAnsi="方正小标宋简体" w:eastAsia="方正小标宋简体" w:cs="方正小标宋简体"/>
              <w:szCs w:val="44"/>
            </w:rPr>
            <w:fldChar w:fldCharType="end"/>
          </w:r>
        </w:p>
      </w:sdtContent>
    </w:sdt>
    <w:p w14:paraId="6D58E183">
      <w:pPr>
        <w:spacing w:line="700" w:lineRule="exact"/>
        <w:jc w:val="center"/>
        <w:rPr>
          <w:rFonts w:ascii="方正小标宋简体" w:hAnsi="方正小标宋简体" w:eastAsia="方正小标宋简体" w:cs="方正小标宋简体"/>
          <w:sz w:val="44"/>
          <w:szCs w:val="44"/>
        </w:rPr>
        <w:sectPr>
          <w:footerReference r:id="rId3" w:type="default"/>
          <w:pgSz w:w="11906" w:h="16838"/>
          <w:pgMar w:top="1440" w:right="1800" w:bottom="1440" w:left="1800" w:header="851" w:footer="992" w:gutter="0"/>
          <w:pgNumType w:start="1"/>
          <w:cols w:space="425" w:num="1"/>
          <w:docGrid w:type="lines" w:linePitch="312" w:charSpace="0"/>
        </w:sectPr>
      </w:pPr>
    </w:p>
    <w:p w14:paraId="26511D4A">
      <w:pPr>
        <w:spacing w:line="7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海南省地方标准</w:t>
      </w:r>
    </w:p>
    <w:p w14:paraId="32517D5A">
      <w:pPr>
        <w:spacing w:line="7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《血液筛查反应性献血者归队管理规范》</w:t>
      </w:r>
    </w:p>
    <w:p w14:paraId="7DBDD974">
      <w:pPr>
        <w:spacing w:line="70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编制说明</w:t>
      </w:r>
    </w:p>
    <w:p w14:paraId="6934E304">
      <w:pPr>
        <w:pStyle w:val="2"/>
        <w:ind w:firstLine="640"/>
      </w:pPr>
      <w:bookmarkStart w:id="0" w:name="_Toc223722419"/>
      <w:r>
        <w:rPr>
          <w:rFonts w:hint="eastAsia"/>
        </w:rPr>
        <w:t>项目简况</w:t>
      </w:r>
      <w:bookmarkEnd w:id="0"/>
    </w:p>
    <w:p w14:paraId="75A6F1CD">
      <w:pPr>
        <w:spacing w:line="560" w:lineRule="exact"/>
        <w:ind w:firstLine="640" w:firstLineChars="200"/>
        <w:jc w:val="both"/>
        <w:rPr>
          <w:rFonts w:ascii="仿宋_GB2312" w:hAnsi="仿宋_GB2312" w:eastAsia="仿宋_GB2312" w:cs="仿宋_GB2312"/>
          <w:sz w:val="32"/>
          <w:szCs w:val="32"/>
        </w:rPr>
      </w:pPr>
      <w:r>
        <w:rPr>
          <w:rFonts w:hint="eastAsia" w:ascii="仿宋_GB2312" w:hAnsi="楷体_GB2312" w:eastAsia="仿宋_GB2312" w:cs="楷体_GB2312"/>
          <w:sz w:val="32"/>
          <w:szCs w:val="32"/>
        </w:rPr>
        <w:t>（一）标准名称：</w:t>
      </w:r>
      <w:r>
        <w:rPr>
          <w:rFonts w:hint="eastAsia" w:ascii="仿宋_GB2312" w:hAnsi="仿宋_GB2312" w:eastAsia="仿宋_GB2312" w:cs="仿宋_GB2312"/>
          <w:sz w:val="32"/>
          <w:szCs w:val="32"/>
        </w:rPr>
        <w:t>《血液筛查反应性献血者归队管理规范》</w:t>
      </w:r>
    </w:p>
    <w:p w14:paraId="787C2958">
      <w:pPr>
        <w:spacing w:line="560" w:lineRule="exact"/>
        <w:ind w:firstLine="640" w:firstLineChars="200"/>
        <w:jc w:val="both"/>
        <w:rPr>
          <w:rFonts w:ascii="仿宋_GB2312" w:hAnsi="仿宋_GB2312" w:eastAsia="仿宋_GB2312" w:cs="仿宋_GB2312"/>
          <w:sz w:val="32"/>
          <w:szCs w:val="32"/>
        </w:rPr>
      </w:pPr>
      <w:r>
        <w:rPr>
          <w:rFonts w:hint="eastAsia" w:ascii="仿宋_GB2312" w:hAnsi="楷体_GB2312" w:eastAsia="仿宋_GB2312" w:cs="楷体_GB2312"/>
          <w:sz w:val="32"/>
          <w:szCs w:val="32"/>
        </w:rPr>
        <w:t>（二）任务来源（项目计划号）：</w:t>
      </w:r>
      <w:r>
        <w:rPr>
          <w:rFonts w:hint="eastAsia" w:ascii="仿宋_GB2312" w:eastAsia="仿宋_GB2312"/>
          <w:sz w:val="32"/>
          <w:szCs w:val="32"/>
        </w:rPr>
        <w:t>2025</w:t>
      </w:r>
      <w:r>
        <w:rPr>
          <w:rFonts w:hint="eastAsia" w:ascii="仿宋_GB2312" w:hAnsi="微软雅黑" w:eastAsia="仿宋_GB2312" w:cs="微软雅黑"/>
          <w:sz w:val="32"/>
          <w:szCs w:val="32"/>
        </w:rPr>
        <w:t>年发布的《</w:t>
      </w:r>
      <w:r>
        <w:rPr>
          <w:rFonts w:hint="eastAsia" w:ascii="仿宋_GB2312" w:hAnsi="仿宋_GB2312" w:eastAsia="仿宋_GB2312" w:cs="仿宋_GB2312"/>
          <w:sz w:val="32"/>
          <w:szCs w:val="32"/>
        </w:rPr>
        <w:t>海南省市场监督管理局关于2025年度第一批拟立项地方标准项目的公示》，项目计划号：2025-Z009</w:t>
      </w:r>
    </w:p>
    <w:p w14:paraId="7C402394">
      <w:pPr>
        <w:spacing w:line="560" w:lineRule="exact"/>
        <w:ind w:firstLine="640" w:firstLineChars="200"/>
        <w:jc w:val="both"/>
        <w:rPr>
          <w:rFonts w:ascii="仿宋_GB2312" w:hAnsi="仿宋_GB2312" w:eastAsia="仿宋_GB2312" w:cs="仿宋_GB2312"/>
          <w:sz w:val="32"/>
          <w:szCs w:val="32"/>
        </w:rPr>
      </w:pPr>
      <w:r>
        <w:rPr>
          <w:rFonts w:hint="eastAsia" w:ascii="仿宋_GB2312" w:hAnsi="楷体_GB2312" w:eastAsia="仿宋_GB2312" w:cs="楷体_GB2312"/>
          <w:sz w:val="32"/>
          <w:szCs w:val="32"/>
        </w:rPr>
        <w:t>（三</w:t>
      </w:r>
      <w:r>
        <w:rPr>
          <w:rFonts w:hint="eastAsia" w:ascii="仿宋_GB2312" w:hAnsi="仿宋_GB2312" w:eastAsia="仿宋_GB2312" w:cs="仿宋_GB2312"/>
          <w:sz w:val="32"/>
          <w:szCs w:val="32"/>
        </w:rPr>
        <w:t>）起草单位：海南省血液中心</w:t>
      </w:r>
    </w:p>
    <w:p w14:paraId="3AE853A7">
      <w:pPr>
        <w:spacing w:line="560" w:lineRule="exact"/>
        <w:ind w:firstLine="640" w:firstLineChars="200"/>
        <w:jc w:val="both"/>
        <w:rPr>
          <w:rFonts w:ascii="仿宋_GB2312" w:hAnsi="楷体_GB2312" w:eastAsia="仿宋_GB2312" w:cs="楷体_GB2312"/>
          <w:sz w:val="32"/>
          <w:szCs w:val="32"/>
        </w:rPr>
      </w:pPr>
      <w:r>
        <w:rPr>
          <w:rFonts w:hint="eastAsia" w:ascii="仿宋_GB2312" w:hAnsi="楷体_GB2312" w:eastAsia="仿宋_GB2312" w:cs="楷体_GB2312"/>
          <w:sz w:val="32"/>
          <w:szCs w:val="32"/>
        </w:rPr>
        <w:t>（四）单位地址：</w:t>
      </w:r>
      <w:r>
        <w:rPr>
          <w:rFonts w:hint="eastAsia" w:ascii="仿宋_GB2312" w:hAnsi="仿宋_GB2312" w:eastAsia="仿宋_GB2312" w:cs="仿宋_GB2312"/>
          <w:sz w:val="32"/>
          <w:szCs w:val="32"/>
        </w:rPr>
        <w:t>海口市</w:t>
      </w:r>
      <w:r>
        <w:rPr>
          <w:rFonts w:hint="eastAsia" w:ascii="仿宋_GB2312" w:hAnsi="微软雅黑" w:eastAsia="仿宋_GB2312" w:cs="微软雅黑"/>
          <w:sz w:val="32"/>
          <w:szCs w:val="32"/>
        </w:rPr>
        <w:t>秀英区美俗路16号</w:t>
      </w:r>
    </w:p>
    <w:p w14:paraId="6A5B1478">
      <w:pPr>
        <w:spacing w:line="560" w:lineRule="exact"/>
        <w:ind w:firstLine="640" w:firstLineChars="200"/>
        <w:jc w:val="both"/>
        <w:rPr>
          <w:rFonts w:ascii="仿宋_GB2312" w:hAnsi="仿宋_GB2312" w:eastAsia="仿宋_GB2312" w:cs="仿宋_GB2312"/>
          <w:sz w:val="32"/>
          <w:szCs w:val="32"/>
        </w:rPr>
      </w:pPr>
      <w:r>
        <w:rPr>
          <w:rFonts w:hint="eastAsia" w:ascii="仿宋_GB2312" w:hAnsi="楷体_GB2312" w:eastAsia="仿宋_GB2312" w:cs="楷体_GB2312"/>
          <w:sz w:val="32"/>
          <w:szCs w:val="32"/>
        </w:rPr>
        <w:t>（五）参与单位：</w:t>
      </w:r>
      <w:r>
        <w:rPr>
          <w:rFonts w:hint="eastAsia" w:ascii="仿宋_GB2312" w:hAnsi="仿宋_GB2312" w:eastAsia="仿宋_GB2312" w:cs="仿宋_GB2312"/>
          <w:sz w:val="32"/>
          <w:szCs w:val="32"/>
        </w:rPr>
        <w:t>海南省第五人民医院、解放军总医院海南医院、中国人民解放军联勤保障部队第九二八医院、海南省标准化协会</w:t>
      </w:r>
    </w:p>
    <w:p w14:paraId="64B6C68F">
      <w:pPr>
        <w:numPr>
          <w:ilvl w:val="0"/>
          <w:numId w:val="5"/>
        </w:numPr>
        <w:spacing w:line="560" w:lineRule="exact"/>
        <w:ind w:firstLine="640" w:firstLineChars="200"/>
        <w:jc w:val="both"/>
        <w:rPr>
          <w:rFonts w:ascii="仿宋_GB2312" w:hAnsi="黑体" w:eastAsia="仿宋_GB2312" w:cs="黑体"/>
          <w:sz w:val="32"/>
          <w:szCs w:val="32"/>
        </w:rPr>
      </w:pPr>
      <w:r>
        <w:rPr>
          <w:rFonts w:hint="eastAsia" w:ascii="仿宋_GB2312" w:hAnsi="楷体_GB2312" w:eastAsia="仿宋_GB2312" w:cs="楷体_GB2312"/>
          <w:sz w:val="32"/>
          <w:szCs w:val="32"/>
        </w:rPr>
        <w:t>主要起草人信息、任务分工：见表1</w:t>
      </w:r>
    </w:p>
    <w:p w14:paraId="2CE9CC3C">
      <w:pPr>
        <w:adjustRightInd w:val="0"/>
        <w:snapToGrid w:val="0"/>
        <w:spacing w:line="560" w:lineRule="exact"/>
        <w:ind w:firstLine="640" w:firstLineChars="200"/>
        <w:jc w:val="center"/>
        <w:rPr>
          <w:rFonts w:ascii="黑体" w:hAnsi="黑体" w:eastAsia="黑体" w:cs="黑体"/>
          <w:sz w:val="32"/>
          <w:szCs w:val="32"/>
        </w:rPr>
      </w:pPr>
      <w:r>
        <w:rPr>
          <w:rFonts w:hint="eastAsia" w:ascii="黑体" w:hAnsi="黑体" w:eastAsia="黑体" w:cs="黑体"/>
          <w:sz w:val="32"/>
          <w:szCs w:val="32"/>
        </w:rPr>
        <w:t>表1  主要起草人员信息及任务分工</w:t>
      </w:r>
    </w:p>
    <w:tbl>
      <w:tblPr>
        <w:tblStyle w:val="14"/>
        <w:tblW w:w="96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9"/>
        <w:gridCol w:w="1302"/>
        <w:gridCol w:w="2546"/>
        <w:gridCol w:w="2439"/>
        <w:gridCol w:w="2360"/>
      </w:tblGrid>
      <w:tr w14:paraId="1A1BD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4" w:hRule="atLeast"/>
          <w:tblHeader/>
          <w:jc w:val="center"/>
        </w:trPr>
        <w:tc>
          <w:tcPr>
            <w:tcW w:w="959" w:type="dxa"/>
            <w:vAlign w:val="center"/>
          </w:tcPr>
          <w:p w14:paraId="7212925B">
            <w:pPr>
              <w:widowControl w:val="0"/>
              <w:jc w:val="center"/>
              <w:rPr>
                <w:rFonts w:ascii="黑体" w:hAnsi="黑体" w:eastAsia="黑体" w:cs="黑体"/>
                <w:sz w:val="24"/>
                <w:szCs w:val="24"/>
              </w:rPr>
            </w:pPr>
            <w:r>
              <w:rPr>
                <w:rFonts w:hint="eastAsia" w:ascii="黑体" w:hAnsi="黑体" w:eastAsia="黑体" w:cs="黑体"/>
                <w:sz w:val="24"/>
                <w:szCs w:val="24"/>
              </w:rPr>
              <w:t>序号</w:t>
            </w:r>
          </w:p>
        </w:tc>
        <w:tc>
          <w:tcPr>
            <w:tcW w:w="1302" w:type="dxa"/>
            <w:vAlign w:val="center"/>
          </w:tcPr>
          <w:p w14:paraId="5042F3A2">
            <w:pPr>
              <w:widowControl w:val="0"/>
              <w:jc w:val="center"/>
              <w:rPr>
                <w:rFonts w:ascii="黑体" w:hAnsi="黑体" w:eastAsia="黑体" w:cs="黑体"/>
                <w:sz w:val="24"/>
                <w:szCs w:val="24"/>
              </w:rPr>
            </w:pPr>
            <w:r>
              <w:rPr>
                <w:rFonts w:hint="eastAsia" w:ascii="黑体" w:hAnsi="黑体" w:eastAsia="黑体" w:cs="黑体"/>
                <w:sz w:val="24"/>
                <w:szCs w:val="24"/>
              </w:rPr>
              <w:t>姓名</w:t>
            </w:r>
          </w:p>
        </w:tc>
        <w:tc>
          <w:tcPr>
            <w:tcW w:w="2546" w:type="dxa"/>
            <w:vAlign w:val="center"/>
          </w:tcPr>
          <w:p w14:paraId="66A69C0C">
            <w:pPr>
              <w:widowControl w:val="0"/>
              <w:jc w:val="center"/>
              <w:rPr>
                <w:rFonts w:ascii="黑体" w:hAnsi="黑体" w:eastAsia="黑体" w:cs="黑体"/>
                <w:sz w:val="24"/>
                <w:szCs w:val="24"/>
              </w:rPr>
            </w:pPr>
            <w:r>
              <w:rPr>
                <w:rFonts w:hint="eastAsia" w:ascii="黑体" w:hAnsi="黑体" w:eastAsia="黑体" w:cs="黑体"/>
                <w:sz w:val="24"/>
                <w:szCs w:val="24"/>
              </w:rPr>
              <w:t>单位</w:t>
            </w:r>
          </w:p>
        </w:tc>
        <w:tc>
          <w:tcPr>
            <w:tcW w:w="2439" w:type="dxa"/>
            <w:vAlign w:val="center"/>
          </w:tcPr>
          <w:p w14:paraId="529E2EF8">
            <w:pPr>
              <w:widowControl w:val="0"/>
              <w:jc w:val="center"/>
              <w:rPr>
                <w:rFonts w:ascii="黑体" w:hAnsi="黑体" w:eastAsia="黑体" w:cs="黑体"/>
                <w:sz w:val="24"/>
                <w:szCs w:val="24"/>
              </w:rPr>
            </w:pPr>
            <w:r>
              <w:rPr>
                <w:rFonts w:hint="eastAsia" w:ascii="黑体" w:hAnsi="黑体" w:eastAsia="黑体" w:cs="黑体"/>
                <w:sz w:val="24"/>
                <w:szCs w:val="24"/>
              </w:rPr>
              <w:t>职务</w:t>
            </w:r>
          </w:p>
        </w:tc>
        <w:tc>
          <w:tcPr>
            <w:tcW w:w="2360" w:type="dxa"/>
            <w:vAlign w:val="center"/>
          </w:tcPr>
          <w:p w14:paraId="4088CA48">
            <w:pPr>
              <w:widowControl w:val="0"/>
              <w:jc w:val="center"/>
              <w:rPr>
                <w:rFonts w:ascii="黑体" w:hAnsi="黑体" w:eastAsia="黑体" w:cs="黑体"/>
                <w:sz w:val="24"/>
                <w:szCs w:val="24"/>
              </w:rPr>
            </w:pPr>
            <w:r>
              <w:rPr>
                <w:rFonts w:hint="eastAsia" w:ascii="黑体" w:hAnsi="黑体" w:eastAsia="黑体" w:cs="黑体"/>
                <w:sz w:val="24"/>
                <w:szCs w:val="24"/>
              </w:rPr>
              <w:t>任务分工</w:t>
            </w:r>
          </w:p>
        </w:tc>
      </w:tr>
      <w:tr w14:paraId="59121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34531FBF">
            <w:pPr>
              <w:pStyle w:val="20"/>
              <w:widowControl w:val="0"/>
              <w:numPr>
                <w:ilvl w:val="0"/>
                <w:numId w:val="6"/>
              </w:numPr>
              <w:tabs>
                <w:tab w:val="left" w:pos="993"/>
              </w:tabs>
              <w:ind w:firstLineChars="0"/>
              <w:jc w:val="center"/>
              <w:rPr>
                <w:rFonts w:ascii="仿宋" w:hAnsi="仿宋" w:eastAsia="仿宋" w:cs="仿宋_GB2312"/>
                <w:sz w:val="24"/>
                <w:szCs w:val="24"/>
              </w:rPr>
            </w:pPr>
          </w:p>
        </w:tc>
        <w:tc>
          <w:tcPr>
            <w:tcW w:w="1302" w:type="dxa"/>
            <w:vAlign w:val="center"/>
          </w:tcPr>
          <w:p w14:paraId="6B90CB7B">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韩慧</w:t>
            </w:r>
          </w:p>
        </w:tc>
        <w:tc>
          <w:tcPr>
            <w:tcW w:w="2546" w:type="dxa"/>
            <w:vAlign w:val="center"/>
          </w:tcPr>
          <w:p w14:paraId="5D941F05">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海南省血液中心</w:t>
            </w:r>
          </w:p>
        </w:tc>
        <w:tc>
          <w:tcPr>
            <w:tcW w:w="2439" w:type="dxa"/>
            <w:vAlign w:val="center"/>
          </w:tcPr>
          <w:p w14:paraId="5998860A">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检验科主任</w:t>
            </w:r>
          </w:p>
        </w:tc>
        <w:tc>
          <w:tcPr>
            <w:tcW w:w="2360" w:type="dxa"/>
            <w:vAlign w:val="center"/>
          </w:tcPr>
          <w:p w14:paraId="1E88CFBA">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统筹、业务指导</w:t>
            </w:r>
          </w:p>
        </w:tc>
      </w:tr>
      <w:tr w14:paraId="1EC542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53DC6E95">
            <w:pPr>
              <w:pStyle w:val="20"/>
              <w:widowControl w:val="0"/>
              <w:numPr>
                <w:ilvl w:val="0"/>
                <w:numId w:val="6"/>
              </w:numPr>
              <w:tabs>
                <w:tab w:val="left" w:pos="993"/>
              </w:tabs>
              <w:ind w:firstLineChars="0"/>
              <w:jc w:val="center"/>
              <w:rPr>
                <w:rFonts w:ascii="仿宋" w:hAnsi="仿宋" w:eastAsia="仿宋" w:cs="仿宋_GB2312"/>
                <w:sz w:val="24"/>
                <w:szCs w:val="24"/>
              </w:rPr>
            </w:pPr>
          </w:p>
        </w:tc>
        <w:tc>
          <w:tcPr>
            <w:tcW w:w="1302" w:type="dxa"/>
            <w:vAlign w:val="center"/>
          </w:tcPr>
          <w:p w14:paraId="1EC8CC44">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王林</w:t>
            </w:r>
          </w:p>
        </w:tc>
        <w:tc>
          <w:tcPr>
            <w:tcW w:w="2546" w:type="dxa"/>
            <w:vAlign w:val="center"/>
          </w:tcPr>
          <w:p w14:paraId="6426196D">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海南省血液中心</w:t>
            </w:r>
          </w:p>
        </w:tc>
        <w:tc>
          <w:tcPr>
            <w:tcW w:w="2439" w:type="dxa"/>
            <w:vAlign w:val="center"/>
          </w:tcPr>
          <w:p w14:paraId="0C80F668">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业务科科员</w:t>
            </w:r>
          </w:p>
        </w:tc>
        <w:tc>
          <w:tcPr>
            <w:tcW w:w="2360" w:type="dxa"/>
            <w:vAlign w:val="center"/>
          </w:tcPr>
          <w:p w14:paraId="633F1BBB">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标准文本起草</w:t>
            </w:r>
          </w:p>
        </w:tc>
      </w:tr>
      <w:tr w14:paraId="60D98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55DBBC3C">
            <w:pPr>
              <w:pStyle w:val="20"/>
              <w:widowControl w:val="0"/>
              <w:numPr>
                <w:ilvl w:val="0"/>
                <w:numId w:val="6"/>
              </w:numPr>
              <w:tabs>
                <w:tab w:val="left" w:pos="993"/>
              </w:tabs>
              <w:ind w:firstLineChars="0"/>
              <w:jc w:val="center"/>
              <w:rPr>
                <w:rFonts w:ascii="仿宋" w:hAnsi="仿宋" w:eastAsia="仿宋" w:cs="仿宋_GB2312"/>
                <w:sz w:val="24"/>
                <w:szCs w:val="24"/>
              </w:rPr>
            </w:pPr>
          </w:p>
        </w:tc>
        <w:tc>
          <w:tcPr>
            <w:tcW w:w="1302" w:type="dxa"/>
            <w:vAlign w:val="center"/>
          </w:tcPr>
          <w:p w14:paraId="257917C6">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吴晓强</w:t>
            </w:r>
          </w:p>
        </w:tc>
        <w:tc>
          <w:tcPr>
            <w:tcW w:w="2546" w:type="dxa"/>
            <w:vAlign w:val="center"/>
          </w:tcPr>
          <w:p w14:paraId="0653D855">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海南省血液中心</w:t>
            </w:r>
          </w:p>
        </w:tc>
        <w:tc>
          <w:tcPr>
            <w:tcW w:w="2439" w:type="dxa"/>
            <w:vAlign w:val="center"/>
          </w:tcPr>
          <w:p w14:paraId="53C3F745">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中心主任</w:t>
            </w:r>
          </w:p>
        </w:tc>
        <w:tc>
          <w:tcPr>
            <w:tcW w:w="2360" w:type="dxa"/>
            <w:vAlign w:val="center"/>
          </w:tcPr>
          <w:p w14:paraId="66CA9B50">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统筹协调</w:t>
            </w:r>
          </w:p>
        </w:tc>
      </w:tr>
      <w:tr w14:paraId="595D8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1BE9A2B1">
            <w:pPr>
              <w:pStyle w:val="20"/>
              <w:widowControl w:val="0"/>
              <w:numPr>
                <w:ilvl w:val="0"/>
                <w:numId w:val="6"/>
              </w:numPr>
              <w:tabs>
                <w:tab w:val="left" w:pos="993"/>
              </w:tabs>
              <w:ind w:firstLineChars="0"/>
              <w:jc w:val="center"/>
              <w:rPr>
                <w:rFonts w:ascii="仿宋" w:hAnsi="仿宋" w:eastAsia="仿宋" w:cs="仿宋_GB2312"/>
                <w:sz w:val="24"/>
                <w:szCs w:val="24"/>
              </w:rPr>
            </w:pPr>
          </w:p>
        </w:tc>
        <w:tc>
          <w:tcPr>
            <w:tcW w:w="1302" w:type="dxa"/>
            <w:vAlign w:val="center"/>
          </w:tcPr>
          <w:p w14:paraId="427C8564">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冯增强</w:t>
            </w:r>
          </w:p>
        </w:tc>
        <w:tc>
          <w:tcPr>
            <w:tcW w:w="2546" w:type="dxa"/>
            <w:vAlign w:val="center"/>
          </w:tcPr>
          <w:p w14:paraId="1500A7A3">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海南省血液中心</w:t>
            </w:r>
          </w:p>
        </w:tc>
        <w:tc>
          <w:tcPr>
            <w:tcW w:w="2439" w:type="dxa"/>
            <w:vAlign w:val="center"/>
          </w:tcPr>
          <w:p w14:paraId="27A9B3C5">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中心副主任</w:t>
            </w:r>
          </w:p>
        </w:tc>
        <w:tc>
          <w:tcPr>
            <w:tcW w:w="2360" w:type="dxa"/>
            <w:vAlign w:val="center"/>
          </w:tcPr>
          <w:p w14:paraId="4259EF9E">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统筹与组织工作</w:t>
            </w:r>
          </w:p>
        </w:tc>
      </w:tr>
      <w:tr w14:paraId="5A35B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62D9E00D">
            <w:pPr>
              <w:pStyle w:val="20"/>
              <w:widowControl w:val="0"/>
              <w:numPr>
                <w:ilvl w:val="0"/>
                <w:numId w:val="6"/>
              </w:numPr>
              <w:tabs>
                <w:tab w:val="left" w:pos="993"/>
              </w:tabs>
              <w:ind w:firstLineChars="0"/>
              <w:jc w:val="center"/>
              <w:rPr>
                <w:rFonts w:ascii="仿宋" w:hAnsi="仿宋" w:eastAsia="仿宋" w:cs="仿宋_GB2312"/>
                <w:sz w:val="24"/>
                <w:szCs w:val="24"/>
              </w:rPr>
            </w:pPr>
          </w:p>
        </w:tc>
        <w:tc>
          <w:tcPr>
            <w:tcW w:w="1302" w:type="dxa"/>
            <w:vAlign w:val="center"/>
          </w:tcPr>
          <w:p w14:paraId="244A79E3">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朱考考</w:t>
            </w:r>
          </w:p>
        </w:tc>
        <w:tc>
          <w:tcPr>
            <w:tcW w:w="2546" w:type="dxa"/>
            <w:vAlign w:val="center"/>
          </w:tcPr>
          <w:p w14:paraId="374DDDB2">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海南省血液中心</w:t>
            </w:r>
          </w:p>
        </w:tc>
        <w:tc>
          <w:tcPr>
            <w:tcW w:w="2439" w:type="dxa"/>
            <w:vAlign w:val="center"/>
          </w:tcPr>
          <w:p w14:paraId="05E56EC0">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中心副主任</w:t>
            </w:r>
          </w:p>
        </w:tc>
        <w:tc>
          <w:tcPr>
            <w:tcW w:w="2360" w:type="dxa"/>
            <w:vAlign w:val="center"/>
          </w:tcPr>
          <w:p w14:paraId="1DB50ED4">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专业性指导</w:t>
            </w:r>
          </w:p>
        </w:tc>
      </w:tr>
      <w:tr w14:paraId="7DA20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3A4EB593">
            <w:pPr>
              <w:pStyle w:val="20"/>
              <w:widowControl w:val="0"/>
              <w:numPr>
                <w:ilvl w:val="0"/>
                <w:numId w:val="6"/>
              </w:numPr>
              <w:tabs>
                <w:tab w:val="left" w:pos="993"/>
              </w:tabs>
              <w:ind w:firstLineChars="0"/>
              <w:jc w:val="center"/>
              <w:rPr>
                <w:rFonts w:ascii="仿宋" w:hAnsi="仿宋" w:eastAsia="仿宋" w:cs="仿宋_GB2312"/>
                <w:sz w:val="24"/>
                <w:szCs w:val="24"/>
              </w:rPr>
            </w:pPr>
          </w:p>
        </w:tc>
        <w:tc>
          <w:tcPr>
            <w:tcW w:w="1302" w:type="dxa"/>
            <w:vAlign w:val="center"/>
          </w:tcPr>
          <w:p w14:paraId="6D5AB167">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张炯炯</w:t>
            </w:r>
          </w:p>
        </w:tc>
        <w:tc>
          <w:tcPr>
            <w:tcW w:w="2546" w:type="dxa"/>
            <w:vAlign w:val="center"/>
          </w:tcPr>
          <w:p w14:paraId="1613963B">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海南省血液中心</w:t>
            </w:r>
          </w:p>
        </w:tc>
        <w:tc>
          <w:tcPr>
            <w:tcW w:w="2439" w:type="dxa"/>
            <w:vAlign w:val="center"/>
          </w:tcPr>
          <w:p w14:paraId="173918F0">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检验科副主任技师</w:t>
            </w:r>
          </w:p>
        </w:tc>
        <w:tc>
          <w:tcPr>
            <w:tcW w:w="2360" w:type="dxa"/>
            <w:vAlign w:val="center"/>
          </w:tcPr>
          <w:p w14:paraId="2A02F796">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数据规整</w:t>
            </w:r>
          </w:p>
        </w:tc>
      </w:tr>
      <w:tr w14:paraId="770CD6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00AC2AFC">
            <w:pPr>
              <w:pStyle w:val="20"/>
              <w:widowControl w:val="0"/>
              <w:numPr>
                <w:ilvl w:val="0"/>
                <w:numId w:val="6"/>
              </w:numPr>
              <w:tabs>
                <w:tab w:val="left" w:pos="993"/>
              </w:tabs>
              <w:ind w:firstLineChars="0"/>
              <w:jc w:val="center"/>
              <w:rPr>
                <w:rFonts w:ascii="仿宋" w:hAnsi="仿宋" w:eastAsia="仿宋" w:cs="仿宋_GB2312"/>
                <w:sz w:val="24"/>
                <w:szCs w:val="24"/>
              </w:rPr>
            </w:pPr>
          </w:p>
        </w:tc>
        <w:tc>
          <w:tcPr>
            <w:tcW w:w="1302" w:type="dxa"/>
            <w:vAlign w:val="center"/>
          </w:tcPr>
          <w:p w14:paraId="0AE45282">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黄乙清</w:t>
            </w:r>
          </w:p>
        </w:tc>
        <w:tc>
          <w:tcPr>
            <w:tcW w:w="2546" w:type="dxa"/>
            <w:vAlign w:val="center"/>
          </w:tcPr>
          <w:p w14:paraId="135DE97F">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海南省血液中心</w:t>
            </w:r>
          </w:p>
        </w:tc>
        <w:tc>
          <w:tcPr>
            <w:tcW w:w="2439" w:type="dxa"/>
            <w:vAlign w:val="center"/>
          </w:tcPr>
          <w:p w14:paraId="300FE9AB">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检验科副主任</w:t>
            </w:r>
          </w:p>
        </w:tc>
        <w:tc>
          <w:tcPr>
            <w:tcW w:w="2360" w:type="dxa"/>
            <w:vAlign w:val="center"/>
          </w:tcPr>
          <w:p w14:paraId="06D54678">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材料整合</w:t>
            </w:r>
          </w:p>
        </w:tc>
      </w:tr>
      <w:tr w14:paraId="2F682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2C66045B">
            <w:pPr>
              <w:pStyle w:val="20"/>
              <w:widowControl w:val="0"/>
              <w:numPr>
                <w:ilvl w:val="0"/>
                <w:numId w:val="6"/>
              </w:numPr>
              <w:tabs>
                <w:tab w:val="left" w:pos="993"/>
              </w:tabs>
              <w:ind w:firstLineChars="0"/>
              <w:jc w:val="center"/>
              <w:rPr>
                <w:rFonts w:ascii="仿宋" w:hAnsi="仿宋" w:eastAsia="仿宋" w:cs="仿宋_GB2312"/>
                <w:sz w:val="24"/>
                <w:szCs w:val="24"/>
              </w:rPr>
            </w:pPr>
          </w:p>
        </w:tc>
        <w:tc>
          <w:tcPr>
            <w:tcW w:w="1302" w:type="dxa"/>
            <w:vAlign w:val="center"/>
          </w:tcPr>
          <w:p w14:paraId="3C06AB98">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陈红妙</w:t>
            </w:r>
          </w:p>
        </w:tc>
        <w:tc>
          <w:tcPr>
            <w:tcW w:w="2546" w:type="dxa"/>
            <w:vAlign w:val="center"/>
          </w:tcPr>
          <w:p w14:paraId="068A3318">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海南省血液中心</w:t>
            </w:r>
          </w:p>
        </w:tc>
        <w:tc>
          <w:tcPr>
            <w:tcW w:w="2439" w:type="dxa"/>
            <w:vAlign w:val="center"/>
          </w:tcPr>
          <w:p w14:paraId="5259F573">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机采科主管护师</w:t>
            </w:r>
          </w:p>
        </w:tc>
        <w:tc>
          <w:tcPr>
            <w:tcW w:w="2360" w:type="dxa"/>
            <w:vAlign w:val="center"/>
          </w:tcPr>
          <w:p w14:paraId="13010858">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文献查新</w:t>
            </w:r>
          </w:p>
        </w:tc>
      </w:tr>
      <w:tr w14:paraId="2B1222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510AB895">
            <w:pPr>
              <w:pStyle w:val="20"/>
              <w:widowControl w:val="0"/>
              <w:numPr>
                <w:ilvl w:val="0"/>
                <w:numId w:val="6"/>
              </w:numPr>
              <w:tabs>
                <w:tab w:val="left" w:pos="993"/>
              </w:tabs>
              <w:ind w:firstLineChars="0"/>
              <w:jc w:val="center"/>
              <w:rPr>
                <w:rFonts w:ascii="仿宋" w:hAnsi="仿宋" w:eastAsia="仿宋" w:cs="仿宋_GB2312"/>
                <w:sz w:val="24"/>
                <w:szCs w:val="24"/>
              </w:rPr>
            </w:pPr>
          </w:p>
        </w:tc>
        <w:tc>
          <w:tcPr>
            <w:tcW w:w="1302" w:type="dxa"/>
            <w:vAlign w:val="center"/>
          </w:tcPr>
          <w:p w14:paraId="5C8A9DFB">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陈蔚明</w:t>
            </w:r>
          </w:p>
        </w:tc>
        <w:tc>
          <w:tcPr>
            <w:tcW w:w="2546" w:type="dxa"/>
            <w:vAlign w:val="center"/>
          </w:tcPr>
          <w:p w14:paraId="31CB63A9">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海南省第五人民医院</w:t>
            </w:r>
          </w:p>
        </w:tc>
        <w:tc>
          <w:tcPr>
            <w:tcW w:w="2439" w:type="dxa"/>
            <w:vAlign w:val="center"/>
          </w:tcPr>
          <w:p w14:paraId="6A4215BF">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皮肤科主管护师</w:t>
            </w:r>
          </w:p>
        </w:tc>
        <w:tc>
          <w:tcPr>
            <w:tcW w:w="2360" w:type="dxa"/>
            <w:vAlign w:val="center"/>
          </w:tcPr>
          <w:p w14:paraId="7323F52E">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文献查新</w:t>
            </w:r>
          </w:p>
        </w:tc>
      </w:tr>
      <w:tr w14:paraId="5333D6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721260D3">
            <w:pPr>
              <w:pStyle w:val="20"/>
              <w:widowControl w:val="0"/>
              <w:numPr>
                <w:ilvl w:val="0"/>
                <w:numId w:val="6"/>
              </w:numPr>
              <w:tabs>
                <w:tab w:val="left" w:pos="993"/>
              </w:tabs>
              <w:ind w:firstLineChars="0"/>
              <w:jc w:val="center"/>
              <w:rPr>
                <w:rFonts w:ascii="仿宋" w:hAnsi="仿宋" w:eastAsia="仿宋" w:cs="仿宋_GB2312"/>
                <w:sz w:val="24"/>
                <w:szCs w:val="24"/>
              </w:rPr>
            </w:pPr>
          </w:p>
        </w:tc>
        <w:tc>
          <w:tcPr>
            <w:tcW w:w="1302" w:type="dxa"/>
            <w:vAlign w:val="center"/>
          </w:tcPr>
          <w:p w14:paraId="13BA4BCD">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侯惠芬</w:t>
            </w:r>
          </w:p>
        </w:tc>
        <w:tc>
          <w:tcPr>
            <w:tcW w:w="2546" w:type="dxa"/>
            <w:vAlign w:val="center"/>
          </w:tcPr>
          <w:p w14:paraId="486EE897">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海南省血液中心</w:t>
            </w:r>
          </w:p>
        </w:tc>
        <w:tc>
          <w:tcPr>
            <w:tcW w:w="2439" w:type="dxa"/>
            <w:vAlign w:val="center"/>
          </w:tcPr>
          <w:p w14:paraId="357316EC">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质量管理科主管护师</w:t>
            </w:r>
          </w:p>
        </w:tc>
        <w:tc>
          <w:tcPr>
            <w:tcW w:w="2360" w:type="dxa"/>
            <w:vAlign w:val="center"/>
          </w:tcPr>
          <w:p w14:paraId="0053D7EA">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流程审核</w:t>
            </w:r>
          </w:p>
        </w:tc>
      </w:tr>
      <w:tr w14:paraId="048D1F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716A6F79">
            <w:pPr>
              <w:pStyle w:val="20"/>
              <w:widowControl w:val="0"/>
              <w:numPr>
                <w:ilvl w:val="0"/>
                <w:numId w:val="6"/>
              </w:numPr>
              <w:tabs>
                <w:tab w:val="left" w:pos="993"/>
              </w:tabs>
              <w:ind w:firstLineChars="0"/>
              <w:jc w:val="center"/>
              <w:rPr>
                <w:rFonts w:ascii="仿宋" w:hAnsi="仿宋" w:eastAsia="仿宋" w:cs="仿宋_GB2312"/>
                <w:sz w:val="24"/>
                <w:szCs w:val="24"/>
              </w:rPr>
            </w:pPr>
          </w:p>
        </w:tc>
        <w:tc>
          <w:tcPr>
            <w:tcW w:w="1302" w:type="dxa"/>
            <w:vAlign w:val="center"/>
          </w:tcPr>
          <w:p w14:paraId="478C71CE">
            <w:pPr>
              <w:widowControl w:val="0"/>
              <w:jc w:val="center"/>
              <w:rPr>
                <w:rFonts w:ascii="仿宋" w:hAnsi="仿宋" w:eastAsia="仿宋" w:cs="仿宋_GB2312"/>
                <w:sz w:val="24"/>
                <w:szCs w:val="24"/>
              </w:rPr>
            </w:pPr>
            <w:r>
              <w:rPr>
                <w:rFonts w:hint="eastAsia" w:ascii="仿宋" w:hAnsi="仿宋" w:eastAsia="仿宋" w:cs="仿宋_GB2312"/>
                <w:sz w:val="24"/>
                <w:szCs w:val="24"/>
              </w:rPr>
              <w:t>郑日大</w:t>
            </w:r>
          </w:p>
        </w:tc>
        <w:tc>
          <w:tcPr>
            <w:tcW w:w="2546" w:type="dxa"/>
            <w:vAlign w:val="center"/>
          </w:tcPr>
          <w:p w14:paraId="44641D65">
            <w:pPr>
              <w:widowControl w:val="0"/>
              <w:jc w:val="center"/>
              <w:rPr>
                <w:rFonts w:ascii="仿宋" w:hAnsi="仿宋" w:eastAsia="仿宋" w:cs="仿宋_GB2312"/>
                <w:sz w:val="24"/>
                <w:szCs w:val="24"/>
              </w:rPr>
            </w:pPr>
            <w:r>
              <w:rPr>
                <w:rFonts w:hint="eastAsia" w:ascii="仿宋" w:hAnsi="仿宋" w:eastAsia="仿宋" w:cs="仿宋_GB2312"/>
                <w:sz w:val="24"/>
                <w:szCs w:val="24"/>
              </w:rPr>
              <w:t>海南省</w:t>
            </w:r>
            <w:r>
              <w:rPr>
                <w:rFonts w:hint="eastAsia" w:ascii="仿宋" w:hAnsi="仿宋" w:eastAsia="仿宋" w:cs="微软雅黑"/>
                <w:sz w:val="24"/>
                <w:szCs w:val="24"/>
              </w:rPr>
              <w:t>血液中心</w:t>
            </w:r>
          </w:p>
        </w:tc>
        <w:tc>
          <w:tcPr>
            <w:tcW w:w="2439" w:type="dxa"/>
            <w:vAlign w:val="center"/>
          </w:tcPr>
          <w:p w14:paraId="173F5FFE">
            <w:pPr>
              <w:widowControl w:val="0"/>
              <w:jc w:val="center"/>
              <w:rPr>
                <w:rFonts w:ascii="仿宋" w:hAnsi="仿宋" w:eastAsia="仿宋" w:cs="仿宋_GB2312"/>
                <w:sz w:val="24"/>
                <w:szCs w:val="24"/>
              </w:rPr>
            </w:pPr>
            <w:r>
              <w:rPr>
                <w:rFonts w:hint="eastAsia" w:ascii="仿宋" w:hAnsi="仿宋" w:eastAsia="仿宋" w:cs="仿宋_GB2312"/>
                <w:sz w:val="24"/>
                <w:szCs w:val="24"/>
              </w:rPr>
              <w:t xml:space="preserve"> 机采科主任</w:t>
            </w:r>
          </w:p>
        </w:tc>
        <w:tc>
          <w:tcPr>
            <w:tcW w:w="2360" w:type="dxa"/>
            <w:vAlign w:val="center"/>
          </w:tcPr>
          <w:p w14:paraId="25AB3BAC">
            <w:pPr>
              <w:widowControl w:val="0"/>
              <w:jc w:val="center"/>
              <w:rPr>
                <w:rFonts w:ascii="仿宋" w:hAnsi="仿宋" w:eastAsia="仿宋" w:cs="仿宋_GB2312"/>
                <w:sz w:val="24"/>
                <w:szCs w:val="24"/>
              </w:rPr>
            </w:pPr>
            <w:r>
              <w:rPr>
                <w:rFonts w:hint="eastAsia" w:ascii="仿宋" w:hAnsi="仿宋" w:eastAsia="仿宋" w:cs="仿宋_GB2312"/>
                <w:sz w:val="24"/>
                <w:szCs w:val="24"/>
              </w:rPr>
              <w:t>文稿查新</w:t>
            </w:r>
          </w:p>
        </w:tc>
      </w:tr>
      <w:tr w14:paraId="7DF01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51377A7E">
            <w:pPr>
              <w:pStyle w:val="20"/>
              <w:widowControl w:val="0"/>
              <w:numPr>
                <w:ilvl w:val="0"/>
                <w:numId w:val="6"/>
              </w:numPr>
              <w:tabs>
                <w:tab w:val="left" w:pos="993"/>
              </w:tabs>
              <w:ind w:firstLineChars="0"/>
              <w:jc w:val="center"/>
              <w:rPr>
                <w:rFonts w:ascii="仿宋" w:hAnsi="仿宋" w:eastAsia="仿宋" w:cs="仿宋_GB2312"/>
                <w:sz w:val="24"/>
                <w:szCs w:val="24"/>
              </w:rPr>
            </w:pPr>
          </w:p>
        </w:tc>
        <w:tc>
          <w:tcPr>
            <w:tcW w:w="1302" w:type="dxa"/>
            <w:vAlign w:val="center"/>
          </w:tcPr>
          <w:p w14:paraId="7FA5FC16">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王海宝</w:t>
            </w:r>
          </w:p>
        </w:tc>
        <w:tc>
          <w:tcPr>
            <w:tcW w:w="2546" w:type="dxa"/>
            <w:vAlign w:val="center"/>
          </w:tcPr>
          <w:p w14:paraId="66AD39AF">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解放军总医院海南医院</w:t>
            </w:r>
          </w:p>
        </w:tc>
        <w:tc>
          <w:tcPr>
            <w:tcW w:w="2439" w:type="dxa"/>
            <w:vAlign w:val="center"/>
          </w:tcPr>
          <w:p w14:paraId="432927E3">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输血医学科主任</w:t>
            </w:r>
          </w:p>
        </w:tc>
        <w:tc>
          <w:tcPr>
            <w:tcW w:w="2360" w:type="dxa"/>
            <w:vAlign w:val="center"/>
          </w:tcPr>
          <w:p w14:paraId="75F952FA">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材料审核</w:t>
            </w:r>
          </w:p>
        </w:tc>
      </w:tr>
      <w:tr w14:paraId="4FE80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3EC9C78F">
            <w:pPr>
              <w:pStyle w:val="20"/>
              <w:widowControl w:val="0"/>
              <w:numPr>
                <w:ilvl w:val="0"/>
                <w:numId w:val="6"/>
              </w:numPr>
              <w:tabs>
                <w:tab w:val="left" w:pos="993"/>
              </w:tabs>
              <w:ind w:firstLineChars="0"/>
              <w:jc w:val="center"/>
              <w:rPr>
                <w:rFonts w:ascii="仿宋" w:hAnsi="仿宋" w:eastAsia="仿宋" w:cs="仿宋_GB2312"/>
                <w:sz w:val="24"/>
                <w:szCs w:val="24"/>
              </w:rPr>
            </w:pPr>
          </w:p>
        </w:tc>
        <w:tc>
          <w:tcPr>
            <w:tcW w:w="1302" w:type="dxa"/>
            <w:vAlign w:val="center"/>
          </w:tcPr>
          <w:p w14:paraId="614A718D">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周春苗</w:t>
            </w:r>
          </w:p>
        </w:tc>
        <w:tc>
          <w:tcPr>
            <w:tcW w:w="2546" w:type="dxa"/>
            <w:vAlign w:val="center"/>
          </w:tcPr>
          <w:p w14:paraId="0823F800">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海南省血液中心</w:t>
            </w:r>
          </w:p>
        </w:tc>
        <w:tc>
          <w:tcPr>
            <w:tcW w:w="2439" w:type="dxa"/>
            <w:vAlign w:val="center"/>
          </w:tcPr>
          <w:p w14:paraId="33C7383E">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检验科主管技师</w:t>
            </w:r>
          </w:p>
        </w:tc>
        <w:tc>
          <w:tcPr>
            <w:tcW w:w="2360" w:type="dxa"/>
            <w:vAlign w:val="center"/>
          </w:tcPr>
          <w:p w14:paraId="4CB68097">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调研与收集文献</w:t>
            </w:r>
          </w:p>
        </w:tc>
      </w:tr>
      <w:tr w14:paraId="64C985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10F0DEFA">
            <w:pPr>
              <w:pStyle w:val="20"/>
              <w:widowControl w:val="0"/>
              <w:numPr>
                <w:ilvl w:val="0"/>
                <w:numId w:val="6"/>
              </w:numPr>
              <w:tabs>
                <w:tab w:val="left" w:pos="993"/>
              </w:tabs>
              <w:ind w:firstLineChars="0"/>
              <w:jc w:val="center"/>
              <w:rPr>
                <w:rFonts w:ascii="仿宋" w:hAnsi="仿宋" w:eastAsia="仿宋" w:cs="仿宋_GB2312"/>
                <w:sz w:val="24"/>
                <w:szCs w:val="24"/>
              </w:rPr>
            </w:pPr>
          </w:p>
        </w:tc>
        <w:tc>
          <w:tcPr>
            <w:tcW w:w="1302" w:type="dxa"/>
            <w:vAlign w:val="center"/>
          </w:tcPr>
          <w:p w14:paraId="3F49BC78">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张用丽</w:t>
            </w:r>
          </w:p>
        </w:tc>
        <w:tc>
          <w:tcPr>
            <w:tcW w:w="2546" w:type="dxa"/>
            <w:vAlign w:val="center"/>
          </w:tcPr>
          <w:p w14:paraId="03B34424">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海南省血液中心</w:t>
            </w:r>
          </w:p>
        </w:tc>
        <w:tc>
          <w:tcPr>
            <w:tcW w:w="2439" w:type="dxa"/>
            <w:vAlign w:val="center"/>
          </w:tcPr>
          <w:p w14:paraId="581FCEC8">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检验科主管技师</w:t>
            </w:r>
          </w:p>
        </w:tc>
        <w:tc>
          <w:tcPr>
            <w:tcW w:w="2360" w:type="dxa"/>
            <w:vAlign w:val="center"/>
          </w:tcPr>
          <w:p w14:paraId="17A76AC6">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数据分析与规整</w:t>
            </w:r>
          </w:p>
        </w:tc>
      </w:tr>
      <w:tr w14:paraId="60BFA6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050C12E8">
            <w:pPr>
              <w:pStyle w:val="20"/>
              <w:widowControl w:val="0"/>
              <w:numPr>
                <w:ilvl w:val="0"/>
                <w:numId w:val="6"/>
              </w:numPr>
              <w:tabs>
                <w:tab w:val="left" w:pos="993"/>
              </w:tabs>
              <w:ind w:firstLineChars="0"/>
              <w:jc w:val="center"/>
              <w:rPr>
                <w:rFonts w:ascii="仿宋" w:hAnsi="仿宋" w:eastAsia="仿宋" w:cs="仿宋_GB2312"/>
                <w:sz w:val="24"/>
                <w:szCs w:val="24"/>
              </w:rPr>
            </w:pPr>
          </w:p>
        </w:tc>
        <w:tc>
          <w:tcPr>
            <w:tcW w:w="1302" w:type="dxa"/>
            <w:vAlign w:val="center"/>
          </w:tcPr>
          <w:p w14:paraId="31565440">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黄文菁</w:t>
            </w:r>
          </w:p>
        </w:tc>
        <w:tc>
          <w:tcPr>
            <w:tcW w:w="2546" w:type="dxa"/>
            <w:vAlign w:val="center"/>
          </w:tcPr>
          <w:p w14:paraId="716F78AC">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中国人民解放军联勤保障部队第九二八医院</w:t>
            </w:r>
          </w:p>
        </w:tc>
        <w:tc>
          <w:tcPr>
            <w:tcW w:w="2439" w:type="dxa"/>
            <w:vAlign w:val="center"/>
          </w:tcPr>
          <w:p w14:paraId="40819AD0">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输血医学科主任</w:t>
            </w:r>
          </w:p>
        </w:tc>
        <w:tc>
          <w:tcPr>
            <w:tcW w:w="2360" w:type="dxa"/>
            <w:vAlign w:val="center"/>
          </w:tcPr>
          <w:p w14:paraId="429F5DF6">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材料审核</w:t>
            </w:r>
          </w:p>
        </w:tc>
      </w:tr>
      <w:tr w14:paraId="45BDB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6136A812">
            <w:pPr>
              <w:pStyle w:val="20"/>
              <w:widowControl w:val="0"/>
              <w:numPr>
                <w:ilvl w:val="0"/>
                <w:numId w:val="6"/>
              </w:numPr>
              <w:tabs>
                <w:tab w:val="left" w:pos="993"/>
              </w:tabs>
              <w:ind w:firstLineChars="0"/>
              <w:jc w:val="center"/>
              <w:rPr>
                <w:rFonts w:ascii="仿宋" w:hAnsi="仿宋" w:eastAsia="仿宋" w:cs="仿宋_GB2312"/>
                <w:sz w:val="24"/>
                <w:szCs w:val="24"/>
              </w:rPr>
            </w:pPr>
          </w:p>
        </w:tc>
        <w:tc>
          <w:tcPr>
            <w:tcW w:w="1302" w:type="dxa"/>
            <w:vAlign w:val="center"/>
          </w:tcPr>
          <w:p w14:paraId="09B2D38F">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杜磊</w:t>
            </w:r>
          </w:p>
        </w:tc>
        <w:tc>
          <w:tcPr>
            <w:tcW w:w="2546" w:type="dxa"/>
            <w:vAlign w:val="center"/>
          </w:tcPr>
          <w:p w14:paraId="3B71B30B">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海南省标准化协会</w:t>
            </w:r>
          </w:p>
        </w:tc>
        <w:tc>
          <w:tcPr>
            <w:tcW w:w="2439" w:type="dxa"/>
            <w:vAlign w:val="center"/>
          </w:tcPr>
          <w:p w14:paraId="13DA69D6">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秘书长</w:t>
            </w:r>
          </w:p>
        </w:tc>
        <w:tc>
          <w:tcPr>
            <w:tcW w:w="2360" w:type="dxa"/>
            <w:vAlign w:val="center"/>
          </w:tcPr>
          <w:p w14:paraId="48E1F39C">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业务协调</w:t>
            </w:r>
          </w:p>
        </w:tc>
      </w:tr>
      <w:tr w14:paraId="318D5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3F092ED7">
            <w:pPr>
              <w:pStyle w:val="20"/>
              <w:widowControl w:val="0"/>
              <w:numPr>
                <w:ilvl w:val="0"/>
                <w:numId w:val="6"/>
              </w:numPr>
              <w:tabs>
                <w:tab w:val="left" w:pos="993"/>
              </w:tabs>
              <w:ind w:firstLineChars="0"/>
              <w:jc w:val="center"/>
              <w:rPr>
                <w:rFonts w:ascii="仿宋" w:hAnsi="仿宋" w:eastAsia="仿宋" w:cs="仿宋_GB2312"/>
                <w:sz w:val="24"/>
                <w:szCs w:val="24"/>
              </w:rPr>
            </w:pPr>
          </w:p>
        </w:tc>
        <w:tc>
          <w:tcPr>
            <w:tcW w:w="1302" w:type="dxa"/>
            <w:vAlign w:val="center"/>
          </w:tcPr>
          <w:p w14:paraId="7C278D63">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黄宏毓</w:t>
            </w:r>
          </w:p>
        </w:tc>
        <w:tc>
          <w:tcPr>
            <w:tcW w:w="2546" w:type="dxa"/>
            <w:vAlign w:val="center"/>
          </w:tcPr>
          <w:p w14:paraId="01CB55AD">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海南省标准化协会</w:t>
            </w:r>
          </w:p>
        </w:tc>
        <w:tc>
          <w:tcPr>
            <w:tcW w:w="2439" w:type="dxa"/>
            <w:vAlign w:val="center"/>
          </w:tcPr>
          <w:p w14:paraId="2D6DB1A6">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标准化技术人员</w:t>
            </w:r>
          </w:p>
        </w:tc>
        <w:tc>
          <w:tcPr>
            <w:tcW w:w="2360" w:type="dxa"/>
            <w:vAlign w:val="center"/>
          </w:tcPr>
          <w:p w14:paraId="6E4DB743">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业务指导与组织修改</w:t>
            </w:r>
          </w:p>
        </w:tc>
      </w:tr>
      <w:tr w14:paraId="34775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5D5E9F94">
            <w:pPr>
              <w:pStyle w:val="20"/>
              <w:widowControl w:val="0"/>
              <w:numPr>
                <w:ilvl w:val="0"/>
                <w:numId w:val="6"/>
              </w:numPr>
              <w:tabs>
                <w:tab w:val="left" w:pos="993"/>
              </w:tabs>
              <w:ind w:firstLineChars="0"/>
              <w:jc w:val="center"/>
              <w:rPr>
                <w:rFonts w:ascii="仿宋" w:hAnsi="仿宋" w:eastAsia="仿宋" w:cs="仿宋_GB2312"/>
                <w:sz w:val="24"/>
                <w:szCs w:val="24"/>
              </w:rPr>
            </w:pPr>
          </w:p>
        </w:tc>
        <w:tc>
          <w:tcPr>
            <w:tcW w:w="1302" w:type="dxa"/>
            <w:vAlign w:val="center"/>
          </w:tcPr>
          <w:p w14:paraId="0B49EE99">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黄家将</w:t>
            </w:r>
          </w:p>
        </w:tc>
        <w:tc>
          <w:tcPr>
            <w:tcW w:w="2546" w:type="dxa"/>
            <w:vAlign w:val="center"/>
          </w:tcPr>
          <w:p w14:paraId="3C882989">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海南省标准化协会</w:t>
            </w:r>
          </w:p>
        </w:tc>
        <w:tc>
          <w:tcPr>
            <w:tcW w:w="2439" w:type="dxa"/>
            <w:vAlign w:val="center"/>
          </w:tcPr>
          <w:p w14:paraId="691BD4B9">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标准化技术人员</w:t>
            </w:r>
          </w:p>
        </w:tc>
        <w:tc>
          <w:tcPr>
            <w:tcW w:w="2360" w:type="dxa"/>
            <w:vAlign w:val="center"/>
          </w:tcPr>
          <w:p w14:paraId="167EF220">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文稿格式修正</w:t>
            </w:r>
          </w:p>
        </w:tc>
      </w:tr>
      <w:tr w14:paraId="58EDB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49B4C2DD">
            <w:pPr>
              <w:pStyle w:val="20"/>
              <w:widowControl w:val="0"/>
              <w:numPr>
                <w:ilvl w:val="0"/>
                <w:numId w:val="6"/>
              </w:numPr>
              <w:tabs>
                <w:tab w:val="left" w:pos="993"/>
              </w:tabs>
              <w:ind w:firstLineChars="0"/>
              <w:jc w:val="center"/>
              <w:rPr>
                <w:rFonts w:ascii="仿宋" w:hAnsi="仿宋" w:eastAsia="仿宋" w:cs="仿宋_GB2312"/>
                <w:sz w:val="24"/>
                <w:szCs w:val="24"/>
              </w:rPr>
            </w:pPr>
          </w:p>
        </w:tc>
        <w:tc>
          <w:tcPr>
            <w:tcW w:w="1302" w:type="dxa"/>
            <w:vAlign w:val="center"/>
          </w:tcPr>
          <w:p w14:paraId="3D3283D5">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竺沁</w:t>
            </w:r>
          </w:p>
        </w:tc>
        <w:tc>
          <w:tcPr>
            <w:tcW w:w="2546" w:type="dxa"/>
            <w:vAlign w:val="center"/>
          </w:tcPr>
          <w:p w14:paraId="3D15FC39">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海南省标准化协会</w:t>
            </w:r>
          </w:p>
        </w:tc>
        <w:tc>
          <w:tcPr>
            <w:tcW w:w="2439" w:type="dxa"/>
            <w:vAlign w:val="center"/>
          </w:tcPr>
          <w:p w14:paraId="7B2A5930">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标准化技术人员</w:t>
            </w:r>
          </w:p>
        </w:tc>
        <w:tc>
          <w:tcPr>
            <w:tcW w:w="2360" w:type="dxa"/>
            <w:vAlign w:val="center"/>
          </w:tcPr>
          <w:p w14:paraId="528612A3">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数据查新</w:t>
            </w:r>
          </w:p>
        </w:tc>
      </w:tr>
      <w:tr w14:paraId="6895B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785102DE">
            <w:pPr>
              <w:pStyle w:val="20"/>
              <w:widowControl w:val="0"/>
              <w:numPr>
                <w:ilvl w:val="0"/>
                <w:numId w:val="6"/>
              </w:numPr>
              <w:tabs>
                <w:tab w:val="left" w:pos="993"/>
              </w:tabs>
              <w:ind w:firstLineChars="0"/>
              <w:jc w:val="center"/>
              <w:rPr>
                <w:rFonts w:ascii="仿宋" w:hAnsi="仿宋" w:eastAsia="仿宋" w:cs="仿宋_GB2312"/>
                <w:sz w:val="24"/>
                <w:szCs w:val="24"/>
              </w:rPr>
            </w:pPr>
          </w:p>
        </w:tc>
        <w:tc>
          <w:tcPr>
            <w:tcW w:w="1302" w:type="dxa"/>
            <w:vAlign w:val="center"/>
          </w:tcPr>
          <w:p w14:paraId="02899256">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芦圆</w:t>
            </w:r>
          </w:p>
        </w:tc>
        <w:tc>
          <w:tcPr>
            <w:tcW w:w="2546" w:type="dxa"/>
            <w:vAlign w:val="center"/>
          </w:tcPr>
          <w:p w14:paraId="30032D49">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海南省标准化协会</w:t>
            </w:r>
          </w:p>
        </w:tc>
        <w:tc>
          <w:tcPr>
            <w:tcW w:w="2439" w:type="dxa"/>
            <w:vAlign w:val="center"/>
          </w:tcPr>
          <w:p w14:paraId="24C42AF3">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标准化技术人员</w:t>
            </w:r>
          </w:p>
        </w:tc>
        <w:tc>
          <w:tcPr>
            <w:tcW w:w="2360" w:type="dxa"/>
            <w:vAlign w:val="center"/>
          </w:tcPr>
          <w:p w14:paraId="0B49B56E">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数据查新</w:t>
            </w:r>
          </w:p>
        </w:tc>
      </w:tr>
      <w:tr w14:paraId="0A0A28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06E65B3F">
            <w:pPr>
              <w:pStyle w:val="20"/>
              <w:widowControl w:val="0"/>
              <w:numPr>
                <w:ilvl w:val="0"/>
                <w:numId w:val="6"/>
              </w:numPr>
              <w:tabs>
                <w:tab w:val="left" w:pos="993"/>
              </w:tabs>
              <w:ind w:firstLineChars="0"/>
              <w:jc w:val="center"/>
              <w:rPr>
                <w:rFonts w:ascii="仿宋" w:hAnsi="仿宋" w:eastAsia="仿宋" w:cs="仿宋_GB2312"/>
                <w:sz w:val="24"/>
                <w:szCs w:val="24"/>
              </w:rPr>
            </w:pPr>
          </w:p>
        </w:tc>
        <w:tc>
          <w:tcPr>
            <w:tcW w:w="1302" w:type="dxa"/>
            <w:vAlign w:val="center"/>
          </w:tcPr>
          <w:p w14:paraId="52AECF39">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梅姬</w:t>
            </w:r>
          </w:p>
        </w:tc>
        <w:tc>
          <w:tcPr>
            <w:tcW w:w="2546" w:type="dxa"/>
            <w:vAlign w:val="center"/>
          </w:tcPr>
          <w:p w14:paraId="0FB676E1">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海南省标准化协会</w:t>
            </w:r>
          </w:p>
        </w:tc>
        <w:tc>
          <w:tcPr>
            <w:tcW w:w="2439" w:type="dxa"/>
            <w:vAlign w:val="center"/>
          </w:tcPr>
          <w:p w14:paraId="53847A1B">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标准化技术人员</w:t>
            </w:r>
          </w:p>
        </w:tc>
        <w:tc>
          <w:tcPr>
            <w:tcW w:w="2360" w:type="dxa"/>
            <w:vAlign w:val="center"/>
          </w:tcPr>
          <w:p w14:paraId="7CB7672A">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标准查新</w:t>
            </w:r>
          </w:p>
        </w:tc>
      </w:tr>
      <w:tr w14:paraId="78FD7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9" w:type="dxa"/>
            <w:vAlign w:val="center"/>
          </w:tcPr>
          <w:p w14:paraId="7EE63D10">
            <w:pPr>
              <w:pStyle w:val="20"/>
              <w:widowControl w:val="0"/>
              <w:numPr>
                <w:ilvl w:val="0"/>
                <w:numId w:val="6"/>
              </w:numPr>
              <w:tabs>
                <w:tab w:val="left" w:pos="993"/>
              </w:tabs>
              <w:ind w:firstLineChars="0"/>
              <w:jc w:val="center"/>
              <w:rPr>
                <w:rFonts w:ascii="仿宋" w:hAnsi="仿宋" w:eastAsia="仿宋" w:cs="仿宋_GB2312"/>
                <w:sz w:val="24"/>
                <w:szCs w:val="24"/>
              </w:rPr>
            </w:pPr>
          </w:p>
        </w:tc>
        <w:tc>
          <w:tcPr>
            <w:tcW w:w="1302" w:type="dxa"/>
            <w:vAlign w:val="center"/>
          </w:tcPr>
          <w:p w14:paraId="109A161F">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谢巍</w:t>
            </w:r>
          </w:p>
        </w:tc>
        <w:tc>
          <w:tcPr>
            <w:tcW w:w="2546" w:type="dxa"/>
            <w:vAlign w:val="center"/>
          </w:tcPr>
          <w:p w14:paraId="6963C775">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海南省标准化协会</w:t>
            </w:r>
          </w:p>
        </w:tc>
        <w:tc>
          <w:tcPr>
            <w:tcW w:w="2439" w:type="dxa"/>
            <w:vAlign w:val="center"/>
          </w:tcPr>
          <w:p w14:paraId="44581289">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标准化技术人员</w:t>
            </w:r>
          </w:p>
        </w:tc>
        <w:tc>
          <w:tcPr>
            <w:tcW w:w="2360" w:type="dxa"/>
            <w:vAlign w:val="center"/>
          </w:tcPr>
          <w:p w14:paraId="169BC2ED">
            <w:pPr>
              <w:pStyle w:val="20"/>
              <w:widowControl w:val="0"/>
              <w:tabs>
                <w:tab w:val="left" w:pos="993"/>
              </w:tabs>
              <w:ind w:firstLine="0" w:firstLineChars="0"/>
              <w:jc w:val="center"/>
              <w:rPr>
                <w:rFonts w:ascii="仿宋" w:hAnsi="仿宋" w:eastAsia="仿宋" w:cs="仿宋_GB2312"/>
                <w:sz w:val="24"/>
                <w:szCs w:val="24"/>
              </w:rPr>
            </w:pPr>
            <w:r>
              <w:rPr>
                <w:rFonts w:hint="eastAsia" w:ascii="仿宋" w:hAnsi="仿宋" w:eastAsia="仿宋" w:cs="仿宋_GB2312"/>
                <w:sz w:val="24"/>
                <w:szCs w:val="24"/>
              </w:rPr>
              <w:t>统筹调研</w:t>
            </w:r>
          </w:p>
        </w:tc>
      </w:tr>
    </w:tbl>
    <w:p w14:paraId="6D6CCF8C">
      <w:pPr>
        <w:pStyle w:val="2"/>
        <w:ind w:firstLine="640"/>
      </w:pPr>
      <w:bookmarkStart w:id="1" w:name="_Toc223722420"/>
      <w:r>
        <w:rPr>
          <w:rFonts w:hint="eastAsia"/>
        </w:rPr>
        <w:t>编制标准的背景、必要性及意义</w:t>
      </w:r>
      <w:bookmarkEnd w:id="1"/>
    </w:p>
    <w:p w14:paraId="093518D7">
      <w:pPr>
        <w:spacing w:line="560" w:lineRule="exact"/>
        <w:ind w:firstLine="640" w:firstLineChars="200"/>
        <w:jc w:val="both"/>
        <w:rPr>
          <w:rFonts w:ascii="仿宋_GB2312" w:hAnsi="仿宋" w:eastAsia="仿宋_GB2312" w:cs="微软雅黑"/>
          <w:sz w:val="32"/>
          <w:szCs w:val="32"/>
        </w:rPr>
      </w:pPr>
      <w:r>
        <w:rPr>
          <w:rFonts w:hint="eastAsia" w:ascii="仿宋_GB2312" w:hAnsi="仿宋" w:eastAsia="仿宋_GB2312" w:cs="微软雅黑"/>
          <w:sz w:val="32"/>
          <w:szCs w:val="32"/>
        </w:rPr>
        <w:t>无偿献血从1998年开始，至今走过了二十多年的时间。为有效降低经血传播疾病残留风险，防止供受血间的交叉感染，保障临床用血安全，献血者血液应经过严格的血液筛查。依据我国的有关法律法规，献血者血液标本通常采用血清学和核酸技术检测 HBV、HCV和 HIV 标志物，并采用血清学方法测定梅毒螺旋体（TP）标志物，其中血清学方法为酶联免疫吸附（ELISA）法。</w:t>
      </w:r>
    </w:p>
    <w:p w14:paraId="29493B2C">
      <w:pPr>
        <w:spacing w:line="560" w:lineRule="exact"/>
        <w:ind w:firstLine="640" w:firstLineChars="200"/>
        <w:jc w:val="both"/>
        <w:rPr>
          <w:rFonts w:ascii="仿宋_GB2312" w:hAnsi="仿宋" w:eastAsia="仿宋_GB2312" w:cs="微软雅黑"/>
          <w:sz w:val="32"/>
          <w:szCs w:val="32"/>
        </w:rPr>
      </w:pPr>
      <w:r>
        <w:rPr>
          <w:rFonts w:hint="eastAsia" w:ascii="仿宋_GB2312" w:hAnsi="仿宋" w:eastAsia="仿宋_GB2312" w:cs="微软雅黑"/>
          <w:sz w:val="32"/>
          <w:szCs w:val="32"/>
        </w:rPr>
        <w:t>输血作为临床上一项重要的治疗手段，血液检测质量直接关系到输血安全。为了降低经血传播的疾病风险，有效保证血液质量，我国采供血机构一直在致力于努力提高血液安全的检测方法和手段。近几年来，用于血液筛查的ELISA法的检测灵敏度不断提高，导致单试剂反应性检测结果存在高比例的假阳性。目前，国外对无偿献血</w:t>
      </w:r>
      <w:r>
        <w:rPr>
          <w:rFonts w:hint="eastAsia" w:ascii="仿宋_GB2312" w:eastAsia="仿宋_GB2312" w:cs="Times New Roman"/>
          <w:sz w:val="32"/>
          <w:szCs w:val="32"/>
        </w:rPr>
        <w:t>者血液筛查假阳性的问题已给予充分关注，美国血库联合会（AABB）报道，美国约有50万无偿献血者因抗-HBc阳性被延期献血或淘汰，但其中有65%的献血者属假阳性</w:t>
      </w:r>
      <w:r>
        <w:rPr>
          <w:rFonts w:hint="eastAsia" w:ascii="仿宋_GB2312" w:eastAsia="仿宋_GB2312" w:cs="Times New Roman"/>
          <w:sz w:val="32"/>
          <w:szCs w:val="32"/>
          <w:vertAlign w:val="superscript"/>
        </w:rPr>
        <w:t>[1]</w:t>
      </w:r>
      <w:r>
        <w:rPr>
          <w:rFonts w:hint="eastAsia" w:ascii="仿宋_GB2312" w:eastAsia="仿宋_GB2312" w:cs="Times New Roman"/>
          <w:sz w:val="32"/>
          <w:szCs w:val="32"/>
        </w:rPr>
        <w:t>。据全国性的研究报道，中国2009-2011年因检测反应性报废血液超过80万个单位,对应的献血者也被永久屏蔽</w:t>
      </w:r>
      <w:r>
        <w:rPr>
          <w:rFonts w:hint="eastAsia" w:ascii="仿宋_GB2312" w:eastAsia="仿宋_GB2312" w:cs="Times New Roman"/>
          <w:sz w:val="32"/>
          <w:szCs w:val="32"/>
          <w:vertAlign w:val="superscript"/>
        </w:rPr>
        <w:t>[2]</w:t>
      </w:r>
      <w:r>
        <w:rPr>
          <w:rFonts w:hint="eastAsia" w:ascii="仿宋_GB2312" w:eastAsia="仿宋_GB2312" w:cs="Times New Roman"/>
          <w:sz w:val="32"/>
          <w:szCs w:val="32"/>
        </w:rPr>
        <w:t>。而这些被屏蔽的献血者中,有一半以上都是由于血清学假阳性或NAT 潜在假阳性结果被屏蔽献血；很多研究表明ELISA 法单试剂检测为反应性时,结果假阳性率较高</w:t>
      </w:r>
      <w:r>
        <w:rPr>
          <w:rFonts w:hint="eastAsia" w:ascii="仿宋_GB2312" w:eastAsia="仿宋_GB2312" w:cs="Times New Roman"/>
          <w:sz w:val="32"/>
          <w:szCs w:val="32"/>
          <w:vertAlign w:val="superscript"/>
        </w:rPr>
        <w:t>[3-6]</w:t>
      </w:r>
      <w:r>
        <w:rPr>
          <w:rFonts w:hint="eastAsia" w:ascii="仿宋_GB2312" w:eastAsia="仿宋_GB2312" w:cs="Times New Roman"/>
          <w:sz w:val="32"/>
          <w:szCs w:val="32"/>
        </w:rPr>
        <w:t>。李雪群报道广东惠州地区献血者中灰区组的假阳性率为97.18%，单试剂反应性的假阳性率为71.88%</w:t>
      </w:r>
      <w:r>
        <w:rPr>
          <w:rFonts w:hint="eastAsia" w:ascii="仿宋_GB2312" w:eastAsia="仿宋_GB2312" w:cs="Times New Roman"/>
          <w:sz w:val="32"/>
          <w:szCs w:val="32"/>
          <w:vertAlign w:val="superscript"/>
        </w:rPr>
        <w:t>[7]</w:t>
      </w:r>
      <w:r>
        <w:rPr>
          <w:rFonts w:hint="eastAsia" w:ascii="仿宋_GB2312" w:eastAsia="仿宋_GB2312" w:cs="Times New Roman"/>
          <w:sz w:val="32"/>
          <w:szCs w:val="32"/>
        </w:rPr>
        <w:t>；程玉根报道江苏盐城地区251例ELISA单试剂反应性献血者标本经过确认，只有31例标本呈阳性(占12.35%)</w:t>
      </w:r>
      <w:r>
        <w:rPr>
          <w:rFonts w:hint="eastAsia" w:ascii="仿宋_GB2312" w:eastAsia="仿宋_GB2312" w:cs="Times New Roman"/>
          <w:sz w:val="32"/>
          <w:szCs w:val="32"/>
          <w:vertAlign w:val="superscript"/>
        </w:rPr>
        <w:t>[8]</w:t>
      </w:r>
      <w:r>
        <w:rPr>
          <w:rFonts w:hint="eastAsia" w:ascii="仿宋_GB2312" w:eastAsia="仿宋_GB2312" w:cs="Times New Roman"/>
          <w:sz w:val="32"/>
          <w:szCs w:val="32"/>
        </w:rPr>
        <w:t>；蒋妮真报道的江苏地区ELISA单试剂反应性标本假阳性率为93.3%</w:t>
      </w:r>
      <w:r>
        <w:rPr>
          <w:rFonts w:hint="eastAsia" w:ascii="仿宋_GB2312" w:eastAsia="仿宋_GB2312" w:cs="Times New Roman"/>
          <w:sz w:val="32"/>
          <w:szCs w:val="32"/>
          <w:vertAlign w:val="superscript"/>
        </w:rPr>
        <w:t>[9]</w:t>
      </w:r>
      <w:r>
        <w:rPr>
          <w:rFonts w:hint="eastAsia" w:ascii="仿宋_GB2312" w:eastAsia="仿宋_GB2312" w:cs="Times New Roman"/>
          <w:sz w:val="32"/>
          <w:szCs w:val="32"/>
        </w:rPr>
        <w:t>；张用丽报道海南地区2151份酶联免疫吸附法检测无反应性核酸检测反应性（ELISA-N+）的结果中，核酸联检反应性但鉴别无反应性（NDR）占47%</w:t>
      </w:r>
      <w:r>
        <w:rPr>
          <w:rFonts w:hint="eastAsia" w:ascii="仿宋_GB2312" w:eastAsia="仿宋_GB2312" w:cs="Times New Roman"/>
          <w:sz w:val="32"/>
          <w:szCs w:val="32"/>
          <w:vertAlign w:val="superscript"/>
        </w:rPr>
        <w:t>[10]</w:t>
      </w:r>
      <w:r>
        <w:rPr>
          <w:rFonts w:hint="eastAsia" w:ascii="仿宋_GB2312" w:eastAsia="仿宋_GB2312" w:cs="Times New Roman"/>
          <w:sz w:val="32"/>
          <w:szCs w:val="32"/>
        </w:rPr>
        <w:t>,此部分人群也需进一步评估是否存在假阳性。海南省血液中心2021-2025年尝试性进行归队工作，在1889份单试剂反应性献血者中有1260人次的献血者归队成功，献血总量809600mL，有效补充了血液库存和保留更多献血者。ELISA单试剂反应性导致</w:t>
      </w:r>
      <w:r>
        <w:rPr>
          <w:rFonts w:hint="eastAsia" w:ascii="仿宋_GB2312" w:hAnsi="仿宋" w:eastAsia="仿宋_GB2312" w:cs="微软雅黑"/>
          <w:sz w:val="32"/>
          <w:szCs w:val="32"/>
        </w:rPr>
        <w:t>的假阳性结果，一方面会造成血液的报废和献血者的流失，不利于无偿献血事业的发展；另一方面因假阳性被永久屏蔽的献血者的献血积极性遭受打击，尤其是HIV、TP假阳性还可能会给其家庭带来困扰。此外，部分献血者因献血筛查的假阳性结果对无偿献血事业产生不信任，甚至造成纠纷。</w:t>
      </w:r>
    </w:p>
    <w:p w14:paraId="7AED8AB5">
      <w:pPr>
        <w:spacing w:line="560" w:lineRule="exact"/>
        <w:ind w:firstLine="640" w:firstLineChars="200"/>
        <w:jc w:val="both"/>
        <w:rPr>
          <w:rFonts w:ascii="仿宋_GB2312" w:hAnsi="仿宋" w:eastAsia="仿宋_GB2312" w:cs="微软雅黑"/>
          <w:sz w:val="32"/>
          <w:szCs w:val="32"/>
        </w:rPr>
      </w:pPr>
      <w:r>
        <w:rPr>
          <w:rFonts w:hint="eastAsia" w:ascii="仿宋_GB2312" w:hAnsi="仿宋" w:eastAsia="仿宋_GB2312" w:cs="微软雅黑"/>
          <w:sz w:val="32"/>
          <w:szCs w:val="32"/>
        </w:rPr>
        <w:t>海南地区的血液供给长期处于“紧平衡”状态。随着海南自贸港已封关运作，国内外人口流动日益频繁，加上每年因旅游、冬休、卫星发射、国际赛事和会议等承担着血液储备重负，我省临床用血需求以每年约10%递增。由于海南独特的地域特征对献血活动的影响，如2024年9月台风后两天全省仅106人献血，不足日均需求的1/6；海南高温雨季时间长，容易引发蚊媒病毒的流行，造成血液采集一定程度困难，加剧季节性血源紧张；另外，海南部分地区的习俗中，人们认为献血有害健康，也影响到一部分人群献血的积极性。综上，海南临床用血会出现季节性、偏型性血液紧张，急需更多符合条件的人群参加献血以满足临床用血需求。</w:t>
      </w:r>
    </w:p>
    <w:p w14:paraId="58BB15BD">
      <w:pPr>
        <w:spacing w:line="560" w:lineRule="exact"/>
        <w:ind w:firstLine="640" w:firstLineChars="200"/>
        <w:jc w:val="both"/>
        <w:rPr>
          <w:rFonts w:ascii="仿宋_GB2312" w:hAnsi="仿宋" w:eastAsia="仿宋_GB2312" w:cs="微软雅黑"/>
          <w:sz w:val="32"/>
          <w:szCs w:val="32"/>
        </w:rPr>
      </w:pPr>
      <w:r>
        <w:rPr>
          <w:rFonts w:hint="eastAsia" w:ascii="仿宋_GB2312" w:hAnsi="仿宋" w:eastAsia="仿宋_GB2312" w:cs="微软雅黑"/>
          <w:sz w:val="32"/>
          <w:szCs w:val="32"/>
        </w:rPr>
        <w:t>因此，对于无偿献血者因假阳性结果而暂时屏蔽无法继续献血的人群，宜采用进一步的健康征询和科学有效的评估，表明反应性的献血者符合国家法规、标准规定的献血要求，准许其解除屏蔽可再次献血，此流程的标准化形成《血液筛查反应性献血者归队管理规范》。</w:t>
      </w:r>
    </w:p>
    <w:p w14:paraId="31136701">
      <w:pPr>
        <w:spacing w:line="560" w:lineRule="exact"/>
        <w:ind w:firstLine="640" w:firstLineChars="200"/>
        <w:jc w:val="both"/>
        <w:rPr>
          <w:rFonts w:ascii="仿宋_GB2312" w:hAnsi="仿宋" w:eastAsia="仿宋_GB2312" w:cs="微软雅黑"/>
          <w:sz w:val="32"/>
          <w:szCs w:val="32"/>
        </w:rPr>
      </w:pPr>
      <w:r>
        <w:rPr>
          <w:rFonts w:hint="eastAsia" w:ascii="仿宋_GB2312" w:hAnsi="仿宋" w:eastAsia="仿宋_GB2312" w:cs="微软雅黑"/>
          <w:sz w:val="32"/>
          <w:szCs w:val="32"/>
        </w:rPr>
        <w:t>现行的反应性献血者归队指南归队周期较长（至少6个月），流程相对复杂。基于海南地方特色和实际，本标准进一步简化了归队流程，由“多轮次”变为“单轮多指标+3个月后直接献血”，大幅缩短了献血者归队的等待周期，且病原体多指标多方法严格评估更能保证血液安全。例如：血液筛查HBsAg单试剂反应时，直接利用此次原样本进行初次评估，如检测结果符合“保留献血资格”的献血者，满足献血间隔期可献血；如不符合“保留献血资格”和“永久屏蔽”的献血者，只需屏蔽3个月后进行再次评估，检测结果合格后即解除屏蔽可再次献血（不再要求“两轮检测+解除后等待”）。对于蚊媒病毒反应性者，屏蔽4周后即解除屏蔽可再次献血，体现了对地方性、时限性传染病的灵活处理。</w:t>
      </w:r>
    </w:p>
    <w:p w14:paraId="212A2A88">
      <w:pPr>
        <w:spacing w:line="560" w:lineRule="exact"/>
        <w:ind w:firstLine="640" w:firstLineChars="200"/>
        <w:jc w:val="both"/>
        <w:rPr>
          <w:rFonts w:ascii="仿宋_GB2312" w:hAnsi="仿宋" w:eastAsia="仿宋_GB2312" w:cs="微软雅黑"/>
          <w:sz w:val="32"/>
          <w:szCs w:val="32"/>
        </w:rPr>
      </w:pPr>
      <w:r>
        <w:rPr>
          <w:rFonts w:hint="eastAsia" w:ascii="仿宋_GB2312" w:hAnsi="仿宋" w:eastAsia="仿宋_GB2312" w:cs="微软雅黑"/>
          <w:sz w:val="32"/>
          <w:szCs w:val="32"/>
        </w:rPr>
        <w:t>本标准新增了核酸反应性献血者归队渠道，明确将“核酸联检反应性但鉴别无反应性”的献血者纳入归队范围，填补了核酸检测技术带来的“假阳性”归队空白，符合当前核酸检测普及的趋势；还纳入人类嗜T淋巴细胞病毒（HTLV）、地方性蚊媒病毒（DENV、CHIKV、ZIKV）归队管理，这是本标准最突出的海南地方特色，体现了海南作为热带岛屿省份对蚊媒传染病的防控需求。</w:t>
      </w:r>
    </w:p>
    <w:p w14:paraId="03D18136">
      <w:pPr>
        <w:pStyle w:val="2"/>
        <w:ind w:firstLine="640"/>
      </w:pPr>
      <w:bookmarkStart w:id="2" w:name="_Toc223722421"/>
      <w:r>
        <w:rPr>
          <w:rFonts w:hint="eastAsia"/>
        </w:rPr>
        <w:t>编制过程简介</w:t>
      </w:r>
      <w:bookmarkEnd w:id="2"/>
    </w:p>
    <w:p w14:paraId="45B35A17">
      <w:pPr>
        <w:pStyle w:val="3"/>
        <w:ind w:left="0" w:firstLine="640" w:firstLineChars="200"/>
      </w:pPr>
      <w:bookmarkStart w:id="3" w:name="_Toc223722422"/>
      <w:r>
        <w:t>成立标准起草组</w:t>
      </w:r>
      <w:bookmarkEnd w:id="3"/>
    </w:p>
    <w:p w14:paraId="3DBAEAAA">
      <w:pPr>
        <w:spacing w:line="560" w:lineRule="exact"/>
        <w:ind w:firstLine="640" w:firstLineChars="200"/>
        <w:jc w:val="both"/>
        <w:rPr>
          <w:rFonts w:ascii="仿宋_GB2312" w:hAnsi="仿宋" w:eastAsia="仿宋_GB2312" w:cs="仿宋_GB2312"/>
          <w:sz w:val="32"/>
          <w:szCs w:val="32"/>
        </w:rPr>
      </w:pPr>
      <w:r>
        <w:rPr>
          <w:rFonts w:hint="eastAsia" w:ascii="仿宋_GB2312" w:hAnsi="仿宋" w:eastAsia="仿宋_GB2312" w:cs="仿宋_GB2312"/>
          <w:sz w:val="32"/>
          <w:szCs w:val="32"/>
        </w:rPr>
        <w:t>2025年6月，经海南省市场监督管理局批准，《</w:t>
      </w:r>
      <w:r>
        <w:rPr>
          <w:rFonts w:hint="eastAsia" w:ascii="仿宋_GB2312" w:hAnsi="仿宋" w:eastAsia="仿宋_GB2312" w:cs="微软雅黑"/>
          <w:sz w:val="32"/>
          <w:szCs w:val="32"/>
        </w:rPr>
        <w:t>血液筛查反应性献血者归队管理规范</w:t>
      </w:r>
      <w:r>
        <w:rPr>
          <w:rFonts w:hint="eastAsia" w:ascii="仿宋_GB2312" w:hAnsi="仿宋" w:eastAsia="仿宋_GB2312" w:cs="仿宋_GB2312"/>
          <w:sz w:val="32"/>
          <w:szCs w:val="32"/>
        </w:rPr>
        <w:t>》地方标准项目被列入海南省2025年度第一批地方标准制修订项目计划。为顺利完成该地方标准编制工作，海南省</w:t>
      </w:r>
      <w:r>
        <w:rPr>
          <w:rFonts w:hint="eastAsia" w:ascii="仿宋_GB2312" w:hAnsi="仿宋" w:eastAsia="仿宋_GB2312" w:cs="微软雅黑"/>
          <w:sz w:val="32"/>
          <w:szCs w:val="32"/>
        </w:rPr>
        <w:t>血液中心</w:t>
      </w:r>
      <w:r>
        <w:rPr>
          <w:rFonts w:hint="eastAsia" w:ascii="仿宋_GB2312" w:hAnsi="仿宋" w:eastAsia="仿宋_GB2312" w:cs="仿宋_GB2312"/>
          <w:sz w:val="32"/>
          <w:szCs w:val="32"/>
        </w:rPr>
        <w:t>成立标准起草组，制订工作计划，明确任务分工，正式启动标准起草工作。</w:t>
      </w:r>
    </w:p>
    <w:p w14:paraId="0838270F">
      <w:pPr>
        <w:pStyle w:val="3"/>
        <w:ind w:firstLine="200"/>
      </w:pPr>
      <w:bookmarkStart w:id="4" w:name="_Toc223722423"/>
      <w:r>
        <w:t>标准起草过程</w:t>
      </w:r>
      <w:bookmarkEnd w:id="4"/>
    </w:p>
    <w:p w14:paraId="03962C48">
      <w:pPr>
        <w:spacing w:line="560" w:lineRule="exact"/>
        <w:ind w:firstLine="640" w:firstLineChars="200"/>
        <w:jc w:val="both"/>
        <w:rPr>
          <w:rFonts w:ascii="仿宋_GB2312" w:hAnsi="仿宋" w:eastAsia="仿宋_GB2312" w:cs="仿宋_GB2312"/>
          <w:sz w:val="32"/>
          <w:szCs w:val="32"/>
        </w:rPr>
      </w:pPr>
      <w:r>
        <w:rPr>
          <w:rFonts w:hint="eastAsia" w:ascii="仿宋_GB2312" w:hAnsi="仿宋" w:eastAsia="仿宋_GB2312" w:cs="仿宋_GB2312"/>
          <w:sz w:val="32"/>
          <w:szCs w:val="32"/>
        </w:rPr>
        <w:t>1</w:t>
      </w:r>
      <w:r>
        <w:rPr>
          <w:rFonts w:ascii="仿宋_GB2312" w:hAnsi="仿宋" w:eastAsia="仿宋_GB2312" w:cs="仿宋_GB2312"/>
          <w:sz w:val="32"/>
          <w:szCs w:val="32"/>
        </w:rPr>
        <w:t>.</w:t>
      </w:r>
      <w:r>
        <w:rPr>
          <w:rFonts w:hint="eastAsia" w:ascii="仿宋_GB2312" w:hAnsi="仿宋" w:eastAsia="仿宋_GB2312" w:cs="仿宋_GB2312"/>
          <w:sz w:val="32"/>
          <w:szCs w:val="32"/>
        </w:rPr>
        <w:t>资料收集和调研。202</w:t>
      </w:r>
      <w:r>
        <w:rPr>
          <w:rFonts w:ascii="仿宋_GB2312" w:hAnsi="仿宋" w:eastAsia="仿宋_GB2312" w:cs="仿宋_GB2312"/>
          <w:sz w:val="32"/>
          <w:szCs w:val="32"/>
        </w:rPr>
        <w:t>5</w:t>
      </w:r>
      <w:r>
        <w:rPr>
          <w:rFonts w:hint="eastAsia" w:ascii="仿宋_GB2312" w:hAnsi="仿宋" w:eastAsia="仿宋_GB2312" w:cs="仿宋_GB2312"/>
          <w:sz w:val="32"/>
          <w:szCs w:val="32"/>
        </w:rPr>
        <w:t>年</w:t>
      </w:r>
      <w:r>
        <w:rPr>
          <w:rFonts w:ascii="仿宋_GB2312" w:hAnsi="仿宋" w:eastAsia="仿宋_GB2312" w:cs="仿宋_GB2312"/>
          <w:sz w:val="32"/>
          <w:szCs w:val="32"/>
        </w:rPr>
        <w:t>11</w:t>
      </w:r>
      <w:r>
        <w:rPr>
          <w:rFonts w:hint="eastAsia" w:ascii="仿宋_GB2312" w:hAnsi="仿宋" w:eastAsia="仿宋_GB2312" w:cs="仿宋_GB2312"/>
          <w:sz w:val="32"/>
          <w:szCs w:val="32"/>
        </w:rPr>
        <w:t>月，起草组开展相关法律法规、政策制度文件及国家、行业和地方标准资料收集，并研读、分析、梳理和提炼，充分了解血液筛查反应性献血者归队的工作现状。</w:t>
      </w:r>
    </w:p>
    <w:p w14:paraId="7D9080DB">
      <w:pPr>
        <w:spacing w:line="560" w:lineRule="exact"/>
        <w:ind w:firstLine="640" w:firstLineChars="200"/>
        <w:jc w:val="both"/>
        <w:rPr>
          <w:rFonts w:ascii="仿宋_GB2312" w:hAnsi="仿宋" w:eastAsia="仿宋_GB2312" w:cs="仿宋_GB2312"/>
          <w:sz w:val="32"/>
          <w:szCs w:val="32"/>
        </w:rPr>
      </w:pPr>
      <w:r>
        <w:rPr>
          <w:rFonts w:hint="eastAsia" w:ascii="仿宋_GB2312" w:hAnsi="仿宋" w:eastAsia="仿宋_GB2312" w:cs="仿宋_GB2312"/>
          <w:sz w:val="32"/>
          <w:szCs w:val="32"/>
        </w:rPr>
        <w:t>认真查阅标准制定的有关文件，严格遵循GB/T 1.1-2020《标准化工作导则 第1部分：标准化文件的结构和起草规则》所规定的标准编写要求和格式，对标准的格式、内容、术语表达方式等进行了深入学习，在调查研究及大量试验工作的基础上将所有资料归类分析，结合工作实际情况，于2025年11月形成标准讨论稿。</w:t>
      </w:r>
    </w:p>
    <w:p w14:paraId="6C515427">
      <w:pPr>
        <w:spacing w:line="560" w:lineRule="exact"/>
        <w:ind w:firstLine="640" w:firstLineChars="200"/>
        <w:jc w:val="both"/>
        <w:rPr>
          <w:rFonts w:ascii="仿宋_GB2312" w:hAnsi="仿宋" w:eastAsia="仿宋_GB2312" w:cs="仿宋_GB2312"/>
          <w:sz w:val="32"/>
          <w:szCs w:val="32"/>
        </w:rPr>
      </w:pPr>
      <w:r>
        <w:rPr>
          <w:rFonts w:hint="eastAsia" w:ascii="仿宋_GB2312" w:hAnsi="仿宋" w:eastAsia="仿宋_GB2312" w:cs="仿宋_GB2312"/>
          <w:sz w:val="32"/>
          <w:szCs w:val="32"/>
        </w:rPr>
        <w:t>202</w:t>
      </w:r>
      <w:r>
        <w:rPr>
          <w:rFonts w:ascii="仿宋_GB2312" w:hAnsi="仿宋" w:eastAsia="仿宋_GB2312" w:cs="仿宋_GB2312"/>
          <w:sz w:val="32"/>
          <w:szCs w:val="32"/>
        </w:rPr>
        <w:t>5</w:t>
      </w:r>
      <w:r>
        <w:rPr>
          <w:rFonts w:hint="eastAsia" w:ascii="仿宋_GB2312" w:hAnsi="仿宋" w:eastAsia="仿宋_GB2312" w:cs="仿宋_GB2312"/>
          <w:sz w:val="32"/>
          <w:szCs w:val="32"/>
        </w:rPr>
        <w:t>年1</w:t>
      </w:r>
      <w:r>
        <w:rPr>
          <w:rFonts w:ascii="仿宋_GB2312" w:hAnsi="仿宋" w:eastAsia="仿宋_GB2312" w:cs="仿宋_GB2312"/>
          <w:sz w:val="32"/>
          <w:szCs w:val="32"/>
        </w:rPr>
        <w:t>2</w:t>
      </w:r>
      <w:r>
        <w:rPr>
          <w:rFonts w:hint="eastAsia" w:ascii="仿宋_GB2312" w:hAnsi="仿宋" w:eastAsia="仿宋_GB2312" w:cs="仿宋_GB2312"/>
          <w:sz w:val="32"/>
          <w:szCs w:val="32"/>
        </w:rPr>
        <w:t>月，起草组成员多次赴中国人民解放军联勤保障部队第九二八医院输血科、三亚市中心医院输血科、中国人民解放军总医院海南医院（三亚301医院）输血科以及海南省血液中心各个市县献血点（三亚分中心、儋州分中心、琼海分中心、陵水献血屋、万宁献血屋、定安献血屋、琼中献血屋、白沙献血屋、东方献血屋、临高献血屋、昌江献血屋）调研，收集关于《</w:t>
      </w:r>
      <w:r>
        <w:rPr>
          <w:rFonts w:hint="eastAsia" w:ascii="仿宋" w:hAnsi="仿宋" w:eastAsia="仿宋" w:cs="仿宋"/>
          <w:sz w:val="32"/>
          <w:szCs w:val="32"/>
        </w:rPr>
        <w:t>血液筛查反应性献血者归队管理规范》的问卷调查结果和意见建议</w:t>
      </w:r>
      <w:r>
        <w:rPr>
          <w:rFonts w:hint="eastAsia" w:ascii="仿宋_GB2312" w:hAnsi="仿宋" w:eastAsia="仿宋_GB2312" w:cs="仿宋_GB2312"/>
          <w:sz w:val="32"/>
          <w:szCs w:val="32"/>
        </w:rPr>
        <w:t>等材料，并与标准涉及的一线采供血人员以及当地卫健委</w:t>
      </w:r>
      <w:bookmarkStart w:id="30" w:name="_GoBack"/>
      <w:bookmarkEnd w:id="30"/>
      <w:r>
        <w:rPr>
          <w:rFonts w:hint="eastAsia" w:ascii="仿宋_GB2312" w:hAnsi="仿宋" w:eastAsia="仿宋_GB2312" w:cs="仿宋_GB2312"/>
          <w:sz w:val="32"/>
          <w:szCs w:val="32"/>
        </w:rPr>
        <w:t>相关领导，通过座谈会方式展开研讨，了解我省血液筛查反应性献血者归队工作实际情况，对标准讨论稿和编制说明进行修改完善后，形成了该标准的征求意见稿和编制说明。</w:t>
      </w:r>
    </w:p>
    <w:p w14:paraId="4685DF81">
      <w:pPr>
        <w:numPr>
          <w:ilvl w:val="0"/>
          <w:numId w:val="7"/>
        </w:numPr>
        <w:ind w:firstLine="640" w:firstLineChars="200"/>
        <w:jc w:val="both"/>
        <w:rPr>
          <w:rFonts w:ascii="仿宋" w:hAnsi="仿宋" w:eastAsia="仿宋" w:cs="仿宋"/>
          <w:sz w:val="32"/>
          <w:szCs w:val="32"/>
        </w:rPr>
      </w:pPr>
      <w:r>
        <w:rPr>
          <w:rFonts w:hint="eastAsia" w:ascii="仿宋" w:hAnsi="仿宋" w:eastAsia="仿宋" w:cs="仿宋"/>
          <w:sz w:val="32"/>
          <w:szCs w:val="32"/>
        </w:rPr>
        <w:t>起草组赴三亚中心医院、中国人民解放军总医院海南医院、海南省血液中心三亚分中心，与当地献血相关人员开展研讨及调研（见图1～图3）。</w:t>
      </w:r>
    </w:p>
    <w:p w14:paraId="702B531C">
      <w:pPr>
        <w:rPr>
          <w:rFonts w:ascii="仿宋" w:hAnsi="仿宋" w:eastAsia="仿宋" w:cs="仿宋"/>
          <w:sz w:val="32"/>
          <w:szCs w:val="32"/>
        </w:rPr>
      </w:pPr>
    </w:p>
    <w:p w14:paraId="25821D38">
      <w:pPr>
        <w:rPr>
          <w:rFonts w:ascii="仿宋" w:hAnsi="仿宋" w:eastAsia="仿宋" w:cs="仿宋"/>
          <w:sz w:val="32"/>
          <w:szCs w:val="32"/>
        </w:rPr>
      </w:pPr>
      <w:r>
        <w:rPr>
          <w:rFonts w:hint="eastAsia" w:ascii="黑体" w:hAnsi="黑体" w:eastAsia="黑体" w:cs="黑体"/>
          <w:sz w:val="32"/>
          <w:szCs w:val="32"/>
        </w:rPr>
        <w:drawing>
          <wp:anchor distT="0" distB="0" distL="114300" distR="114300" simplePos="0" relativeHeight="251659264" behindDoc="0" locked="0" layoutInCell="1" allowOverlap="1">
            <wp:simplePos x="0" y="0"/>
            <wp:positionH relativeFrom="column">
              <wp:posOffset>-50165</wp:posOffset>
            </wp:positionH>
            <wp:positionV relativeFrom="paragraph">
              <wp:posOffset>43815</wp:posOffset>
            </wp:positionV>
            <wp:extent cx="2400935" cy="1800225"/>
            <wp:effectExtent l="0" t="0" r="12065" b="3175"/>
            <wp:wrapNone/>
            <wp:docPr id="1" name="图片 1" descr="46af88b29cb5489fb594c747639309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46af88b29cb5489fb594c7476393095f"/>
                    <pic:cNvPicPr>
                      <a:picLocks noChangeAspect="1"/>
                    </pic:cNvPicPr>
                  </pic:nvPicPr>
                  <pic:blipFill>
                    <a:blip r:embed="rId6"/>
                    <a:stretch>
                      <a:fillRect/>
                    </a:stretch>
                  </pic:blipFill>
                  <pic:spPr>
                    <a:xfrm>
                      <a:off x="0" y="0"/>
                      <a:ext cx="2400935" cy="1800225"/>
                    </a:xfrm>
                    <a:prstGeom prst="rect">
                      <a:avLst/>
                    </a:prstGeom>
                  </pic:spPr>
                </pic:pic>
              </a:graphicData>
            </a:graphic>
          </wp:anchor>
        </w:drawing>
      </w:r>
      <w:r>
        <w:rPr>
          <w:rFonts w:hint="eastAsia" w:ascii="仿宋" w:hAnsi="仿宋" w:eastAsia="仿宋" w:cs="仿宋"/>
          <w:sz w:val="32"/>
          <w:szCs w:val="32"/>
        </w:rPr>
        <w:drawing>
          <wp:anchor distT="0" distB="0" distL="114300" distR="114300" simplePos="0" relativeHeight="251661312" behindDoc="0" locked="0" layoutInCell="1" allowOverlap="1">
            <wp:simplePos x="0" y="0"/>
            <wp:positionH relativeFrom="column">
              <wp:posOffset>2760980</wp:posOffset>
            </wp:positionH>
            <wp:positionV relativeFrom="paragraph">
              <wp:posOffset>43815</wp:posOffset>
            </wp:positionV>
            <wp:extent cx="2400935" cy="1800225"/>
            <wp:effectExtent l="0" t="0" r="12065" b="3175"/>
            <wp:wrapNone/>
            <wp:docPr id="3" name="图片 3" descr="a35a4fac8e1b001382b4a03175d790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35a4fac8e1b001382b4a03175d790ea"/>
                    <pic:cNvPicPr>
                      <a:picLocks noChangeAspect="1"/>
                    </pic:cNvPicPr>
                  </pic:nvPicPr>
                  <pic:blipFill>
                    <a:blip r:embed="rId7"/>
                    <a:stretch>
                      <a:fillRect/>
                    </a:stretch>
                  </pic:blipFill>
                  <pic:spPr>
                    <a:xfrm>
                      <a:off x="0" y="0"/>
                      <a:ext cx="2400935" cy="1800225"/>
                    </a:xfrm>
                    <a:prstGeom prst="rect">
                      <a:avLst/>
                    </a:prstGeom>
                  </pic:spPr>
                </pic:pic>
              </a:graphicData>
            </a:graphic>
          </wp:anchor>
        </w:drawing>
      </w:r>
    </w:p>
    <w:p w14:paraId="4B322D87">
      <w:pPr>
        <w:rPr>
          <w:rFonts w:ascii="仿宋" w:hAnsi="仿宋" w:eastAsia="仿宋" w:cs="仿宋"/>
          <w:sz w:val="32"/>
          <w:szCs w:val="32"/>
        </w:rPr>
      </w:pPr>
    </w:p>
    <w:p w14:paraId="26BFAFB9">
      <w:pPr>
        <w:rPr>
          <w:rFonts w:ascii="仿宋" w:hAnsi="仿宋" w:eastAsia="仿宋" w:cs="仿宋"/>
          <w:sz w:val="32"/>
          <w:szCs w:val="32"/>
        </w:rPr>
      </w:pPr>
    </w:p>
    <w:p w14:paraId="0091C556">
      <w:pPr>
        <w:rPr>
          <w:rFonts w:ascii="仿宋" w:hAnsi="仿宋" w:eastAsia="仿宋" w:cs="仿宋"/>
          <w:sz w:val="32"/>
          <w:szCs w:val="32"/>
        </w:rPr>
      </w:pPr>
    </w:p>
    <w:p w14:paraId="4C7C436B">
      <w:pPr>
        <w:rPr>
          <w:rFonts w:ascii="黑体" w:hAnsi="黑体" w:eastAsia="黑体" w:cs="黑体"/>
          <w:szCs w:val="21"/>
        </w:rPr>
      </w:pPr>
    </w:p>
    <w:p w14:paraId="0D89126F">
      <w:pPr>
        <w:rPr>
          <w:rFonts w:ascii="黑体" w:hAnsi="黑体" w:eastAsia="黑体" w:cs="黑体"/>
          <w:szCs w:val="21"/>
        </w:rPr>
      </w:pPr>
    </w:p>
    <w:p w14:paraId="77FD7E17">
      <w:pPr>
        <w:ind w:firstLine="630" w:firstLineChars="300"/>
        <w:rPr>
          <w:rFonts w:ascii="黑体" w:hAnsi="黑体" w:eastAsia="黑体" w:cs="黑体"/>
          <w:szCs w:val="21"/>
        </w:rPr>
      </w:pPr>
      <w:r>
        <w:rPr>
          <w:rFonts w:hint="eastAsia" w:ascii="黑体" w:hAnsi="黑体" w:eastAsia="黑体" w:cs="黑体"/>
          <w:szCs w:val="21"/>
        </w:rPr>
        <w:t xml:space="preserve">图1 赴三亚中心医院调研     </w:t>
      </w:r>
      <w:r>
        <w:rPr>
          <w:rFonts w:ascii="黑体" w:hAnsi="黑体" w:eastAsia="黑体" w:cs="黑体"/>
          <w:szCs w:val="21"/>
        </w:rPr>
        <w:t xml:space="preserve">  </w:t>
      </w:r>
      <w:r>
        <w:rPr>
          <w:rFonts w:hint="eastAsia" w:ascii="黑体" w:hAnsi="黑体" w:eastAsia="黑体" w:cs="黑体"/>
          <w:szCs w:val="21"/>
        </w:rPr>
        <w:t xml:space="preserve">     图2 赴中国人民解放军总医院海南医院调研</w:t>
      </w:r>
    </w:p>
    <w:p w14:paraId="617B9B40">
      <w:pPr>
        <w:rPr>
          <w:rFonts w:ascii="仿宋" w:hAnsi="仿宋" w:eastAsia="仿宋" w:cs="仿宋"/>
          <w:sz w:val="32"/>
          <w:szCs w:val="32"/>
        </w:rPr>
      </w:pPr>
      <w:r>
        <w:rPr>
          <w:rFonts w:hint="eastAsia" w:ascii="仿宋" w:hAnsi="仿宋" w:eastAsia="仿宋" w:cs="仿宋"/>
          <w:sz w:val="32"/>
          <w:szCs w:val="32"/>
        </w:rPr>
        <w:drawing>
          <wp:anchor distT="0" distB="0" distL="114300" distR="114300" simplePos="0" relativeHeight="251660288" behindDoc="0" locked="0" layoutInCell="1" allowOverlap="1">
            <wp:simplePos x="0" y="0"/>
            <wp:positionH relativeFrom="column">
              <wp:posOffset>1557655</wp:posOffset>
            </wp:positionH>
            <wp:positionV relativeFrom="paragraph">
              <wp:posOffset>236220</wp:posOffset>
            </wp:positionV>
            <wp:extent cx="2401570" cy="1804670"/>
            <wp:effectExtent l="19050" t="0" r="0" b="0"/>
            <wp:wrapNone/>
            <wp:docPr id="4" name="图片 4" descr="ac57bd0d66e79fef022a57cd0676c2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ac57bd0d66e79fef022a57cd0676c28d"/>
                    <pic:cNvPicPr>
                      <a:picLocks noChangeAspect="1"/>
                    </pic:cNvPicPr>
                  </pic:nvPicPr>
                  <pic:blipFill>
                    <a:blip r:embed="rId8"/>
                    <a:stretch>
                      <a:fillRect/>
                    </a:stretch>
                  </pic:blipFill>
                  <pic:spPr>
                    <a:xfrm>
                      <a:off x="0" y="0"/>
                      <a:ext cx="2401525" cy="1804360"/>
                    </a:xfrm>
                    <a:prstGeom prst="rect">
                      <a:avLst/>
                    </a:prstGeom>
                  </pic:spPr>
                </pic:pic>
              </a:graphicData>
            </a:graphic>
          </wp:anchor>
        </w:drawing>
      </w:r>
    </w:p>
    <w:p w14:paraId="47269B26">
      <w:pPr>
        <w:rPr>
          <w:rFonts w:ascii="仿宋" w:hAnsi="仿宋" w:eastAsia="仿宋" w:cs="仿宋"/>
          <w:sz w:val="32"/>
          <w:szCs w:val="32"/>
        </w:rPr>
      </w:pPr>
    </w:p>
    <w:p w14:paraId="55DC5A5B">
      <w:pPr>
        <w:rPr>
          <w:rFonts w:ascii="仿宋" w:hAnsi="仿宋" w:eastAsia="仿宋" w:cs="仿宋"/>
          <w:sz w:val="32"/>
          <w:szCs w:val="32"/>
        </w:rPr>
      </w:pPr>
    </w:p>
    <w:p w14:paraId="0ED5B35F">
      <w:pPr>
        <w:rPr>
          <w:rFonts w:ascii="仿宋" w:hAnsi="仿宋" w:eastAsia="仿宋" w:cs="仿宋"/>
          <w:sz w:val="32"/>
          <w:szCs w:val="32"/>
        </w:rPr>
      </w:pPr>
    </w:p>
    <w:p w14:paraId="6448E5F9">
      <w:pPr>
        <w:rPr>
          <w:rFonts w:ascii="仿宋" w:hAnsi="仿宋" w:eastAsia="仿宋" w:cs="仿宋"/>
          <w:sz w:val="32"/>
          <w:szCs w:val="32"/>
        </w:rPr>
      </w:pPr>
    </w:p>
    <w:p w14:paraId="24CB72C9">
      <w:pPr>
        <w:rPr>
          <w:rFonts w:ascii="黑体" w:hAnsi="黑体" w:eastAsia="黑体" w:cs="黑体"/>
          <w:szCs w:val="21"/>
        </w:rPr>
      </w:pPr>
    </w:p>
    <w:p w14:paraId="3911488A">
      <w:pPr>
        <w:rPr>
          <w:rFonts w:ascii="黑体" w:hAnsi="黑体" w:eastAsia="黑体" w:cs="黑体"/>
          <w:szCs w:val="21"/>
        </w:rPr>
      </w:pPr>
      <w:r>
        <w:rPr>
          <w:rFonts w:hint="eastAsia" w:ascii="黑体" w:hAnsi="黑体" w:eastAsia="黑体" w:cs="黑体"/>
          <w:szCs w:val="21"/>
        </w:rPr>
        <w:t xml:space="preserve">                        图3 赴海南省血液中心三亚分中心调研</w:t>
      </w:r>
    </w:p>
    <w:p w14:paraId="5B659127">
      <w:pPr>
        <w:numPr>
          <w:ilvl w:val="0"/>
          <w:numId w:val="7"/>
        </w:numPr>
        <w:ind w:firstLine="640" w:firstLineChars="200"/>
        <w:rPr>
          <w:rFonts w:ascii="仿宋" w:hAnsi="仿宋" w:eastAsia="仿宋" w:cs="仿宋"/>
          <w:sz w:val="32"/>
          <w:szCs w:val="32"/>
        </w:rPr>
      </w:pPr>
      <w:r>
        <w:rPr>
          <w:rFonts w:hint="eastAsia" w:ascii="仿宋" w:hAnsi="仿宋" w:eastAsia="仿宋" w:cs="仿宋"/>
          <w:sz w:val="32"/>
          <w:szCs w:val="32"/>
        </w:rPr>
        <w:t>起草组赴儋州分中心、琼海分中心调研（见图4～图5）。</w:t>
      </w:r>
    </w:p>
    <w:p w14:paraId="5B42762A">
      <w:pPr>
        <w:rPr>
          <w:rFonts w:ascii="仿宋" w:hAnsi="仿宋" w:eastAsia="仿宋" w:cs="仿宋"/>
          <w:sz w:val="32"/>
          <w:szCs w:val="32"/>
        </w:rPr>
      </w:pPr>
      <w:r>
        <w:rPr>
          <w:rFonts w:hint="eastAsia" w:ascii="仿宋" w:hAnsi="仿宋" w:eastAsia="仿宋" w:cs="仿宋"/>
          <w:sz w:val="32"/>
          <w:szCs w:val="32"/>
        </w:rPr>
        <w:drawing>
          <wp:anchor distT="0" distB="0" distL="114300" distR="114300" simplePos="0" relativeHeight="251666432" behindDoc="0" locked="0" layoutInCell="1" allowOverlap="1">
            <wp:simplePos x="0" y="0"/>
            <wp:positionH relativeFrom="column">
              <wp:posOffset>47625</wp:posOffset>
            </wp:positionH>
            <wp:positionV relativeFrom="paragraph">
              <wp:posOffset>12700</wp:posOffset>
            </wp:positionV>
            <wp:extent cx="2376805" cy="1800225"/>
            <wp:effectExtent l="0" t="0" r="10795" b="3175"/>
            <wp:wrapNone/>
            <wp:docPr id="11" name="图片 11" descr="27259b707a083b90195804f70170aa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7259b707a083b90195804f70170aa5e"/>
                    <pic:cNvPicPr>
                      <a:picLocks noChangeAspect="1"/>
                    </pic:cNvPicPr>
                  </pic:nvPicPr>
                  <pic:blipFill>
                    <a:blip r:embed="rId9"/>
                    <a:stretch>
                      <a:fillRect/>
                    </a:stretch>
                  </pic:blipFill>
                  <pic:spPr>
                    <a:xfrm>
                      <a:off x="0" y="0"/>
                      <a:ext cx="2376805" cy="1800225"/>
                    </a:xfrm>
                    <a:prstGeom prst="rect">
                      <a:avLst/>
                    </a:prstGeom>
                  </pic:spPr>
                </pic:pic>
              </a:graphicData>
            </a:graphic>
          </wp:anchor>
        </w:drawing>
      </w:r>
      <w:r>
        <w:rPr>
          <w:rFonts w:hint="eastAsia" w:ascii="仿宋" w:hAnsi="仿宋" w:eastAsia="仿宋" w:cs="仿宋"/>
          <w:sz w:val="32"/>
          <w:szCs w:val="32"/>
        </w:rPr>
        <w:drawing>
          <wp:anchor distT="0" distB="0" distL="114300" distR="114300" simplePos="0" relativeHeight="251662336" behindDoc="0" locked="0" layoutInCell="1" allowOverlap="1">
            <wp:simplePos x="0" y="0"/>
            <wp:positionH relativeFrom="column">
              <wp:posOffset>2897505</wp:posOffset>
            </wp:positionH>
            <wp:positionV relativeFrom="paragraph">
              <wp:posOffset>12700</wp:posOffset>
            </wp:positionV>
            <wp:extent cx="2400935" cy="1800225"/>
            <wp:effectExtent l="0" t="0" r="12065" b="3175"/>
            <wp:wrapNone/>
            <wp:docPr id="6" name="图片 6" descr="c59addbc854299582f26bc05a07d4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c59addbc854299582f26bc05a07d4126"/>
                    <pic:cNvPicPr>
                      <a:picLocks noChangeAspect="1"/>
                    </pic:cNvPicPr>
                  </pic:nvPicPr>
                  <pic:blipFill>
                    <a:blip r:embed="rId10"/>
                    <a:stretch>
                      <a:fillRect/>
                    </a:stretch>
                  </pic:blipFill>
                  <pic:spPr>
                    <a:xfrm>
                      <a:off x="0" y="0"/>
                      <a:ext cx="2400935" cy="1800225"/>
                    </a:xfrm>
                    <a:prstGeom prst="rect">
                      <a:avLst/>
                    </a:prstGeom>
                  </pic:spPr>
                </pic:pic>
              </a:graphicData>
            </a:graphic>
          </wp:anchor>
        </w:drawing>
      </w:r>
    </w:p>
    <w:p w14:paraId="4FFD8FE5">
      <w:pPr>
        <w:rPr>
          <w:rFonts w:ascii="仿宋" w:hAnsi="仿宋" w:eastAsia="仿宋" w:cs="仿宋"/>
          <w:sz w:val="32"/>
          <w:szCs w:val="32"/>
        </w:rPr>
      </w:pPr>
    </w:p>
    <w:p w14:paraId="3CB1D311">
      <w:pPr>
        <w:rPr>
          <w:rFonts w:ascii="仿宋" w:hAnsi="仿宋" w:eastAsia="仿宋" w:cs="仿宋"/>
          <w:sz w:val="32"/>
          <w:szCs w:val="32"/>
        </w:rPr>
      </w:pPr>
    </w:p>
    <w:p w14:paraId="39E98FC9">
      <w:pPr>
        <w:rPr>
          <w:rFonts w:ascii="仿宋" w:hAnsi="仿宋" w:eastAsia="仿宋" w:cs="仿宋"/>
          <w:sz w:val="32"/>
          <w:szCs w:val="32"/>
        </w:rPr>
      </w:pPr>
    </w:p>
    <w:p w14:paraId="0E593039">
      <w:pPr>
        <w:rPr>
          <w:rFonts w:ascii="黑体" w:hAnsi="黑体" w:eastAsia="黑体" w:cs="黑体"/>
          <w:szCs w:val="21"/>
        </w:rPr>
      </w:pPr>
    </w:p>
    <w:p w14:paraId="67962985">
      <w:pPr>
        <w:rPr>
          <w:rFonts w:ascii="黑体" w:hAnsi="黑体" w:eastAsia="黑体" w:cs="黑体"/>
          <w:szCs w:val="21"/>
        </w:rPr>
      </w:pPr>
    </w:p>
    <w:p w14:paraId="74AB4B89">
      <w:pPr>
        <w:ind w:firstLine="840" w:firstLineChars="400"/>
        <w:rPr>
          <w:rFonts w:ascii="黑体" w:hAnsi="黑体" w:eastAsia="黑体" w:cs="黑体"/>
          <w:szCs w:val="21"/>
        </w:rPr>
      </w:pPr>
      <w:r>
        <w:rPr>
          <w:rFonts w:hint="eastAsia" w:ascii="黑体" w:hAnsi="黑体" w:eastAsia="黑体" w:cs="黑体"/>
          <w:szCs w:val="21"/>
        </w:rPr>
        <w:t>图4 赴儋州分中心调研                       图5 赴琼海分中心调研</w:t>
      </w:r>
    </w:p>
    <w:p w14:paraId="2C5A4162">
      <w:pPr>
        <w:pStyle w:val="25"/>
        <w:numPr>
          <w:ilvl w:val="0"/>
          <w:numId w:val="7"/>
        </w:numPr>
        <w:ind w:firstLineChars="0"/>
        <w:jc w:val="both"/>
        <w:rPr>
          <w:rFonts w:ascii="仿宋_GB2312" w:hAnsi="仿宋" w:eastAsia="仿宋_GB2312" w:cs="仿宋_GB2312"/>
          <w:sz w:val="32"/>
          <w:szCs w:val="32"/>
        </w:rPr>
      </w:pPr>
      <w:r>
        <w:rPr>
          <w:rFonts w:hint="eastAsia" w:ascii="仿宋" w:hAnsi="仿宋" w:eastAsia="仿宋" w:cs="仿宋"/>
          <w:sz w:val="32"/>
          <w:szCs w:val="32"/>
        </w:rPr>
        <w:t>起草组赴</w:t>
      </w:r>
      <w:r>
        <w:rPr>
          <w:rFonts w:hint="eastAsia" w:ascii="仿宋_GB2312" w:hAnsi="仿宋" w:eastAsia="仿宋_GB2312" w:cs="仿宋_GB2312"/>
          <w:sz w:val="32"/>
          <w:szCs w:val="32"/>
        </w:rPr>
        <w:t>琼中献血屋、白沙献血屋、东方献血屋、临高献血屋、昌江献血屋、陵水献血屋等地调研</w:t>
      </w:r>
      <w:r>
        <w:rPr>
          <w:rFonts w:hint="eastAsia" w:ascii="仿宋" w:hAnsi="仿宋" w:eastAsia="仿宋" w:cs="仿宋"/>
          <w:sz w:val="32"/>
          <w:szCs w:val="32"/>
        </w:rPr>
        <w:t>（见图6～图11）</w:t>
      </w:r>
      <w:r>
        <w:rPr>
          <w:rFonts w:hint="eastAsia" w:ascii="仿宋_GB2312" w:hAnsi="仿宋" w:eastAsia="仿宋_GB2312" w:cs="仿宋_GB2312"/>
          <w:sz w:val="32"/>
          <w:szCs w:val="32"/>
        </w:rPr>
        <w:t>。</w:t>
      </w:r>
    </w:p>
    <w:p w14:paraId="56905474">
      <w:pPr>
        <w:pStyle w:val="25"/>
        <w:ind w:left="420" w:firstLine="0" w:firstLineChars="0"/>
        <w:rPr>
          <w:rFonts w:ascii="仿宋_GB2312" w:hAnsi="仿宋" w:eastAsia="仿宋_GB2312" w:cs="仿宋_GB2312"/>
          <w:color w:val="FF0000"/>
          <w:sz w:val="32"/>
          <w:szCs w:val="32"/>
        </w:rPr>
      </w:pPr>
    </w:p>
    <w:p w14:paraId="5D92F4AA">
      <w:pPr>
        <w:rPr>
          <w:rFonts w:ascii="仿宋_GB2312" w:hAnsi="仿宋" w:eastAsia="仿宋_GB2312" w:cs="仿宋_GB2312"/>
          <w:color w:val="FF0000"/>
          <w:sz w:val="32"/>
          <w:szCs w:val="32"/>
        </w:rPr>
      </w:pPr>
      <w:r>
        <w:rPr>
          <w:rFonts w:hint="eastAsia" w:ascii="仿宋_GB2312" w:hAnsi="仿宋" w:eastAsia="仿宋_GB2312" w:cs="仿宋_GB2312"/>
          <w:color w:val="FF0000"/>
          <w:sz w:val="32"/>
          <w:szCs w:val="32"/>
        </w:rPr>
        <w:drawing>
          <wp:anchor distT="0" distB="0" distL="114300" distR="114300" simplePos="0" relativeHeight="251664384" behindDoc="0" locked="0" layoutInCell="1" allowOverlap="1">
            <wp:simplePos x="0" y="0"/>
            <wp:positionH relativeFrom="column">
              <wp:posOffset>2856865</wp:posOffset>
            </wp:positionH>
            <wp:positionV relativeFrom="paragraph">
              <wp:posOffset>45085</wp:posOffset>
            </wp:positionV>
            <wp:extent cx="2400300" cy="1800225"/>
            <wp:effectExtent l="0" t="0" r="0" b="3175"/>
            <wp:wrapNone/>
            <wp:docPr id="8" name="图片 8" descr="c74516cf068b31e2036cae857bda6b4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74516cf068b31e2036cae857bda6b4f"/>
                    <pic:cNvPicPr>
                      <a:picLocks noChangeAspect="1"/>
                    </pic:cNvPicPr>
                  </pic:nvPicPr>
                  <pic:blipFill>
                    <a:blip r:embed="rId11"/>
                    <a:stretch>
                      <a:fillRect/>
                    </a:stretch>
                  </pic:blipFill>
                  <pic:spPr>
                    <a:xfrm>
                      <a:off x="0" y="0"/>
                      <a:ext cx="2400300" cy="1800225"/>
                    </a:xfrm>
                    <a:prstGeom prst="rect">
                      <a:avLst/>
                    </a:prstGeom>
                  </pic:spPr>
                </pic:pic>
              </a:graphicData>
            </a:graphic>
          </wp:anchor>
        </w:drawing>
      </w:r>
      <w:r>
        <w:rPr>
          <w:rFonts w:ascii="仿宋_GB2312" w:hAnsi="仿宋" w:eastAsia="仿宋_GB2312" w:cs="仿宋_GB2312"/>
          <w:color w:val="FF0000"/>
          <w:sz w:val="32"/>
          <w:szCs w:val="32"/>
        </w:rPr>
        <w:drawing>
          <wp:anchor distT="0" distB="0" distL="114300" distR="114300" simplePos="0" relativeHeight="251663360" behindDoc="0" locked="0" layoutInCell="1" allowOverlap="1">
            <wp:simplePos x="0" y="0"/>
            <wp:positionH relativeFrom="column">
              <wp:posOffset>86995</wp:posOffset>
            </wp:positionH>
            <wp:positionV relativeFrom="paragraph">
              <wp:posOffset>67945</wp:posOffset>
            </wp:positionV>
            <wp:extent cx="2400300" cy="1800225"/>
            <wp:effectExtent l="0" t="0" r="0" b="3175"/>
            <wp:wrapNone/>
            <wp:docPr id="7" name="图片 7" descr="184977a00a0f212ce9309095baffc2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184977a00a0f212ce9309095baffc2ed"/>
                    <pic:cNvPicPr>
                      <a:picLocks noChangeAspect="1"/>
                    </pic:cNvPicPr>
                  </pic:nvPicPr>
                  <pic:blipFill>
                    <a:blip r:embed="rId12"/>
                    <a:stretch>
                      <a:fillRect/>
                    </a:stretch>
                  </pic:blipFill>
                  <pic:spPr>
                    <a:xfrm>
                      <a:off x="0" y="0"/>
                      <a:ext cx="2400300" cy="1800225"/>
                    </a:xfrm>
                    <a:prstGeom prst="rect">
                      <a:avLst/>
                    </a:prstGeom>
                  </pic:spPr>
                </pic:pic>
              </a:graphicData>
            </a:graphic>
          </wp:anchor>
        </w:drawing>
      </w:r>
    </w:p>
    <w:p w14:paraId="7BF70F6A">
      <w:pPr>
        <w:rPr>
          <w:rFonts w:ascii="仿宋_GB2312" w:hAnsi="仿宋" w:eastAsia="仿宋_GB2312" w:cs="仿宋_GB2312"/>
          <w:color w:val="FF0000"/>
          <w:sz w:val="32"/>
          <w:szCs w:val="32"/>
        </w:rPr>
      </w:pPr>
    </w:p>
    <w:p w14:paraId="1A245150">
      <w:pPr>
        <w:rPr>
          <w:rFonts w:ascii="仿宋_GB2312" w:hAnsi="仿宋" w:eastAsia="仿宋_GB2312" w:cs="仿宋_GB2312"/>
          <w:color w:val="FF0000"/>
          <w:sz w:val="32"/>
          <w:szCs w:val="32"/>
        </w:rPr>
      </w:pPr>
    </w:p>
    <w:p w14:paraId="573D81BB">
      <w:pPr>
        <w:rPr>
          <w:rFonts w:ascii="仿宋_GB2312" w:hAnsi="仿宋" w:eastAsia="仿宋_GB2312" w:cs="仿宋_GB2312"/>
          <w:color w:val="FF0000"/>
          <w:sz w:val="32"/>
          <w:szCs w:val="32"/>
        </w:rPr>
      </w:pPr>
    </w:p>
    <w:p w14:paraId="269DC452">
      <w:pPr>
        <w:rPr>
          <w:rFonts w:ascii="仿宋_GB2312" w:hAnsi="仿宋" w:eastAsia="仿宋_GB2312" w:cs="仿宋_GB2312"/>
          <w:color w:val="FF0000"/>
          <w:sz w:val="32"/>
          <w:szCs w:val="32"/>
        </w:rPr>
      </w:pPr>
    </w:p>
    <w:p w14:paraId="4684CE68">
      <w:pPr>
        <w:ind w:firstLine="1050" w:firstLineChars="500"/>
        <w:rPr>
          <w:rFonts w:ascii="黑体" w:hAnsi="黑体" w:eastAsia="黑体" w:cs="黑体"/>
          <w:szCs w:val="21"/>
        </w:rPr>
      </w:pPr>
      <w:r>
        <w:rPr>
          <w:rFonts w:hint="eastAsia" w:ascii="黑体" w:hAnsi="黑体" w:eastAsia="黑体" w:cs="黑体"/>
          <w:szCs w:val="21"/>
        </w:rPr>
        <w:t>图6 赴琼中献血屋调研                     图7 赴白沙献血屋调研</w:t>
      </w:r>
    </w:p>
    <w:p w14:paraId="753B84BA">
      <w:pPr>
        <w:rPr>
          <w:rFonts w:ascii="仿宋_GB2312" w:hAnsi="仿宋" w:eastAsia="仿宋_GB2312" w:cs="仿宋_GB2312"/>
          <w:color w:val="FF0000"/>
          <w:sz w:val="32"/>
          <w:szCs w:val="32"/>
        </w:rPr>
      </w:pPr>
      <w:r>
        <w:rPr>
          <w:rFonts w:hint="eastAsia" w:ascii="黑体" w:hAnsi="黑体" w:eastAsia="黑体" w:cs="黑体"/>
          <w:szCs w:val="21"/>
        </w:rPr>
        <w:drawing>
          <wp:anchor distT="0" distB="0" distL="114300" distR="114300" simplePos="0" relativeHeight="251665408" behindDoc="0" locked="0" layoutInCell="1" allowOverlap="1">
            <wp:simplePos x="0" y="0"/>
            <wp:positionH relativeFrom="column">
              <wp:posOffset>2904490</wp:posOffset>
            </wp:positionH>
            <wp:positionV relativeFrom="paragraph">
              <wp:posOffset>57785</wp:posOffset>
            </wp:positionV>
            <wp:extent cx="2400935" cy="1800225"/>
            <wp:effectExtent l="0" t="0" r="12065" b="3175"/>
            <wp:wrapNone/>
            <wp:docPr id="10" name="图片 10" descr="d07e269f692e6c3a272147e1c5e631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d07e269f692e6c3a272147e1c5e6311f"/>
                    <pic:cNvPicPr>
                      <a:picLocks noChangeAspect="1"/>
                    </pic:cNvPicPr>
                  </pic:nvPicPr>
                  <pic:blipFill>
                    <a:blip r:embed="rId13"/>
                    <a:stretch>
                      <a:fillRect/>
                    </a:stretch>
                  </pic:blipFill>
                  <pic:spPr>
                    <a:xfrm>
                      <a:off x="0" y="0"/>
                      <a:ext cx="2400935" cy="1800225"/>
                    </a:xfrm>
                    <a:prstGeom prst="rect">
                      <a:avLst/>
                    </a:prstGeom>
                  </pic:spPr>
                </pic:pic>
              </a:graphicData>
            </a:graphic>
          </wp:anchor>
        </w:drawing>
      </w:r>
      <w:r>
        <w:rPr>
          <w:rFonts w:hint="eastAsia" w:ascii="黑体" w:hAnsi="黑体" w:eastAsia="黑体" w:cs="黑体"/>
          <w:szCs w:val="21"/>
        </w:rPr>
        <w:drawing>
          <wp:anchor distT="0" distB="0" distL="114300" distR="114300" simplePos="0" relativeHeight="251664384" behindDoc="0" locked="0" layoutInCell="1" allowOverlap="1">
            <wp:simplePos x="0" y="0"/>
            <wp:positionH relativeFrom="column">
              <wp:posOffset>108585</wp:posOffset>
            </wp:positionH>
            <wp:positionV relativeFrom="paragraph">
              <wp:posOffset>48260</wp:posOffset>
            </wp:positionV>
            <wp:extent cx="2400300" cy="1800225"/>
            <wp:effectExtent l="0" t="0" r="0" b="3175"/>
            <wp:wrapNone/>
            <wp:docPr id="9" name="图片 9" descr="03d714bee89c54d9cf0013e8cf096a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03d714bee89c54d9cf0013e8cf096a18"/>
                    <pic:cNvPicPr>
                      <a:picLocks noChangeAspect="1"/>
                    </pic:cNvPicPr>
                  </pic:nvPicPr>
                  <pic:blipFill>
                    <a:blip r:embed="rId14"/>
                    <a:stretch>
                      <a:fillRect/>
                    </a:stretch>
                  </pic:blipFill>
                  <pic:spPr>
                    <a:xfrm>
                      <a:off x="0" y="0"/>
                      <a:ext cx="2400300" cy="1800225"/>
                    </a:xfrm>
                    <a:prstGeom prst="rect">
                      <a:avLst/>
                    </a:prstGeom>
                  </pic:spPr>
                </pic:pic>
              </a:graphicData>
            </a:graphic>
          </wp:anchor>
        </w:drawing>
      </w:r>
    </w:p>
    <w:p w14:paraId="1D678E7A">
      <w:pPr>
        <w:rPr>
          <w:rFonts w:ascii="仿宋_GB2312" w:hAnsi="仿宋" w:eastAsia="仿宋_GB2312" w:cs="仿宋_GB2312"/>
          <w:color w:val="FF0000"/>
          <w:sz w:val="32"/>
          <w:szCs w:val="32"/>
        </w:rPr>
      </w:pPr>
    </w:p>
    <w:p w14:paraId="57E1401D">
      <w:pPr>
        <w:rPr>
          <w:rFonts w:ascii="仿宋_GB2312" w:hAnsi="仿宋" w:eastAsia="仿宋_GB2312" w:cs="仿宋_GB2312"/>
          <w:color w:val="FF0000"/>
          <w:sz w:val="32"/>
          <w:szCs w:val="32"/>
        </w:rPr>
      </w:pPr>
    </w:p>
    <w:p w14:paraId="071C6B68">
      <w:pPr>
        <w:rPr>
          <w:rFonts w:ascii="仿宋_GB2312" w:hAnsi="仿宋" w:eastAsia="仿宋_GB2312" w:cs="仿宋_GB2312"/>
          <w:color w:val="FF0000"/>
          <w:sz w:val="32"/>
          <w:szCs w:val="32"/>
        </w:rPr>
      </w:pPr>
    </w:p>
    <w:p w14:paraId="4305D3B9">
      <w:pPr>
        <w:ind w:firstLine="1050" w:firstLineChars="500"/>
        <w:rPr>
          <w:rFonts w:ascii="黑体" w:hAnsi="黑体" w:eastAsia="黑体" w:cs="黑体"/>
          <w:szCs w:val="21"/>
        </w:rPr>
      </w:pPr>
    </w:p>
    <w:p w14:paraId="62E0FC63">
      <w:pPr>
        <w:ind w:firstLine="1050" w:firstLineChars="500"/>
        <w:rPr>
          <w:rFonts w:ascii="黑体" w:hAnsi="黑体" w:eastAsia="黑体" w:cs="黑体"/>
          <w:szCs w:val="21"/>
        </w:rPr>
      </w:pPr>
    </w:p>
    <w:p w14:paraId="49E95E1C">
      <w:pPr>
        <w:ind w:firstLine="1050" w:firstLineChars="500"/>
        <w:rPr>
          <w:rFonts w:ascii="黑体" w:hAnsi="黑体" w:eastAsia="黑体" w:cs="黑体"/>
          <w:szCs w:val="21"/>
        </w:rPr>
      </w:pPr>
      <w:r>
        <w:rPr>
          <w:rFonts w:hint="eastAsia" w:ascii="黑体" w:hAnsi="黑体" w:eastAsia="黑体" w:cs="黑体"/>
          <w:szCs w:val="21"/>
        </w:rPr>
        <w:t>图8 赴东方献血屋调研                      图9 赴临高献血屋调研</w:t>
      </w:r>
    </w:p>
    <w:p w14:paraId="55FF1362">
      <w:pPr>
        <w:rPr>
          <w:rFonts w:ascii="仿宋_GB2312" w:hAnsi="仿宋" w:eastAsia="仿宋_GB2312" w:cs="仿宋_GB2312"/>
          <w:color w:val="FF0000"/>
          <w:sz w:val="32"/>
          <w:szCs w:val="32"/>
        </w:rPr>
      </w:pPr>
      <w:r>
        <w:rPr>
          <w:rFonts w:hint="eastAsia" w:ascii="仿宋_GB2312" w:hAnsi="仿宋" w:eastAsia="仿宋_GB2312" w:cs="仿宋_GB2312"/>
          <w:color w:val="FF0000"/>
          <w:sz w:val="32"/>
          <w:szCs w:val="32"/>
        </w:rPr>
        <w:drawing>
          <wp:anchor distT="0" distB="0" distL="114300" distR="114300" simplePos="0" relativeHeight="251668480" behindDoc="0" locked="0" layoutInCell="1" allowOverlap="1">
            <wp:simplePos x="0" y="0"/>
            <wp:positionH relativeFrom="column">
              <wp:posOffset>2943860</wp:posOffset>
            </wp:positionH>
            <wp:positionV relativeFrom="paragraph">
              <wp:posOffset>55245</wp:posOffset>
            </wp:positionV>
            <wp:extent cx="2400935" cy="1800225"/>
            <wp:effectExtent l="0" t="0" r="12065" b="3175"/>
            <wp:wrapNone/>
            <wp:docPr id="14" name="图片 14" descr="f93cbf32903330ee1bf027fde0a285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f93cbf32903330ee1bf027fde0a28575"/>
                    <pic:cNvPicPr>
                      <a:picLocks noChangeAspect="1"/>
                    </pic:cNvPicPr>
                  </pic:nvPicPr>
                  <pic:blipFill>
                    <a:blip r:embed="rId15"/>
                    <a:stretch>
                      <a:fillRect/>
                    </a:stretch>
                  </pic:blipFill>
                  <pic:spPr>
                    <a:xfrm>
                      <a:off x="0" y="0"/>
                      <a:ext cx="2400935" cy="1800225"/>
                    </a:xfrm>
                    <a:prstGeom prst="rect">
                      <a:avLst/>
                    </a:prstGeom>
                  </pic:spPr>
                </pic:pic>
              </a:graphicData>
            </a:graphic>
          </wp:anchor>
        </w:drawing>
      </w:r>
      <w:r>
        <w:rPr>
          <w:rFonts w:hint="eastAsia" w:ascii="仿宋_GB2312" w:hAnsi="仿宋" w:eastAsia="仿宋_GB2312" w:cs="仿宋_GB2312"/>
          <w:color w:val="FF0000"/>
          <w:sz w:val="32"/>
          <w:szCs w:val="32"/>
        </w:rPr>
        <w:drawing>
          <wp:anchor distT="0" distB="0" distL="114300" distR="114300" simplePos="0" relativeHeight="251667456" behindDoc="0" locked="0" layoutInCell="1" allowOverlap="1">
            <wp:simplePos x="0" y="0"/>
            <wp:positionH relativeFrom="column">
              <wp:posOffset>121920</wp:posOffset>
            </wp:positionH>
            <wp:positionV relativeFrom="paragraph">
              <wp:posOffset>45720</wp:posOffset>
            </wp:positionV>
            <wp:extent cx="2400300" cy="1800225"/>
            <wp:effectExtent l="0" t="0" r="0" b="3175"/>
            <wp:wrapNone/>
            <wp:docPr id="12" name="图片 12" descr="e069dfd002ac917ea0ebf1cb02e572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069dfd002ac917ea0ebf1cb02e572fc"/>
                    <pic:cNvPicPr>
                      <a:picLocks noChangeAspect="1"/>
                    </pic:cNvPicPr>
                  </pic:nvPicPr>
                  <pic:blipFill>
                    <a:blip r:embed="rId16"/>
                    <a:stretch>
                      <a:fillRect/>
                    </a:stretch>
                  </pic:blipFill>
                  <pic:spPr>
                    <a:xfrm>
                      <a:off x="0" y="0"/>
                      <a:ext cx="2400300" cy="1800225"/>
                    </a:xfrm>
                    <a:prstGeom prst="rect">
                      <a:avLst/>
                    </a:prstGeom>
                  </pic:spPr>
                </pic:pic>
              </a:graphicData>
            </a:graphic>
          </wp:anchor>
        </w:drawing>
      </w:r>
    </w:p>
    <w:p w14:paraId="33DCD435">
      <w:pPr>
        <w:rPr>
          <w:rFonts w:ascii="仿宋_GB2312" w:hAnsi="仿宋" w:eastAsia="仿宋_GB2312" w:cs="仿宋_GB2312"/>
          <w:color w:val="FF0000"/>
          <w:sz w:val="32"/>
          <w:szCs w:val="32"/>
        </w:rPr>
      </w:pPr>
    </w:p>
    <w:p w14:paraId="614A2B69">
      <w:pPr>
        <w:rPr>
          <w:rFonts w:ascii="仿宋_GB2312" w:hAnsi="仿宋" w:eastAsia="仿宋_GB2312" w:cs="仿宋_GB2312"/>
          <w:color w:val="FF0000"/>
          <w:sz w:val="32"/>
          <w:szCs w:val="32"/>
        </w:rPr>
      </w:pPr>
    </w:p>
    <w:p w14:paraId="523601FF">
      <w:pPr>
        <w:rPr>
          <w:rFonts w:ascii="仿宋_GB2312" w:hAnsi="仿宋" w:eastAsia="仿宋_GB2312" w:cs="仿宋_GB2312"/>
          <w:color w:val="FF0000"/>
          <w:sz w:val="32"/>
          <w:szCs w:val="32"/>
        </w:rPr>
      </w:pPr>
    </w:p>
    <w:p w14:paraId="5C00B9F1">
      <w:pPr>
        <w:rPr>
          <w:rFonts w:ascii="仿宋_GB2312" w:hAnsi="仿宋" w:eastAsia="仿宋_GB2312" w:cs="仿宋_GB2312"/>
          <w:color w:val="FF0000"/>
          <w:sz w:val="32"/>
          <w:szCs w:val="32"/>
        </w:rPr>
      </w:pPr>
    </w:p>
    <w:p w14:paraId="460BD59E">
      <w:pPr>
        <w:ind w:firstLine="1050" w:firstLineChars="500"/>
        <w:rPr>
          <w:rFonts w:ascii="黑体" w:hAnsi="黑体" w:eastAsia="黑体" w:cs="黑体"/>
          <w:szCs w:val="21"/>
        </w:rPr>
      </w:pPr>
      <w:r>
        <w:rPr>
          <w:rFonts w:hint="eastAsia" w:ascii="黑体" w:hAnsi="黑体" w:eastAsia="黑体" w:cs="黑体"/>
          <w:szCs w:val="21"/>
        </w:rPr>
        <w:t>图10 赴昌江献血屋调研                     图11 赴陵水献血屋调研</w:t>
      </w:r>
    </w:p>
    <w:p w14:paraId="775A2D35">
      <w:pPr>
        <w:pStyle w:val="2"/>
        <w:ind w:firstLine="640"/>
      </w:pPr>
      <w:bookmarkStart w:id="5" w:name="_Toc223722424"/>
      <w:r>
        <w:rPr>
          <w:rFonts w:hint="eastAsia"/>
        </w:rPr>
        <w:t>制定标准的原则和依据，与现行法律法规、标准的关系</w:t>
      </w:r>
      <w:bookmarkEnd w:id="5"/>
    </w:p>
    <w:p w14:paraId="18C70861">
      <w:pPr>
        <w:pStyle w:val="3"/>
        <w:numPr>
          <w:ilvl w:val="0"/>
          <w:numId w:val="8"/>
        </w:numPr>
        <w:ind w:left="0" w:firstLine="640" w:firstLineChars="200"/>
      </w:pPr>
      <w:bookmarkStart w:id="6" w:name="_Toc223722425"/>
      <w:r>
        <w:rPr>
          <w:rFonts w:hint="eastAsia"/>
        </w:rPr>
        <w:t>制定标准的原则</w:t>
      </w:r>
      <w:bookmarkEnd w:id="6"/>
    </w:p>
    <w:p w14:paraId="0791E88D">
      <w:pPr>
        <w:spacing w:line="560" w:lineRule="exact"/>
        <w:ind w:firstLine="640" w:firstLineChars="200"/>
        <w:jc w:val="both"/>
        <w:rPr>
          <w:rFonts w:ascii="仿宋_GB2312" w:hAnsi="仿宋" w:eastAsia="仿宋_GB2312" w:cs="仿宋_GB2312"/>
          <w:sz w:val="32"/>
          <w:szCs w:val="32"/>
        </w:rPr>
      </w:pPr>
      <w:r>
        <w:rPr>
          <w:rFonts w:ascii="仿宋_GB2312" w:hAnsi="仿宋" w:eastAsia="仿宋_GB2312" w:cs="仿宋_GB2312"/>
          <w:sz w:val="32"/>
          <w:szCs w:val="32"/>
        </w:rPr>
        <w:t>1.</w:t>
      </w:r>
      <w:r>
        <w:rPr>
          <w:rFonts w:hint="eastAsia" w:ascii="仿宋_GB2312" w:hAnsi="仿宋" w:eastAsia="仿宋_GB2312" w:cs="仿宋_GB2312"/>
          <w:sz w:val="32"/>
          <w:szCs w:val="32"/>
        </w:rPr>
        <w:t>科学性。本标准在编制过程中以相关法律法规、政策文件为主要依据，结合本省工作实际编写，标准技术内容符合客观实际且可验证。</w:t>
      </w:r>
    </w:p>
    <w:p w14:paraId="6C90BD56">
      <w:pPr>
        <w:spacing w:line="560" w:lineRule="exact"/>
        <w:ind w:firstLine="640" w:firstLineChars="200"/>
        <w:jc w:val="both"/>
        <w:rPr>
          <w:rFonts w:ascii="仿宋_GB2312" w:hAnsi="仿宋" w:eastAsia="仿宋_GB2312" w:cs="仿宋_GB2312"/>
          <w:sz w:val="32"/>
          <w:szCs w:val="32"/>
        </w:rPr>
      </w:pPr>
      <w:r>
        <w:rPr>
          <w:rFonts w:hint="eastAsia" w:ascii="仿宋_GB2312" w:hAnsi="仿宋" w:eastAsia="仿宋_GB2312" w:cs="仿宋_GB2312"/>
          <w:sz w:val="32"/>
          <w:szCs w:val="32"/>
        </w:rPr>
        <w:t>2</w:t>
      </w:r>
      <w:r>
        <w:rPr>
          <w:rFonts w:ascii="仿宋_GB2312" w:hAnsi="仿宋" w:eastAsia="仿宋_GB2312" w:cs="仿宋_GB2312"/>
          <w:sz w:val="32"/>
          <w:szCs w:val="32"/>
        </w:rPr>
        <w:t>.</w:t>
      </w:r>
      <w:r>
        <w:rPr>
          <w:rFonts w:hint="eastAsia" w:ascii="仿宋_GB2312" w:hAnsi="仿宋" w:eastAsia="仿宋_GB2312" w:cs="仿宋_GB2312"/>
          <w:sz w:val="32"/>
          <w:szCs w:val="32"/>
        </w:rPr>
        <w:t>统一性。本标准做到标准结构、文体、术语、形式的统一。</w:t>
      </w:r>
    </w:p>
    <w:p w14:paraId="7AF080B0">
      <w:pPr>
        <w:spacing w:line="560" w:lineRule="exact"/>
        <w:ind w:firstLine="640" w:firstLineChars="200"/>
        <w:jc w:val="both"/>
        <w:rPr>
          <w:rFonts w:ascii="仿宋_GB2312" w:hAnsi="仿宋" w:eastAsia="仿宋_GB2312" w:cs="仿宋_GB2312"/>
          <w:sz w:val="32"/>
          <w:szCs w:val="32"/>
        </w:rPr>
      </w:pPr>
      <w:r>
        <w:rPr>
          <w:rFonts w:hint="eastAsia" w:ascii="仿宋_GB2312" w:hAnsi="仿宋" w:eastAsia="仿宋_GB2312" w:cs="仿宋_GB2312"/>
          <w:sz w:val="32"/>
          <w:szCs w:val="32"/>
        </w:rPr>
        <w:t>3.适用性。血液筛查反应性献血者归队目前没有相应的国家、行业标准、地方标准，本标准在调研血液筛查反应性献血者归队现状的基础上，根据血液筛查反应性献血者归队需求编写。标准文本结构清晰、易于理解、可操作性强，适用于全省经营主体登记全程电子化服务工作。</w:t>
      </w:r>
    </w:p>
    <w:p w14:paraId="039CA964">
      <w:pPr>
        <w:spacing w:line="560" w:lineRule="exact"/>
        <w:ind w:firstLine="640" w:firstLineChars="200"/>
        <w:jc w:val="both"/>
        <w:rPr>
          <w:rFonts w:ascii="仿宋_GB2312" w:hAnsi="仿宋" w:eastAsia="仿宋_GB2312" w:cs="仿宋_GB2312"/>
          <w:sz w:val="32"/>
          <w:szCs w:val="32"/>
        </w:rPr>
      </w:pPr>
      <w:r>
        <w:rPr>
          <w:rFonts w:hint="eastAsia" w:ascii="仿宋_GB2312" w:hAnsi="仿宋" w:eastAsia="仿宋_GB2312" w:cs="仿宋_GB2312"/>
          <w:sz w:val="32"/>
          <w:szCs w:val="32"/>
        </w:rPr>
        <w:t>4.规范性。本标准严格按照GB/T 1.1—2020《标准化工作导则 第1部分：标准化文件的结构和起草规则》给出的规则进行编写。</w:t>
      </w:r>
    </w:p>
    <w:p w14:paraId="60D8A9AF">
      <w:pPr>
        <w:pStyle w:val="3"/>
        <w:numPr>
          <w:ilvl w:val="0"/>
          <w:numId w:val="8"/>
        </w:numPr>
        <w:ind w:left="0" w:firstLine="640" w:firstLineChars="200"/>
      </w:pPr>
      <w:bookmarkStart w:id="7" w:name="_Toc223722426"/>
      <w:r>
        <w:rPr>
          <w:rFonts w:hint="eastAsia"/>
        </w:rPr>
        <w:t>制定标准的主要依据</w:t>
      </w:r>
      <w:bookmarkEnd w:id="7"/>
    </w:p>
    <w:p w14:paraId="6C642B5E">
      <w:pPr>
        <w:spacing w:line="560" w:lineRule="exact"/>
        <w:ind w:firstLine="640" w:firstLineChars="200"/>
        <w:outlineLvl w:val="2"/>
        <w:rPr>
          <w:rFonts w:ascii="仿宋_GB2312" w:hAnsi="仿宋" w:eastAsia="仿宋_GB2312" w:cs="仿宋_GB2312"/>
          <w:sz w:val="32"/>
          <w:szCs w:val="32"/>
        </w:rPr>
      </w:pPr>
      <w:bookmarkStart w:id="8" w:name="_Toc223722427"/>
      <w:r>
        <w:rPr>
          <w:rFonts w:hint="eastAsia" w:ascii="仿宋_GB2312" w:hAnsi="仿宋" w:eastAsia="仿宋_GB2312" w:cs="仿宋_GB2312"/>
          <w:sz w:val="32"/>
          <w:szCs w:val="32"/>
        </w:rPr>
        <w:t>1.法律法规及相关政策文件：</w:t>
      </w:r>
      <w:bookmarkEnd w:id="8"/>
    </w:p>
    <w:p w14:paraId="5DB4957A">
      <w:pPr>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《中华人民共和国献血法》[EB/OL]. (1997-12-29)</w:t>
      </w:r>
    </w:p>
    <w:p w14:paraId="04A5173E">
      <w:pPr>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《医疗废物管理条例》[EB/OL]. (2003-06-16)</w:t>
      </w:r>
    </w:p>
    <w:p w14:paraId="2F7488D8">
      <w:pPr>
        <w:pStyle w:val="18"/>
        <w:ind w:left="420" w:firstLine="320" w:firstLineChars="100"/>
        <w:rPr>
          <w:rFonts w:ascii="仿宋_GB2312" w:hAnsi="宋体" w:eastAsia="仿宋_GB2312" w:cs="宋体"/>
          <w:sz w:val="32"/>
          <w:szCs w:val="32"/>
        </w:rPr>
      </w:pPr>
      <w:r>
        <w:rPr>
          <w:rFonts w:hint="eastAsia" w:ascii="仿宋_GB2312" w:hAnsi="宋体" w:eastAsia="仿宋_GB2312" w:cs="宋体"/>
          <w:sz w:val="32"/>
          <w:szCs w:val="32"/>
        </w:rPr>
        <w:t>GB 18467—2011</w:t>
      </w:r>
      <w:r>
        <w:rPr>
          <w:rFonts w:hint="eastAsia" w:ascii="仿宋_GB2312" w:hAnsi="宋体" w:eastAsia="仿宋_GB2312" w:cs="宋体"/>
          <w:sz w:val="32"/>
          <w:szCs w:val="32"/>
        </w:rPr>
        <w:tab/>
      </w:r>
      <w:r>
        <w:rPr>
          <w:rFonts w:hint="eastAsia" w:ascii="仿宋_GB2312" w:hAnsi="宋体" w:eastAsia="仿宋_GB2312" w:cs="宋体"/>
          <w:sz w:val="32"/>
          <w:szCs w:val="32"/>
        </w:rPr>
        <w:t xml:space="preserve"> 献血者健康检查要求</w:t>
      </w:r>
    </w:p>
    <w:p w14:paraId="4E629D34">
      <w:pPr>
        <w:pStyle w:val="18"/>
        <w:ind w:left="420" w:firstLine="320" w:firstLineChars="100"/>
        <w:rPr>
          <w:rFonts w:ascii="仿宋_GB2312" w:hAnsi="宋体" w:eastAsia="仿宋_GB2312" w:cs="宋体"/>
          <w:sz w:val="32"/>
          <w:szCs w:val="32"/>
        </w:rPr>
      </w:pPr>
      <w:r>
        <w:rPr>
          <w:rFonts w:hint="eastAsia" w:ascii="仿宋_GB2312" w:hAnsi="宋体" w:eastAsia="仿宋_GB2312" w:cs="宋体"/>
          <w:sz w:val="32"/>
          <w:szCs w:val="32"/>
        </w:rPr>
        <w:t>T/CSBT 002—2019  血液筛查反应性献血者归队指南</w:t>
      </w:r>
    </w:p>
    <w:p w14:paraId="0E6F2FA2">
      <w:pPr>
        <w:pStyle w:val="18"/>
        <w:ind w:firstLine="640"/>
        <w:rPr>
          <w:rFonts w:ascii="仿宋_GB2312" w:hAnsi="宋体" w:eastAsia="仿宋_GB2312" w:cs="宋体"/>
          <w:sz w:val="32"/>
          <w:szCs w:val="32"/>
        </w:rPr>
      </w:pPr>
      <w:r>
        <w:rPr>
          <w:rFonts w:hint="eastAsia" w:ascii="仿宋_GB2312" w:hAnsi="宋体" w:eastAsia="仿宋_GB2312" w:cs="宋体"/>
          <w:sz w:val="32"/>
          <w:szCs w:val="32"/>
        </w:rPr>
        <w:t>《血站技术操作规程》（国卫医函[2019] 98号）</w:t>
      </w:r>
    </w:p>
    <w:p w14:paraId="0F9E3606">
      <w:pPr>
        <w:pStyle w:val="18"/>
        <w:ind w:firstLine="640"/>
        <w:rPr>
          <w:rFonts w:ascii="仿宋_GB2312" w:hAnsi="宋体" w:eastAsia="仿宋_GB2312" w:cs="宋体"/>
          <w:sz w:val="32"/>
          <w:szCs w:val="32"/>
        </w:rPr>
      </w:pPr>
      <w:r>
        <w:rPr>
          <w:rFonts w:hint="eastAsia" w:ascii="仿宋_GB2312" w:hAnsi="宋体" w:eastAsia="仿宋_GB2312" w:cs="宋体"/>
          <w:sz w:val="32"/>
          <w:szCs w:val="32"/>
        </w:rPr>
        <w:t>《血站基本标准》（卫医发[2000] 448号）</w:t>
      </w:r>
    </w:p>
    <w:p w14:paraId="5A7A0138">
      <w:pPr>
        <w:pStyle w:val="18"/>
        <w:ind w:firstLine="640"/>
        <w:rPr>
          <w:rFonts w:ascii="仿宋_GB2312" w:hAnsi="宋体" w:eastAsia="仿宋_GB2312" w:cs="宋体"/>
          <w:sz w:val="32"/>
          <w:szCs w:val="32"/>
        </w:rPr>
      </w:pPr>
      <w:r>
        <w:rPr>
          <w:rFonts w:hint="eastAsia" w:ascii="仿宋_GB2312" w:hAnsi="宋体" w:eastAsia="仿宋_GB2312" w:cs="宋体"/>
          <w:sz w:val="32"/>
          <w:szCs w:val="32"/>
        </w:rPr>
        <w:t>《血站管理办法》（卫生部令第44号）</w:t>
      </w:r>
    </w:p>
    <w:p w14:paraId="5CDF595F">
      <w:pPr>
        <w:pStyle w:val="18"/>
        <w:ind w:firstLine="640"/>
        <w:rPr>
          <w:rFonts w:ascii="仿宋_GB2312" w:hAnsi="宋体" w:eastAsia="仿宋_GB2312" w:cs="宋体"/>
          <w:strike/>
          <w:sz w:val="32"/>
          <w:szCs w:val="32"/>
        </w:rPr>
      </w:pPr>
      <w:r>
        <w:rPr>
          <w:rFonts w:hint="eastAsia" w:ascii="仿宋_GB2312" w:hAnsi="宋体" w:eastAsia="仿宋_GB2312" w:cs="宋体"/>
          <w:sz w:val="32"/>
          <w:szCs w:val="32"/>
        </w:rPr>
        <w:t>《血站质量管理规范》（卫医发[2006] 167号）</w:t>
      </w:r>
    </w:p>
    <w:p w14:paraId="7FC4AA0E">
      <w:pPr>
        <w:spacing w:line="560" w:lineRule="exact"/>
        <w:ind w:firstLine="640" w:firstLineChars="200"/>
        <w:rPr>
          <w:rFonts w:ascii="仿宋_GB2312" w:hAnsi="宋体" w:eastAsia="仿宋_GB2312" w:cs="宋体"/>
          <w:sz w:val="32"/>
          <w:szCs w:val="32"/>
        </w:rPr>
      </w:pPr>
      <w:r>
        <w:rPr>
          <w:rFonts w:hint="eastAsia" w:ascii="仿宋_GB2312" w:hAnsi="宋体" w:eastAsia="仿宋_GB2312" w:cs="宋体"/>
          <w:sz w:val="32"/>
          <w:szCs w:val="32"/>
        </w:rPr>
        <w:t>《血站实验室质量管理规范》 （卫医发[2006] 183号）</w:t>
      </w:r>
    </w:p>
    <w:p w14:paraId="673B3B84">
      <w:pPr>
        <w:spacing w:line="560" w:lineRule="exact"/>
        <w:ind w:firstLine="640" w:firstLineChars="200"/>
        <w:outlineLvl w:val="2"/>
        <w:rPr>
          <w:rFonts w:ascii="仿宋_GB2312" w:hAnsi="仿宋" w:eastAsia="仿宋_GB2312" w:cs="仿宋_GB2312"/>
          <w:sz w:val="32"/>
          <w:szCs w:val="32"/>
        </w:rPr>
      </w:pPr>
      <w:bookmarkStart w:id="9" w:name="_Toc223722428"/>
      <w:r>
        <w:rPr>
          <w:rFonts w:hint="eastAsia" w:ascii="仿宋_GB2312" w:hAnsi="仿宋" w:eastAsia="仿宋_GB2312" w:cs="仿宋_GB2312"/>
          <w:sz w:val="32"/>
          <w:szCs w:val="32"/>
        </w:rPr>
        <w:t>2.相关标准：</w:t>
      </w:r>
      <w:bookmarkEnd w:id="9"/>
    </w:p>
    <w:p w14:paraId="363308B2">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GB/T 1.1—2020 标准化工作导则 第1部分：标准化文件的结构和起草规则</w:t>
      </w:r>
    </w:p>
    <w:p w14:paraId="2C6CC493">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GB 18467-2011</w:t>
      </w:r>
      <w:r>
        <w:rPr>
          <w:rFonts w:hint="eastAsia" w:ascii="仿宋_GB2312" w:hAnsi="仿宋" w:eastAsia="仿宋_GB2312" w:cs="仿宋_GB2312"/>
          <w:sz w:val="32"/>
          <w:szCs w:val="32"/>
        </w:rPr>
        <w:tab/>
      </w:r>
      <w:r>
        <w:rPr>
          <w:rFonts w:hint="eastAsia" w:ascii="仿宋_GB2312" w:hAnsi="仿宋" w:eastAsia="仿宋_GB2312" w:cs="仿宋_GB2312"/>
          <w:sz w:val="32"/>
          <w:szCs w:val="32"/>
        </w:rPr>
        <w:t>献血者健康检查要求</w:t>
      </w:r>
    </w:p>
    <w:p w14:paraId="2F4531E6">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 xml:space="preserve">GB/T 20001.5—2017 标准编写规则 第5部分：规范标准 </w:t>
      </w:r>
    </w:p>
    <w:p w14:paraId="22D803FE">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DB46/T 74—2021  地方标准制修订工作规范</w:t>
      </w:r>
    </w:p>
    <w:p w14:paraId="578E80C4">
      <w:pPr>
        <w:pStyle w:val="3"/>
        <w:numPr>
          <w:ilvl w:val="0"/>
          <w:numId w:val="8"/>
        </w:numPr>
        <w:ind w:left="0" w:firstLine="640" w:firstLineChars="200"/>
      </w:pPr>
      <w:bookmarkStart w:id="10" w:name="_Toc223722429"/>
      <w:r>
        <w:rPr>
          <w:rFonts w:hint="eastAsia"/>
        </w:rPr>
        <w:t>与现行法律、法规标准的关系</w:t>
      </w:r>
      <w:bookmarkEnd w:id="10"/>
    </w:p>
    <w:p w14:paraId="6C065B03">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本标准符合《中华人民共和国标准化法》《中华人民共和国献血法》的相关规定，且从适用性、可操作性方面补充细化标准内容。</w:t>
      </w:r>
    </w:p>
    <w:p w14:paraId="58E1263A">
      <w:pPr>
        <w:pStyle w:val="2"/>
        <w:ind w:firstLine="640"/>
      </w:pPr>
      <w:bookmarkStart w:id="11" w:name="_Toc223722430"/>
      <w:r>
        <w:rPr>
          <w:rFonts w:hint="eastAsia"/>
        </w:rPr>
        <w:t>主要条款的说明，主要技术指标、参数、试验验证的论述</w:t>
      </w:r>
      <w:bookmarkEnd w:id="11"/>
    </w:p>
    <w:p w14:paraId="1476D27F">
      <w:pPr>
        <w:pStyle w:val="3"/>
        <w:numPr>
          <w:ilvl w:val="0"/>
          <w:numId w:val="9"/>
        </w:numPr>
        <w:ind w:left="0" w:firstLine="640" w:firstLineChars="200"/>
      </w:pPr>
      <w:bookmarkStart w:id="12" w:name="_Toc223722431"/>
      <w:r>
        <w:rPr>
          <w:rFonts w:hint="eastAsia"/>
        </w:rPr>
        <w:t>术语与定义</w:t>
      </w:r>
      <w:bookmarkEnd w:id="12"/>
    </w:p>
    <w:p w14:paraId="549DA3BB">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本章对“献血者归队”“献血屏蔽期”“血液筛查反应性”“确证试验”4个关键术语进行了明确定义，确保标准使用者在理解上的一致性，避免歧义。特别是对“归队”概念的界定，明确了其法律属性和技术路径，为后续条款的落地实施奠定基础。</w:t>
      </w:r>
    </w:p>
    <w:p w14:paraId="467BB9AD">
      <w:pPr>
        <w:pStyle w:val="3"/>
        <w:numPr>
          <w:ilvl w:val="0"/>
          <w:numId w:val="9"/>
        </w:numPr>
        <w:ind w:left="0" w:firstLine="640" w:firstLineChars="200"/>
      </w:pPr>
      <w:bookmarkStart w:id="13" w:name="_Toc223722432"/>
      <w:r>
        <w:t>缩略语</w:t>
      </w:r>
      <w:bookmarkEnd w:id="13"/>
    </w:p>
    <w:p w14:paraId="1A8629A7">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本章给列出了归队检测方法的</w:t>
      </w:r>
      <w:r>
        <w:rPr>
          <w:rFonts w:ascii="仿宋_GB2312" w:hAnsi="仿宋" w:eastAsia="仿宋_GB2312" w:cs="仿宋_GB2312"/>
          <w:sz w:val="32"/>
          <w:szCs w:val="32"/>
        </w:rPr>
        <w:t>9个缩略语及归队检测病</w:t>
      </w:r>
      <w:r>
        <w:rPr>
          <w:rFonts w:hint="eastAsia" w:ascii="仿宋_GB2312" w:hAnsi="仿宋" w:eastAsia="仿宋_GB2312" w:cs="仿宋_GB2312"/>
          <w:sz w:val="32"/>
          <w:szCs w:val="32"/>
        </w:rPr>
        <w:t>毒及标志物的6个缩略语</w:t>
      </w:r>
      <w:r>
        <w:rPr>
          <w:rFonts w:ascii="仿宋_GB2312" w:hAnsi="仿宋" w:eastAsia="仿宋_GB2312" w:cs="仿宋_GB2312"/>
          <w:sz w:val="32"/>
          <w:szCs w:val="32"/>
        </w:rPr>
        <w:t>，以提高本标准的易用性。</w:t>
      </w:r>
    </w:p>
    <w:p w14:paraId="6B84A564">
      <w:pPr>
        <w:pStyle w:val="3"/>
        <w:numPr>
          <w:ilvl w:val="0"/>
          <w:numId w:val="9"/>
        </w:numPr>
        <w:ind w:left="0" w:firstLine="640" w:firstLineChars="200"/>
      </w:pPr>
      <w:bookmarkStart w:id="14" w:name="_Toc223722433"/>
      <w:r>
        <w:rPr>
          <w:rFonts w:hint="eastAsia"/>
        </w:rPr>
        <w:t>总体原则</w:t>
      </w:r>
      <w:bookmarkEnd w:id="14"/>
    </w:p>
    <w:p w14:paraId="228883CA">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本章确立了六项总体原则，分别为：科学性、安全性、自愿、保密、可追溯、结果告知限定。这些原则贯穿于归队管理的全过程，既保障了献血者权益，也强化了血液安全底线。特别是“结果告知限定原则”明确了检测结果仅用于献血资格评估，不得作为临床诊断依据，具有重要的法律和社会意义。</w:t>
      </w:r>
    </w:p>
    <w:p w14:paraId="0F508205">
      <w:pPr>
        <w:pStyle w:val="3"/>
        <w:numPr>
          <w:ilvl w:val="0"/>
          <w:numId w:val="9"/>
        </w:numPr>
        <w:ind w:left="0" w:firstLine="640" w:firstLineChars="200"/>
      </w:pPr>
      <w:bookmarkStart w:id="15" w:name="_Toc223722434"/>
      <w:r>
        <w:rPr>
          <w:rFonts w:hint="eastAsia"/>
        </w:rPr>
        <w:t>献血者归队条件</w:t>
      </w:r>
      <w:bookmarkEnd w:id="15"/>
    </w:p>
    <w:p w14:paraId="186C4B96">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本章明确了献血者可归队的条件，依据经血传播疾病病原体(HBV、HCV、HIV、TP、HTLV等)的血清学与核酸检测，易出现假阳性的反应性献血者，适合本章所纳入的归队人群，此要求具有较高的技术严谨性。</w:t>
      </w:r>
    </w:p>
    <w:p w14:paraId="07066A9B">
      <w:pPr>
        <w:pStyle w:val="3"/>
        <w:numPr>
          <w:ilvl w:val="0"/>
          <w:numId w:val="9"/>
        </w:numPr>
        <w:ind w:left="0" w:firstLine="640" w:firstLineChars="200"/>
      </w:pPr>
      <w:bookmarkStart w:id="16" w:name="_Toc223722435"/>
      <w:r>
        <w:rPr>
          <w:rFonts w:hint="eastAsia"/>
        </w:rPr>
        <w:t>献血者归队流程</w:t>
      </w:r>
      <w:bookmarkEnd w:id="16"/>
    </w:p>
    <w:p w14:paraId="74DE548E">
      <w:pPr>
        <w:spacing w:line="560" w:lineRule="exact"/>
        <w:ind w:firstLine="640" w:firstLineChars="200"/>
        <w:rPr>
          <w:rFonts w:ascii="仿宋_GB2312" w:hAnsi="楷体" w:eastAsia="仿宋_GB2312" w:cs="楷体_GB2312"/>
          <w:sz w:val="32"/>
          <w:szCs w:val="32"/>
        </w:rPr>
      </w:pPr>
      <w:r>
        <w:rPr>
          <w:rFonts w:hint="eastAsia" w:ascii="仿宋_GB2312" w:hAnsi="仿宋" w:eastAsia="仿宋_GB2312" w:cs="仿宋_GB2312"/>
          <w:sz w:val="32"/>
          <w:szCs w:val="32"/>
        </w:rPr>
        <w:t>本章构建了“初次评估—再次评估”的归队流程，突出权责明确与过程可追溯。</w:t>
      </w:r>
      <w:r>
        <w:rPr>
          <w:rFonts w:hint="eastAsia" w:ascii="仿宋_GB2312" w:hAnsi="仿宋" w:eastAsia="仿宋_GB2312" w:cs="微软雅黑"/>
          <w:sz w:val="32"/>
          <w:szCs w:val="32"/>
        </w:rPr>
        <w:t>初次评</w:t>
      </w:r>
      <w:r>
        <w:rPr>
          <w:rFonts w:hint="eastAsia" w:ascii="仿宋_GB2312" w:hAnsi="仿宋" w:eastAsia="仿宋_GB2312" w:cs="仿宋_GB2312"/>
          <w:sz w:val="32"/>
          <w:szCs w:val="32"/>
        </w:rPr>
        <w:t>估</w:t>
      </w:r>
      <w:r>
        <w:rPr>
          <w:rFonts w:hint="eastAsia" w:ascii="仿宋_GB2312" w:hAnsi="仿宋" w:eastAsia="仿宋_GB2312" w:cs="微软雅黑"/>
          <w:sz w:val="32"/>
          <w:szCs w:val="32"/>
        </w:rPr>
        <w:t>直接利用当次献血样本进行检测</w:t>
      </w:r>
      <w:r>
        <w:rPr>
          <w:rFonts w:hint="eastAsia" w:ascii="仿宋_GB2312" w:hAnsi="仿宋" w:eastAsia="仿宋_GB2312" w:cs="仿宋_GB2312"/>
          <w:sz w:val="32"/>
          <w:szCs w:val="32"/>
        </w:rPr>
        <w:t>，可快速、便捷的获得了献血者的感染状态。再次评估流程包括申请、审核、标本采集、归队检测、审批五个环节，形成闭环管理，确保每个环节均有据可查、责任到人。</w:t>
      </w:r>
    </w:p>
    <w:p w14:paraId="36CDC745">
      <w:pPr>
        <w:pStyle w:val="3"/>
        <w:numPr>
          <w:ilvl w:val="0"/>
          <w:numId w:val="9"/>
        </w:numPr>
        <w:ind w:left="0" w:firstLine="640" w:firstLineChars="200"/>
      </w:pPr>
      <w:bookmarkStart w:id="17" w:name="_Toc223722436"/>
      <w:r>
        <w:rPr>
          <w:rFonts w:hint="eastAsia"/>
        </w:rPr>
        <w:t>归队检测方法与结果判定</w:t>
      </w:r>
      <w:bookmarkEnd w:id="17"/>
    </w:p>
    <w:p w14:paraId="602F2DFC">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本章共有3个部分，分别为试剂盒选择，初次评估和再次评估的检测方法和结果判定的要求，是本标准的核心技术内容。针对不同病原体设定了差异化的检测路径和判定规则，采用多指标、多方法的技术手段和覆盖病原体“窗口期”的时限完成病原体感染状态的评估，体现了科学性与精准性。</w:t>
      </w:r>
    </w:p>
    <w:p w14:paraId="0B419F2F">
      <w:pPr>
        <w:pStyle w:val="3"/>
        <w:numPr>
          <w:ilvl w:val="0"/>
          <w:numId w:val="9"/>
        </w:numPr>
        <w:ind w:left="0" w:firstLine="640" w:firstLineChars="200"/>
      </w:pPr>
      <w:bookmarkStart w:id="18" w:name="_Toc223722437"/>
      <w:r>
        <w:rPr>
          <w:rFonts w:hint="eastAsia"/>
        </w:rPr>
        <w:t>归队告知与档案管理</w:t>
      </w:r>
      <w:bookmarkEnd w:id="18"/>
    </w:p>
    <w:p w14:paraId="1326CFA8">
      <w:pPr>
        <w:spacing w:line="560" w:lineRule="exact"/>
        <w:ind w:firstLine="640" w:firstLineChars="200"/>
        <w:rPr>
          <w:rFonts w:ascii="仿宋_GB2312" w:hAnsi="楷体" w:eastAsia="仿宋_GB2312" w:cs="楷体_GB2312"/>
          <w:sz w:val="32"/>
          <w:szCs w:val="32"/>
        </w:rPr>
      </w:pPr>
      <w:r>
        <w:rPr>
          <w:rFonts w:hint="eastAsia" w:ascii="仿宋_GB2312" w:hAnsi="仿宋" w:eastAsia="仿宋_GB2312" w:cs="仿宋_GB2312"/>
          <w:sz w:val="32"/>
          <w:szCs w:val="32"/>
        </w:rPr>
        <w:t>本章明确了归队结果告知的内容、方式及知情权保障的要求；档案管理要求建立归队档案管理，明确管理内容和保存期限，确保可追溯、可核查询。</w:t>
      </w:r>
    </w:p>
    <w:p w14:paraId="56B967AB">
      <w:pPr>
        <w:pStyle w:val="2"/>
        <w:ind w:firstLine="640"/>
      </w:pPr>
      <w:bookmarkStart w:id="19" w:name="_Toc223722439"/>
      <w:r>
        <w:rPr>
          <w:rFonts w:hint="eastAsia"/>
        </w:rPr>
        <w:t>标准中如果涉及专利，应有明确的知识产权说明</w:t>
      </w:r>
      <w:bookmarkEnd w:id="19"/>
    </w:p>
    <w:p w14:paraId="16F5D6CF">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无。</w:t>
      </w:r>
    </w:p>
    <w:p w14:paraId="25BE85D0">
      <w:pPr>
        <w:pStyle w:val="2"/>
        <w:ind w:firstLine="640"/>
      </w:pPr>
      <w:bookmarkStart w:id="20" w:name="_Toc223722440"/>
      <w:r>
        <w:rPr>
          <w:rFonts w:hint="eastAsia"/>
        </w:rPr>
        <w:t>标准公平性竞争审查</w:t>
      </w:r>
      <w:bookmarkEnd w:id="20"/>
    </w:p>
    <w:p w14:paraId="03C14C6A">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该标准按照《公平竞争审查条例》规定逐条进行审查，未含有限制或者变相限制市场准入和退出、限制或者变相限制商品要素自由流动、影响经营者生产经营成本、影响经营者生产经营行为等内容。已在起草阶段依法公开征求社会公众意见，有关方面未提出市场公平竞争影响的意见。我们认为，该标准不妨碍有关行业经营者依法平等进入市场或者公平参与市场竞争，符合《公平竞争审查条例》有关规定，可以出台。</w:t>
      </w:r>
    </w:p>
    <w:p w14:paraId="649682DD">
      <w:pPr>
        <w:pStyle w:val="2"/>
        <w:ind w:firstLine="640"/>
        <w:rPr>
          <w:szCs w:val="32"/>
        </w:rPr>
      </w:pPr>
      <w:bookmarkStart w:id="21" w:name="_Toc223722441"/>
      <w:r>
        <w:rPr>
          <w:rFonts w:hint="eastAsia"/>
          <w:szCs w:val="32"/>
        </w:rPr>
        <w:t>采用国际标准或国外先进标准的，说明采标程度，以及国内外同类标准水平的对比情况。</w:t>
      </w:r>
      <w:bookmarkEnd w:id="21"/>
    </w:p>
    <w:p w14:paraId="43783C73">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无。</w:t>
      </w:r>
    </w:p>
    <w:p w14:paraId="522D8BC4">
      <w:pPr>
        <w:pStyle w:val="2"/>
        <w:ind w:firstLine="640"/>
        <w:rPr>
          <w:szCs w:val="32"/>
        </w:rPr>
      </w:pPr>
      <w:bookmarkStart w:id="22" w:name="_Toc223722442"/>
      <w:r>
        <w:rPr>
          <w:rFonts w:hint="eastAsia"/>
          <w:szCs w:val="32"/>
        </w:rPr>
        <w:t>重大分歧意见的处理依据和结果</w:t>
      </w:r>
      <w:bookmarkEnd w:id="22"/>
    </w:p>
    <w:p w14:paraId="1A2B6A25">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无。</w:t>
      </w:r>
    </w:p>
    <w:p w14:paraId="493CC6C1">
      <w:pPr>
        <w:pStyle w:val="2"/>
        <w:ind w:firstLine="640"/>
        <w:rPr>
          <w:szCs w:val="32"/>
        </w:rPr>
      </w:pPr>
      <w:bookmarkStart w:id="23" w:name="_Toc223722443"/>
      <w:r>
        <w:rPr>
          <w:rFonts w:hint="eastAsia"/>
          <w:szCs w:val="32"/>
        </w:rPr>
        <w:t>实施标准的措施建议</w:t>
      </w:r>
      <w:bookmarkEnd w:id="23"/>
    </w:p>
    <w:p w14:paraId="36267F2B">
      <w:pPr>
        <w:pStyle w:val="3"/>
        <w:numPr>
          <w:ilvl w:val="0"/>
          <w:numId w:val="10"/>
        </w:numPr>
        <w:ind w:left="0" w:firstLine="640" w:firstLineChars="200"/>
      </w:pPr>
      <w:bookmarkStart w:id="24" w:name="_Toc223722444"/>
      <w:r>
        <w:rPr>
          <w:rFonts w:hint="eastAsia"/>
        </w:rPr>
        <w:t>政府部门推动实施的承诺</w:t>
      </w:r>
      <w:bookmarkEnd w:id="24"/>
    </w:p>
    <w:p w14:paraId="5009762D">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为确保《血液筛查反应性献血者归队管理规范》的有效实施，海南省卫生健康委员会及其他相关政府部门应采取以下措施：</w:t>
      </w:r>
    </w:p>
    <w:p w14:paraId="7CA1179F">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1.政策支持：将标准纳入海南省卫生健康领域的重点工作，明确各级卫生行政部门的职责，确保标准在全省范围内得到贯彻落实。</w:t>
      </w:r>
    </w:p>
    <w:p w14:paraId="652689DE">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2.宣传推广：通过媒体、官方网站、宣传手册等多种形式，向社会公众和医疗机构宣传标准的重要性和具体内容，提高社会认知度和参与度。</w:t>
      </w:r>
    </w:p>
    <w:p w14:paraId="776A9DC8">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3.海南省无偿献血者联网数据库的建设：建立无偿献血者电子档案，实时追踪屏蔽与归队状态，并通过智能系统推送归队提醒。</w:t>
      </w:r>
    </w:p>
    <w:p w14:paraId="4505033F">
      <w:pPr>
        <w:pStyle w:val="3"/>
        <w:numPr>
          <w:ilvl w:val="0"/>
          <w:numId w:val="10"/>
        </w:numPr>
        <w:ind w:left="0" w:firstLine="640" w:firstLineChars="200"/>
      </w:pPr>
      <w:bookmarkStart w:id="25" w:name="_Toc223722445"/>
      <w:r>
        <w:rPr>
          <w:rFonts w:hint="eastAsia"/>
        </w:rPr>
        <w:t>培训计划</w:t>
      </w:r>
      <w:bookmarkEnd w:id="25"/>
    </w:p>
    <w:p w14:paraId="41251E87">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为确保标准实施过程中相关人员能够准确理解和执行标准，制定以下培训计划：</w:t>
      </w:r>
    </w:p>
    <w:p w14:paraId="5420C02A">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1.组织者：由海南省卫生健康委员会牵头，血站所有医护人员、相关行业协会共同组织实施。</w:t>
      </w:r>
    </w:p>
    <w:p w14:paraId="58899B2C">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2.培训对象：包括血站工作人员、卫生行政部门管理人员等。</w:t>
      </w:r>
    </w:p>
    <w:p w14:paraId="766C8B99">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3.培训方式：采用线上线下相结合的方式，包括集中授课、实操演练、案例分析、视频教学等。</w:t>
      </w:r>
    </w:p>
    <w:p w14:paraId="64A641F4">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4.培训时间：标准发布后3个月内完成首轮全员培训，后续每年定期组织复训。</w:t>
      </w:r>
    </w:p>
    <w:p w14:paraId="0C13B040">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5.培训频次：每年至少组织1次全员培训，并根据实际需求增加专项培训。</w:t>
      </w:r>
    </w:p>
    <w:p w14:paraId="05D2E630">
      <w:pPr>
        <w:pStyle w:val="3"/>
        <w:numPr>
          <w:ilvl w:val="0"/>
          <w:numId w:val="10"/>
        </w:numPr>
        <w:ind w:left="0" w:firstLine="640" w:firstLineChars="200"/>
      </w:pPr>
      <w:bookmarkStart w:id="26" w:name="_Toc223722446"/>
      <w:r>
        <w:rPr>
          <w:rFonts w:hint="eastAsia"/>
        </w:rPr>
        <w:t>实施的技术指导措施</w:t>
      </w:r>
      <w:bookmarkEnd w:id="26"/>
    </w:p>
    <w:p w14:paraId="6DD97C1B">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为确保标准在实施过程中得到正确理解和应用，提供以下技术指导措施：</w:t>
      </w:r>
    </w:p>
    <w:p w14:paraId="377BCDC7">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由海南省卫生健康委员会和海南省血液中心及相关行业协会组成技术指导小组。</w:t>
      </w:r>
    </w:p>
    <w:p w14:paraId="30C77A2F">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指导方式：</w:t>
      </w:r>
    </w:p>
    <w:p w14:paraId="7E83E875">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1.现场巡查指导：每半年组织组对海南省血液中心开展技术巡查，解决实验室检测遇到的难点问题。</w:t>
      </w:r>
    </w:p>
    <w:p w14:paraId="2ED03139">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2.远程支持：建立标准实施技术咨询平台，通过电话、邮件、在线会议等方式提供实时技术支持。</w:t>
      </w:r>
    </w:p>
    <w:p w14:paraId="6CBC082A">
      <w:pPr>
        <w:pStyle w:val="3"/>
        <w:numPr>
          <w:ilvl w:val="0"/>
          <w:numId w:val="10"/>
        </w:numPr>
        <w:ind w:left="0" w:firstLine="640" w:firstLineChars="200"/>
      </w:pPr>
      <w:bookmarkStart w:id="27" w:name="_Toc223722447"/>
      <w:r>
        <w:rPr>
          <w:rFonts w:hint="eastAsia"/>
        </w:rPr>
        <w:t>对实施情况的监督检查措施</w:t>
      </w:r>
      <w:bookmarkEnd w:id="27"/>
    </w:p>
    <w:p w14:paraId="43B75BF0">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为确保标准实施效果，建立以下监督检查机制：</w:t>
      </w:r>
    </w:p>
    <w:p w14:paraId="3610F39B">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由海南省卫生健康委员会、省血液中心及相关行业协会组成联合监督检查小组。</w:t>
      </w:r>
    </w:p>
    <w:p w14:paraId="4B66E62D">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监督方式：</w:t>
      </w:r>
    </w:p>
    <w:p w14:paraId="7A85045C">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1.定期检查：组织核查检测结果准确性，实验室人员资质情况，检测设备校准，试剂保存条件情况等。</w:t>
      </w:r>
    </w:p>
    <w:p w14:paraId="724FF27D">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2.随机抽查：不定期对实验室进行随机抽查，确保标准实施的持续性和有效性。</w:t>
      </w:r>
    </w:p>
    <w:p w14:paraId="10ACD4AF">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3.第三方评估：委托具有资质的第三方机构，对标准实施情况进行独立评估，提供客观、公正的评估报告。</w:t>
      </w:r>
    </w:p>
    <w:p w14:paraId="4A86D1D1">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4.问题整改：对检查中发现的问题，要求限期整改，并对整改情况进行跟踪复查，确保问题得到彻底解决。</w:t>
      </w:r>
    </w:p>
    <w:p w14:paraId="769280E0">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5.信息公开：将监督检查结果向社会公开，接受公众监督，增强标准实施的透明度和公信力。</w:t>
      </w:r>
    </w:p>
    <w:p w14:paraId="0CF80F86">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通过以上措施，确保《血液筛查反应性献血者归队管理规范》在全省范围内得到有效实施，进一步提升海南省献血服务的质量和水平，保障临床用血的安全和充足。</w:t>
      </w:r>
    </w:p>
    <w:p w14:paraId="0952205C">
      <w:pPr>
        <w:pStyle w:val="2"/>
        <w:ind w:firstLine="640"/>
        <w:rPr>
          <w:szCs w:val="32"/>
        </w:rPr>
      </w:pPr>
      <w:bookmarkStart w:id="28" w:name="_Toc223722448"/>
      <w:r>
        <w:rPr>
          <w:rFonts w:hint="eastAsia"/>
          <w:szCs w:val="32"/>
        </w:rPr>
        <w:t>预期效果</w:t>
      </w:r>
      <w:bookmarkEnd w:id="28"/>
    </w:p>
    <w:p w14:paraId="1363E140">
      <w:pPr>
        <w:spacing w:line="560" w:lineRule="exact"/>
        <w:ind w:firstLine="640" w:firstLineChars="200"/>
        <w:jc w:val="both"/>
        <w:rPr>
          <w:rFonts w:ascii="仿宋_GB2312" w:hAnsi="仿宋" w:eastAsia="仿宋_GB2312" w:cs="仿宋_GB2312"/>
          <w:sz w:val="32"/>
          <w:szCs w:val="32"/>
        </w:rPr>
      </w:pPr>
      <w:r>
        <w:rPr>
          <w:rFonts w:hint="eastAsia" w:ascii="仿宋_GB2312" w:hAnsi="仿宋" w:eastAsia="仿宋_GB2312" w:cs="仿宋_GB2312"/>
          <w:sz w:val="32"/>
          <w:szCs w:val="32"/>
        </w:rPr>
        <w:t>《血液筛查反应性献血者归队管理规范》地方标准的制定与实施，是海南省在血液安全管理与献血者权益保障领域的一项制度创新。通过建立科学严谨的献血者归队规范，科学召回反应性献血者，优化检测流程，强化管理机制，该标准将在多维度实现协同增效，推动无偿献血事业迈向高质量、可持续的发展轨道：</w:t>
      </w:r>
    </w:p>
    <w:p w14:paraId="7ED0891D">
      <w:pPr>
        <w:spacing w:line="560" w:lineRule="exact"/>
        <w:ind w:firstLine="640" w:firstLineChars="200"/>
        <w:jc w:val="both"/>
        <w:rPr>
          <w:rFonts w:ascii="仿宋_GB2312" w:hAnsi="仿宋" w:eastAsia="仿宋_GB2312" w:cs="仿宋_GB2312"/>
          <w:sz w:val="32"/>
          <w:szCs w:val="32"/>
        </w:rPr>
      </w:pPr>
      <w:r>
        <w:rPr>
          <w:rFonts w:hint="eastAsia" w:ascii="仿宋_GB2312" w:hAnsi="仿宋" w:eastAsia="仿宋_GB2312" w:cs="仿宋_GB2312"/>
          <w:sz w:val="32"/>
          <w:szCs w:val="32"/>
        </w:rPr>
        <w:t>1.社会层面：维护献血者权益，筑牢公益根基</w:t>
      </w:r>
    </w:p>
    <w:p w14:paraId="18D6EC21">
      <w:pPr>
        <w:spacing w:line="560" w:lineRule="exact"/>
        <w:ind w:firstLine="640" w:firstLineChars="200"/>
        <w:jc w:val="both"/>
        <w:rPr>
          <w:rFonts w:ascii="仿宋_GB2312" w:hAnsi="仿宋" w:eastAsia="仿宋_GB2312" w:cs="仿宋_GB2312"/>
          <w:sz w:val="32"/>
          <w:szCs w:val="32"/>
        </w:rPr>
      </w:pPr>
      <w:r>
        <w:rPr>
          <w:rFonts w:hint="eastAsia" w:ascii="仿宋_GB2312" w:hAnsi="仿宋" w:eastAsia="仿宋_GB2312" w:cs="仿宋_GB2312"/>
          <w:sz w:val="32"/>
          <w:szCs w:val="32"/>
        </w:rPr>
        <w:t>标准的实施将有效纠正因检测技术局限导致的“假阳性”现象，为符合条件的献血者提供公平、透明的归队渠道，切实维护其合法权益与社会荣誉感。此举有助于消除社会公众对献血的误解与顾虑，增强献血者的信任度与归属感，进一步弘扬“无偿献血、无上光荣”的公益文化，营造全社会积极参与献血的良好氛围，为血源稳定和血液安全奠定坚实的群众基础。</w:t>
      </w:r>
    </w:p>
    <w:p w14:paraId="459AA719">
      <w:pPr>
        <w:spacing w:line="560" w:lineRule="exact"/>
        <w:ind w:firstLine="640" w:firstLineChars="200"/>
        <w:jc w:val="both"/>
        <w:rPr>
          <w:rFonts w:ascii="仿宋_GB2312" w:hAnsi="仿宋" w:eastAsia="仿宋_GB2312" w:cs="仿宋_GB2312"/>
          <w:sz w:val="32"/>
          <w:szCs w:val="32"/>
        </w:rPr>
      </w:pPr>
      <w:r>
        <w:rPr>
          <w:rFonts w:hint="eastAsia" w:ascii="仿宋_GB2312" w:hAnsi="仿宋" w:eastAsia="仿宋_GB2312" w:cs="仿宋_GB2312"/>
          <w:sz w:val="32"/>
          <w:szCs w:val="32"/>
        </w:rPr>
        <w:t>2.经济层面：优化资源配置，赋能医疗发展</w:t>
      </w:r>
    </w:p>
    <w:p w14:paraId="67F08C7A">
      <w:pPr>
        <w:spacing w:line="560" w:lineRule="exact"/>
        <w:ind w:firstLine="640" w:firstLineChars="200"/>
        <w:jc w:val="both"/>
        <w:rPr>
          <w:rFonts w:ascii="仿宋_GB2312" w:hAnsi="仿宋" w:eastAsia="仿宋_GB2312" w:cs="仿宋_GB2312"/>
          <w:sz w:val="32"/>
          <w:szCs w:val="32"/>
        </w:rPr>
      </w:pPr>
      <w:r>
        <w:rPr>
          <w:rFonts w:hint="eastAsia" w:ascii="仿宋_GB2312" w:hAnsi="仿宋" w:eastAsia="仿宋_GB2312" w:cs="仿宋_GB2312"/>
          <w:sz w:val="32"/>
          <w:szCs w:val="32"/>
        </w:rPr>
        <w:t>通过科学甄别反应性献血者，减少因永久性屏蔽导致的献血者流失，有效降低招募新献血者的时间与经济成本，提升血源利用效率。同时，规范化的归队管理有助于降低血液检测、报废及重复筛查等环节的资源消耗，减轻采供血机构的运营负担。稳定的血液供应体系也将为海南医疗健康产业，特别是临床用血需求大的医疗机构发展提供有力支撑，助力自贸港医疗服务水平整体提升。</w:t>
      </w:r>
    </w:p>
    <w:p w14:paraId="4912AB31">
      <w:pPr>
        <w:spacing w:line="560" w:lineRule="exact"/>
        <w:ind w:firstLine="640" w:firstLineChars="200"/>
        <w:jc w:val="both"/>
        <w:rPr>
          <w:rFonts w:ascii="仿宋_GB2312" w:hAnsi="仿宋" w:eastAsia="仿宋_GB2312" w:cs="仿宋_GB2312"/>
          <w:sz w:val="32"/>
          <w:szCs w:val="32"/>
        </w:rPr>
      </w:pPr>
      <w:r>
        <w:rPr>
          <w:rFonts w:hint="eastAsia" w:ascii="仿宋_GB2312" w:hAnsi="仿宋" w:eastAsia="仿宋_GB2312" w:cs="仿宋_GB2312"/>
          <w:sz w:val="32"/>
          <w:szCs w:val="32"/>
        </w:rPr>
        <w:t>3.生态层面：推动绿色血站建设，践行低碳发展</w:t>
      </w:r>
    </w:p>
    <w:p w14:paraId="2FFF2D5E">
      <w:pPr>
        <w:spacing w:line="560" w:lineRule="exact"/>
        <w:ind w:firstLine="640" w:firstLineChars="200"/>
        <w:jc w:val="both"/>
        <w:rPr>
          <w:rFonts w:ascii="仿宋_GB2312" w:hAnsi="仿宋" w:eastAsia="仿宋_GB2312" w:cs="仿宋_GB2312"/>
          <w:sz w:val="32"/>
          <w:szCs w:val="32"/>
        </w:rPr>
      </w:pPr>
      <w:r>
        <w:rPr>
          <w:rFonts w:hint="eastAsia" w:ascii="仿宋_GB2312" w:hAnsi="仿宋" w:eastAsia="仿宋_GB2312" w:cs="仿宋_GB2312"/>
          <w:sz w:val="32"/>
          <w:szCs w:val="32"/>
        </w:rPr>
        <w:t>标准实施后，通过减少不必要的重复检测和血液报废，可直接降低一次性医疗耗材、试剂及能源的使用量，从源头上减少医疗废弃物的产生，降低处置过程中的环境压力。同时，优化检测流程将间接减少冷链运输、设备运行等环节的碳排放，助力“绿色血站”建设和医疗卫生领域节能减排工作推进，实现公共卫生事业发展与生态文明建设的有机统一。</w:t>
      </w:r>
    </w:p>
    <w:p w14:paraId="1ED624D0">
      <w:pPr>
        <w:spacing w:line="560" w:lineRule="exact"/>
        <w:ind w:firstLine="640" w:firstLineChars="200"/>
        <w:jc w:val="both"/>
        <w:rPr>
          <w:rFonts w:ascii="仿宋_GB2312" w:hAnsi="仿宋" w:eastAsia="仿宋_GB2312" w:cs="仿宋_GB2312"/>
          <w:sz w:val="32"/>
          <w:szCs w:val="32"/>
        </w:rPr>
      </w:pPr>
      <w:r>
        <w:rPr>
          <w:rFonts w:hint="eastAsia" w:ascii="仿宋_GB2312" w:hAnsi="仿宋" w:eastAsia="仿宋_GB2312" w:cs="仿宋_GB2312"/>
          <w:sz w:val="32"/>
          <w:szCs w:val="32"/>
        </w:rPr>
        <w:t>4.政策与技术层面：引领制度创新，贡献“海南经验”</w:t>
      </w:r>
    </w:p>
    <w:p w14:paraId="5C97568E">
      <w:pPr>
        <w:spacing w:line="560" w:lineRule="exact"/>
        <w:ind w:firstLine="640" w:firstLineChars="200"/>
        <w:jc w:val="both"/>
        <w:rPr>
          <w:rFonts w:ascii="仿宋_GB2312" w:hAnsi="仿宋" w:eastAsia="仿宋_GB2312" w:cs="仿宋_GB2312"/>
          <w:sz w:val="32"/>
          <w:szCs w:val="32"/>
        </w:rPr>
      </w:pPr>
      <w:r>
        <w:rPr>
          <w:rFonts w:hint="eastAsia" w:ascii="仿宋_GB2312" w:hAnsi="仿宋" w:eastAsia="仿宋_GB2312" w:cs="仿宋_GB2312"/>
          <w:sz w:val="32"/>
          <w:szCs w:val="32"/>
        </w:rPr>
        <w:t>该标准填补了区域内献血者归队管理的制度空白，是海南自贸港在公共卫生治理领域“先行先试”的重要实践。通过建立统一、科学的归队技术路径与管理规范，不仅推动检测技术迭代与管理模式升级，更为完善全省血液安全风险预警与应急保障体系提供有力支撑。作为国家改革开放的前沿阵地，海南有望通过该标准的落地实施，形成一套可复制、可推广的“海南经验”，为全国无偿献血事业的规范化、精细化发展提供示范样板，展现自贸港在国家公共卫生体系建设中的责任与担当。</w:t>
      </w:r>
    </w:p>
    <w:p w14:paraId="3B4AD72B">
      <w:pPr>
        <w:pStyle w:val="2"/>
        <w:ind w:firstLine="640"/>
      </w:pPr>
      <w:bookmarkStart w:id="29" w:name="_Toc223722449"/>
      <w:r>
        <w:rPr>
          <w:rFonts w:hint="eastAsia"/>
        </w:rPr>
        <w:t>其他应予说明的事项</w:t>
      </w:r>
      <w:bookmarkEnd w:id="29"/>
    </w:p>
    <w:p w14:paraId="6F575A10">
      <w:pPr>
        <w:spacing w:line="560" w:lineRule="exact"/>
        <w:ind w:firstLine="640" w:firstLineChars="200"/>
        <w:rPr>
          <w:rFonts w:ascii="仿宋_GB2312" w:hAnsi="仿宋" w:eastAsia="仿宋_GB2312" w:cs="仿宋_GB2312"/>
          <w:sz w:val="32"/>
          <w:szCs w:val="32"/>
        </w:rPr>
      </w:pPr>
      <w:r>
        <w:rPr>
          <w:rFonts w:hint="eastAsia" w:ascii="仿宋_GB2312" w:hAnsi="仿宋" w:eastAsia="仿宋_GB2312" w:cs="仿宋_GB2312"/>
          <w:sz w:val="32"/>
          <w:szCs w:val="32"/>
        </w:rPr>
        <w:t>无。</w:t>
      </w:r>
    </w:p>
    <w:p w14:paraId="5FCEF5B4">
      <w:pPr>
        <w:spacing w:line="560" w:lineRule="exact"/>
        <w:jc w:val="center"/>
        <w:rPr>
          <w:rFonts w:ascii="黑体" w:hAnsi="黑体" w:eastAsia="黑体" w:cs="仿宋_GB2312"/>
          <w:szCs w:val="21"/>
        </w:rPr>
        <w:sectPr>
          <w:footerReference r:id="rId4" w:type="default"/>
          <w:pgSz w:w="11906" w:h="16838"/>
          <w:pgMar w:top="1440" w:right="1800" w:bottom="1440" w:left="1800" w:header="851" w:footer="992" w:gutter="0"/>
          <w:pgNumType w:start="1"/>
          <w:cols w:space="425" w:num="1"/>
          <w:docGrid w:type="lines" w:linePitch="312" w:charSpace="0"/>
        </w:sectPr>
      </w:pPr>
    </w:p>
    <w:p w14:paraId="17BF5FEE">
      <w:pPr>
        <w:spacing w:line="560" w:lineRule="exact"/>
        <w:jc w:val="center"/>
        <w:rPr>
          <w:rFonts w:ascii="黑体" w:hAnsi="黑体" w:eastAsia="黑体" w:cs="仿宋_GB2312"/>
          <w:szCs w:val="21"/>
        </w:rPr>
      </w:pPr>
      <w:r>
        <w:rPr>
          <w:rFonts w:hint="eastAsia" w:ascii="黑体" w:hAnsi="黑体" w:eastAsia="黑体" w:cs="仿宋_GB2312"/>
          <w:szCs w:val="21"/>
        </w:rPr>
        <w:t>参考文献</w:t>
      </w:r>
    </w:p>
    <w:p w14:paraId="1D18F875">
      <w:pPr>
        <w:jc w:val="center"/>
        <w:rPr>
          <w:rFonts w:ascii="黑体" w:hAnsi="黑体" w:eastAsia="黑体" w:cs="仿宋_GB2312"/>
          <w:szCs w:val="21"/>
        </w:rPr>
      </w:pPr>
    </w:p>
    <w:p w14:paraId="33B22B56">
      <w:pPr>
        <w:ind w:firstLine="420" w:firstLineChars="200"/>
        <w:rPr>
          <w:rFonts w:ascii="宋体" w:cs="Times New Roman"/>
          <w:szCs w:val="21"/>
        </w:rPr>
      </w:pPr>
      <w:r>
        <w:rPr>
          <w:rFonts w:ascii="宋体" w:cs="Times New Roman"/>
          <w:szCs w:val="21"/>
        </w:rPr>
        <w:t>[</w:t>
      </w:r>
      <w:r>
        <w:rPr>
          <w:rFonts w:hint="eastAsia" w:ascii="宋体" w:cs="Times New Roman"/>
          <w:szCs w:val="21"/>
        </w:rPr>
        <w:t>1</w:t>
      </w:r>
      <w:r>
        <w:rPr>
          <w:rFonts w:ascii="宋体" w:cs="Times New Roman"/>
          <w:szCs w:val="21"/>
        </w:rPr>
        <w:t>] NiederhausreC, MansouriTB, GrazianiM, etal. Blooddonorscreening:how to decrease the risk of transfusion-transmitted hepatitis B virus?[J].Swiss Medwkly,2008,48(1):64-72</w:t>
      </w:r>
    </w:p>
    <w:p w14:paraId="0CAE32E8">
      <w:pPr>
        <w:ind w:firstLine="420" w:firstLineChars="200"/>
        <w:rPr>
          <w:rFonts w:ascii="宋体" w:cs="Times New Roman"/>
          <w:szCs w:val="21"/>
        </w:rPr>
      </w:pPr>
      <w:r>
        <w:rPr>
          <w:rFonts w:ascii="宋体" w:cs="Times New Roman"/>
          <w:szCs w:val="21"/>
        </w:rPr>
        <w:t>[</w:t>
      </w:r>
      <w:r>
        <w:rPr>
          <w:rFonts w:hint="eastAsia" w:ascii="宋体" w:cs="Times New Roman"/>
          <w:szCs w:val="21"/>
        </w:rPr>
        <w:t>2</w:t>
      </w:r>
      <w:r>
        <w:rPr>
          <w:rFonts w:ascii="宋体" w:cs="Times New Roman"/>
          <w:szCs w:val="21"/>
        </w:rPr>
        <w:t>] 邓雪莲,张丽,高勇,等.全国357家省、市两级采供血机构血液筛查与献血者淘汰情况分析[J].中国输血杂志,2012,25(12):1241-1243</w:t>
      </w:r>
    </w:p>
    <w:p w14:paraId="7AB97D73">
      <w:pPr>
        <w:ind w:firstLine="420" w:firstLineChars="200"/>
        <w:rPr>
          <w:rFonts w:ascii="宋体" w:cs="Times New Roman"/>
          <w:szCs w:val="21"/>
        </w:rPr>
      </w:pPr>
      <w:r>
        <w:rPr>
          <w:rFonts w:ascii="宋体" w:cs="Times New Roman"/>
          <w:szCs w:val="21"/>
        </w:rPr>
        <w:t>[</w:t>
      </w:r>
      <w:r>
        <w:rPr>
          <w:rFonts w:hint="eastAsia" w:ascii="宋体" w:cs="Times New Roman"/>
          <w:szCs w:val="21"/>
        </w:rPr>
        <w:t>3</w:t>
      </w:r>
      <w:r>
        <w:rPr>
          <w:rFonts w:ascii="宋体" w:cs="Times New Roman"/>
          <w:szCs w:val="21"/>
        </w:rPr>
        <w:t>] 刘字宁,蔡菊英,刘晓音.血液筛查HBsAg</w:t>
      </w:r>
      <w:r>
        <w:rPr>
          <w:rFonts w:hint="eastAsia" w:ascii="宋体" w:cs="Times New Roman"/>
          <w:szCs w:val="21"/>
        </w:rPr>
        <w:t>、</w:t>
      </w:r>
      <w:r>
        <w:rPr>
          <w:rFonts w:ascii="宋体" w:cs="Times New Roman"/>
          <w:szCs w:val="21"/>
        </w:rPr>
        <w:t>抗-HCV假阳性献血者归队的调查分析[J].中国输血杂志,2012</w:t>
      </w:r>
      <w:r>
        <w:rPr>
          <w:rFonts w:hint="eastAsia" w:ascii="宋体" w:cs="Times New Roman"/>
          <w:szCs w:val="21"/>
        </w:rPr>
        <w:t>,25（3）：260</w:t>
      </w:r>
      <w:r>
        <w:rPr>
          <w:rFonts w:ascii="宋体" w:cs="Times New Roman"/>
          <w:szCs w:val="21"/>
        </w:rPr>
        <w:t>-262</w:t>
      </w:r>
    </w:p>
    <w:p w14:paraId="03DF5A27">
      <w:pPr>
        <w:ind w:firstLine="420" w:firstLineChars="200"/>
        <w:rPr>
          <w:rFonts w:ascii="宋体" w:cs="Times New Roman"/>
          <w:szCs w:val="21"/>
        </w:rPr>
      </w:pPr>
      <w:r>
        <w:rPr>
          <w:rFonts w:ascii="宋体" w:cs="Times New Roman"/>
          <w:szCs w:val="21"/>
        </w:rPr>
        <w:t>[</w:t>
      </w:r>
      <w:r>
        <w:rPr>
          <w:rFonts w:hint="eastAsia" w:ascii="宋体" w:cs="Times New Roman"/>
          <w:szCs w:val="21"/>
        </w:rPr>
        <w:t>4</w:t>
      </w:r>
      <w:r>
        <w:rPr>
          <w:rFonts w:ascii="宋体" w:cs="Times New Roman"/>
          <w:szCs w:val="21"/>
        </w:rPr>
        <w:t>] 陈明军,金新莉,李晓辉,等.三代和四代 HIV酶免试剂对无偿献血和血清盘标本的检测结果对比分析[J].中国输血杂志,2019,32(8):772-775</w:t>
      </w:r>
    </w:p>
    <w:p w14:paraId="087A883A">
      <w:pPr>
        <w:ind w:firstLine="420" w:firstLineChars="200"/>
        <w:rPr>
          <w:rFonts w:ascii="宋体" w:cs="Times New Roman"/>
          <w:szCs w:val="21"/>
        </w:rPr>
      </w:pPr>
      <w:r>
        <w:rPr>
          <w:rFonts w:ascii="宋体" w:cs="Times New Roman"/>
          <w:szCs w:val="21"/>
        </w:rPr>
        <w:t>[</w:t>
      </w:r>
      <w:r>
        <w:rPr>
          <w:rFonts w:hint="eastAsia" w:ascii="宋体" w:cs="Times New Roman"/>
          <w:szCs w:val="21"/>
        </w:rPr>
        <w:t>5</w:t>
      </w:r>
      <w:r>
        <w:rPr>
          <w:rFonts w:ascii="宋体" w:cs="Times New Roman"/>
          <w:szCs w:val="21"/>
        </w:rPr>
        <w:t>] 原维宇,张建英,张柳明,等. ELISA检测 HIV单试剂反应性标本假阳性情况分析[J].医技与临床,2018,22(32):4564-4565</w:t>
      </w:r>
    </w:p>
    <w:p w14:paraId="0541BE4C">
      <w:pPr>
        <w:ind w:firstLine="420" w:firstLineChars="200"/>
        <w:rPr>
          <w:rFonts w:ascii="宋体" w:cs="Times New Roman"/>
          <w:szCs w:val="21"/>
        </w:rPr>
      </w:pPr>
      <w:r>
        <w:rPr>
          <w:rFonts w:ascii="宋体" w:cs="Times New Roman"/>
          <w:szCs w:val="21"/>
        </w:rPr>
        <w:t>[</w:t>
      </w:r>
      <w:r>
        <w:rPr>
          <w:rFonts w:hint="eastAsia" w:ascii="宋体" w:cs="Times New Roman"/>
          <w:szCs w:val="21"/>
        </w:rPr>
        <w:t>6</w:t>
      </w:r>
      <w:r>
        <w:rPr>
          <w:rFonts w:ascii="宋体" w:cs="Times New Roman"/>
          <w:szCs w:val="21"/>
        </w:rPr>
        <w:t>] 马晓军,杨文勇,李治鹏.乙型肝炎、丙型肝炎单试剂检测阳性献血者的分析[J].检验医学与临床,2019,16(8):1107-1109</w:t>
      </w:r>
    </w:p>
    <w:p w14:paraId="70879679">
      <w:pPr>
        <w:ind w:firstLine="420" w:firstLineChars="200"/>
        <w:rPr>
          <w:rFonts w:ascii="宋体" w:cs="Times New Roman"/>
          <w:szCs w:val="21"/>
        </w:rPr>
      </w:pPr>
      <w:r>
        <w:rPr>
          <w:rFonts w:ascii="宋体" w:cs="Times New Roman"/>
          <w:szCs w:val="21"/>
        </w:rPr>
        <w:t>[</w:t>
      </w:r>
      <w:r>
        <w:rPr>
          <w:rFonts w:hint="eastAsia" w:ascii="宋体" w:cs="Times New Roman"/>
          <w:szCs w:val="21"/>
        </w:rPr>
        <w:t>7</w:t>
      </w:r>
      <w:r>
        <w:rPr>
          <w:rFonts w:ascii="宋体" w:cs="Times New Roman"/>
          <w:szCs w:val="21"/>
        </w:rPr>
        <w:t>] 李雪群，严凤好，钟展华，等．惠州市假反应性无偿献血者归队检测策略探讨[J].临床输血与检验，</w:t>
      </w:r>
      <w:r>
        <w:rPr>
          <w:rFonts w:hint="eastAsia" w:ascii="宋体" w:cs="Times New Roman"/>
          <w:szCs w:val="21"/>
        </w:rPr>
        <w:t>2017,19(</w:t>
      </w:r>
      <w:r>
        <w:rPr>
          <w:rFonts w:ascii="宋体" w:cs="Times New Roman"/>
          <w:szCs w:val="21"/>
        </w:rPr>
        <w:t>2</w:t>
      </w:r>
      <w:r>
        <w:rPr>
          <w:rFonts w:hint="eastAsia" w:ascii="宋体" w:cs="Times New Roman"/>
          <w:szCs w:val="21"/>
        </w:rPr>
        <w:t>)</w:t>
      </w:r>
      <w:r>
        <w:rPr>
          <w:rFonts w:ascii="宋体" w:cs="Times New Roman"/>
          <w:szCs w:val="21"/>
        </w:rPr>
        <w:t>:194-197</w:t>
      </w:r>
    </w:p>
    <w:p w14:paraId="69CE6D23">
      <w:pPr>
        <w:ind w:firstLine="420" w:firstLineChars="200"/>
        <w:rPr>
          <w:rFonts w:ascii="宋体" w:cs="Times New Roman"/>
          <w:szCs w:val="21"/>
        </w:rPr>
      </w:pPr>
      <w:r>
        <w:rPr>
          <w:rFonts w:ascii="宋体" w:cs="Times New Roman"/>
          <w:szCs w:val="21"/>
        </w:rPr>
        <w:t>[</w:t>
      </w:r>
      <w:r>
        <w:rPr>
          <w:rFonts w:hint="eastAsia" w:ascii="宋体" w:cs="Times New Roman"/>
          <w:szCs w:val="21"/>
        </w:rPr>
        <w:t>8</w:t>
      </w:r>
      <w:r>
        <w:rPr>
          <w:rFonts w:ascii="宋体" w:cs="Times New Roman"/>
          <w:szCs w:val="21"/>
        </w:rPr>
        <w:t>] 程玉根，梁启忠，费海燕．单试剂阳性献血者屏蔽与归队的可行性分析[J].中国输血杂志，</w:t>
      </w:r>
      <w:r>
        <w:rPr>
          <w:rFonts w:hint="eastAsia" w:ascii="宋体" w:cs="Times New Roman"/>
          <w:szCs w:val="21"/>
        </w:rPr>
        <w:t>2017,12(</w:t>
      </w:r>
      <w:r>
        <w:rPr>
          <w:rFonts w:ascii="宋体" w:cs="Times New Roman"/>
          <w:szCs w:val="21"/>
        </w:rPr>
        <w:t>12</w:t>
      </w:r>
      <w:r>
        <w:rPr>
          <w:rFonts w:hint="eastAsia" w:ascii="宋体" w:cs="Times New Roman"/>
          <w:szCs w:val="21"/>
        </w:rPr>
        <w:t>)</w:t>
      </w:r>
      <w:r>
        <w:rPr>
          <w:rFonts w:ascii="宋体" w:cs="Times New Roman"/>
          <w:szCs w:val="21"/>
        </w:rPr>
        <w:t>:1376-1378</w:t>
      </w:r>
    </w:p>
    <w:p w14:paraId="00B9789E">
      <w:pPr>
        <w:ind w:firstLine="420" w:firstLineChars="200"/>
        <w:rPr>
          <w:rFonts w:ascii="宋体" w:cs="Times New Roman"/>
          <w:szCs w:val="21"/>
        </w:rPr>
      </w:pPr>
      <w:r>
        <w:rPr>
          <w:rFonts w:ascii="宋体" w:cs="Times New Roman"/>
          <w:szCs w:val="21"/>
        </w:rPr>
        <w:t>[</w:t>
      </w:r>
      <w:r>
        <w:rPr>
          <w:rFonts w:hint="eastAsia" w:ascii="宋体" w:cs="Times New Roman"/>
          <w:szCs w:val="21"/>
        </w:rPr>
        <w:t>9</w:t>
      </w:r>
      <w:r>
        <w:rPr>
          <w:rFonts w:ascii="宋体" w:cs="Times New Roman"/>
          <w:szCs w:val="21"/>
        </w:rPr>
        <w:t>] 蒋妮真，胡文佳，朱胜江，等．江苏省反应性献血者屏蔽、保留与归队情况分析[J]．国际检验医学杂志，2017，38(10)：1299</w:t>
      </w:r>
      <w:r>
        <w:rPr>
          <w:rFonts w:hint="eastAsia" w:ascii="宋体" w:cs="Times New Roman"/>
          <w:szCs w:val="21"/>
        </w:rPr>
        <w:t>-</w:t>
      </w:r>
      <w:r>
        <w:rPr>
          <w:rFonts w:ascii="宋体" w:cs="Times New Roman"/>
          <w:szCs w:val="21"/>
        </w:rPr>
        <w:t>1303.</w:t>
      </w:r>
    </w:p>
    <w:p w14:paraId="2F972AEE">
      <w:pPr>
        <w:ind w:firstLine="420" w:firstLineChars="200"/>
        <w:rPr>
          <w:rFonts w:ascii="宋体" w:cs="Times New Roman"/>
          <w:szCs w:val="21"/>
        </w:rPr>
      </w:pPr>
      <w:r>
        <w:rPr>
          <w:rFonts w:hint="eastAsia" w:ascii="宋体" w:cs="Times New Roman"/>
          <w:szCs w:val="21"/>
        </w:rPr>
        <w:t>[10] 张用丽，韩慧.海南地区无偿献血者感染性标志物核酸筛查阳性人群特征分析</w:t>
      </w:r>
      <w:r>
        <w:rPr>
          <w:rFonts w:ascii="宋体" w:cs="Times New Roman"/>
          <w:szCs w:val="21"/>
        </w:rPr>
        <w:t>[J]</w:t>
      </w:r>
      <w:r>
        <w:rPr>
          <w:rFonts w:hint="eastAsia" w:ascii="宋体" w:cs="Times New Roman"/>
          <w:szCs w:val="21"/>
        </w:rPr>
        <w:t>.中国输血杂志，2024，37(7)：802-806</w:t>
      </w:r>
    </w:p>
    <w:p w14:paraId="2DDCBE50">
      <w:pPr>
        <w:ind w:firstLine="640" w:firstLineChars="200"/>
        <w:rPr>
          <w:rFonts w:ascii="仿宋_GB2312" w:hAnsi="仿宋" w:eastAsia="仿宋_GB2312" w:cs="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35B16A10-C429-4FBD-9643-FC1F089D0C9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embedRegular r:id="rId2" w:fontKey="{E8E5BD65-18BC-4D86-8CD5-34F40F8229D5}"/>
  </w:font>
  <w:font w:name="方正小标宋简体">
    <w:panose1 w:val="03000509000000000000"/>
    <w:charset w:val="86"/>
    <w:family w:val="script"/>
    <w:pitch w:val="default"/>
    <w:sig w:usb0="00000001" w:usb1="080E0000" w:usb2="00000000" w:usb3="00000000" w:csb0="00040000" w:csb1="00000000"/>
    <w:embedRegular r:id="rId3" w:fontKey="{DD490A0A-349F-4A77-9CF6-1829B12FDC56}"/>
  </w:font>
  <w:font w:name="方正公文小标宋">
    <w:panose1 w:val="02000500000000000000"/>
    <w:charset w:val="86"/>
    <w:family w:val="auto"/>
    <w:pitch w:val="default"/>
    <w:sig w:usb0="A00002BF" w:usb1="38CF7CFA" w:usb2="00000016" w:usb3="00000000" w:csb0="00040001" w:csb1="00000000"/>
    <w:embedRegular r:id="rId4" w:fontKey="{218A9655-0BCF-49D8-B4EF-7AB1BD56EB96}"/>
  </w:font>
  <w:font w:name="等线">
    <w:panose1 w:val="02010600030101010101"/>
    <w:charset w:val="86"/>
    <w:family w:val="auto"/>
    <w:pitch w:val="default"/>
    <w:sig w:usb0="A00002BF" w:usb1="38CF7CFA" w:usb2="00000016" w:usb3="00000000" w:csb0="0004000F" w:csb1="00000000"/>
    <w:embedRegular r:id="rId5" w:fontKey="{09B4F7A8-A593-44E9-B932-DD922D712059}"/>
  </w:font>
  <w:font w:name="仿宋_GB2312">
    <w:panose1 w:val="02010609030101010101"/>
    <w:charset w:val="86"/>
    <w:family w:val="modern"/>
    <w:pitch w:val="default"/>
    <w:sig w:usb0="00000001" w:usb1="080E0000" w:usb2="00000000" w:usb3="00000000" w:csb0="00040000" w:csb1="00000000"/>
    <w:embedRegular r:id="rId6" w:fontKey="{85D0CB0C-2E97-4884-ADD0-6376B3EA0908}"/>
  </w:font>
  <w:font w:name="仿宋">
    <w:panose1 w:val="02010609060101010101"/>
    <w:charset w:val="86"/>
    <w:family w:val="modern"/>
    <w:pitch w:val="default"/>
    <w:sig w:usb0="800002BF" w:usb1="38CF7CFA" w:usb2="00000016" w:usb3="00000000" w:csb0="00040001" w:csb1="00000000"/>
    <w:embedRegular r:id="rId7" w:fontKey="{E39B89B3-6468-45F3-8F43-74484D110F10}"/>
  </w:font>
  <w:font w:name="楷体_GB2312">
    <w:panose1 w:val="02010609030101010101"/>
    <w:charset w:val="86"/>
    <w:family w:val="modern"/>
    <w:pitch w:val="default"/>
    <w:sig w:usb0="00000001" w:usb1="080E0000" w:usb2="00000000" w:usb3="00000000" w:csb0="00040000" w:csb1="00000000"/>
    <w:embedRegular r:id="rId8" w:fontKey="{9AF5F1CB-939F-4143-8D2A-07D8987D0C27}"/>
  </w:font>
  <w:font w:name="微软雅黑">
    <w:panose1 w:val="020B0503020204020204"/>
    <w:charset w:val="86"/>
    <w:family w:val="swiss"/>
    <w:pitch w:val="default"/>
    <w:sig w:usb0="80000287" w:usb1="2ACF3C50" w:usb2="00000016" w:usb3="00000000" w:csb0="0004001F" w:csb1="00000000"/>
    <w:embedRegular r:id="rId9" w:fontKey="{A2FC222C-C49C-46CB-863C-02F1928BD7A9}"/>
  </w:font>
  <w:font w:name="WPSEMBED1">
    <w:panose1 w:val="02000500000000000000"/>
    <w:charset w:val="86"/>
    <w:family w:val="auto"/>
    <w:pitch w:val="default"/>
    <w:sig w:usb0="A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10D0E9">
    <w:pPr>
      <w:pStyle w:val="9"/>
      <w:jc w:val="center"/>
    </w:pPr>
  </w:p>
  <w:p w14:paraId="15BD4941">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722170"/>
      <w:docPartObj>
        <w:docPartGallery w:val="autotext"/>
      </w:docPartObj>
    </w:sdtPr>
    <w:sdtContent>
      <w:p w14:paraId="3BFA5AC7">
        <w:pPr>
          <w:pStyle w:val="9"/>
          <w:jc w:val="center"/>
        </w:pPr>
        <w:r>
          <w:fldChar w:fldCharType="begin"/>
        </w:r>
        <w:r>
          <w:instrText xml:space="preserve"> PAGE   \* MERGEFORMAT </w:instrText>
        </w:r>
        <w:r>
          <w:fldChar w:fldCharType="separate"/>
        </w:r>
        <w:r>
          <w:rPr>
            <w:lang w:val="zh-CN"/>
          </w:rPr>
          <w:t>18</w:t>
        </w:r>
        <w:r>
          <w:rPr>
            <w:lang w:val="zh-CN"/>
          </w:rPr>
          <w:fldChar w:fldCharType="end"/>
        </w:r>
      </w:p>
    </w:sdtContent>
  </w:sdt>
  <w:p w14:paraId="25C63EBC">
    <w:pPr>
      <w:pStyle w:val="9"/>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43AB1F"/>
    <w:multiLevelType w:val="singleLevel"/>
    <w:tmpl w:val="BB43AB1F"/>
    <w:lvl w:ilvl="0" w:tentative="0">
      <w:start w:val="1"/>
      <w:numFmt w:val="decimal"/>
      <w:suff w:val="nothing"/>
      <w:lvlText w:val="（%1）"/>
      <w:lvlJc w:val="left"/>
    </w:lvl>
  </w:abstractNum>
  <w:abstractNum w:abstractNumId="1">
    <w:nsid w:val="D1551E66"/>
    <w:multiLevelType w:val="singleLevel"/>
    <w:tmpl w:val="D1551E66"/>
    <w:lvl w:ilvl="0" w:tentative="0">
      <w:start w:val="1"/>
      <w:numFmt w:val="decimal"/>
      <w:lvlText w:val="%1."/>
      <w:lvlJc w:val="left"/>
      <w:pPr>
        <w:ind w:left="425" w:hanging="425"/>
      </w:pPr>
      <w:rPr>
        <w:rFonts w:hint="default"/>
      </w:rPr>
    </w:lvl>
  </w:abstractNum>
  <w:abstractNum w:abstractNumId="2">
    <w:nsid w:val="D4DBDA38"/>
    <w:multiLevelType w:val="singleLevel"/>
    <w:tmpl w:val="D4DBDA38"/>
    <w:lvl w:ilvl="0" w:tentative="0">
      <w:start w:val="6"/>
      <w:numFmt w:val="chineseCounting"/>
      <w:suff w:val="nothing"/>
      <w:lvlText w:val="（%1）"/>
      <w:lvlJc w:val="left"/>
      <w:rPr>
        <w:rFonts w:hint="eastAsia"/>
      </w:rPr>
    </w:lvl>
  </w:abstractNum>
  <w:abstractNum w:abstractNumId="3">
    <w:nsid w:val="0BC23F61"/>
    <w:multiLevelType w:val="multilevel"/>
    <w:tmpl w:val="0BC23F61"/>
    <w:lvl w:ilvl="0" w:tentative="0">
      <w:start w:val="1"/>
      <w:numFmt w:val="chineseCountingThousand"/>
      <w:pStyle w:val="2"/>
      <w:suff w:val="nothing"/>
      <w:lvlText w:val="%1、"/>
      <w:lvlJc w:val="left"/>
      <w:pPr>
        <w:ind w:left="1413" w:hanging="420"/>
      </w:pPr>
      <w:rPr>
        <w:rFonts w:ascii="Times New Roman" w:hAnsi="Times New Roman" w:cs="Times New Roman"/>
        <w:b w:val="0"/>
        <w:bCs w:val="0"/>
        <w:i w:val="0"/>
        <w:iCs w:val="0"/>
        <w:caps w:val="0"/>
        <w:smallCaps w:val="0"/>
        <w:strike w:val="0"/>
        <w:dstrike w:val="0"/>
        <w:outline w:val="0"/>
        <w:shadow w:val="0"/>
        <w:emboss w:val="0"/>
        <w:imprint w:val="0"/>
        <w:snapToGrid w:val="0"/>
        <w:vanish w:val="0"/>
        <w:color w:val="000000"/>
        <w:spacing w:val="0"/>
        <w:w w:val="0"/>
        <w:kern w:val="0"/>
        <w:position w:val="0"/>
        <w:szCs w:val="0"/>
        <w:u w:val="none"/>
        <w:vertAlign w:val="baseline"/>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4">
    <w:nsid w:val="44C50F90"/>
    <w:multiLevelType w:val="multilevel"/>
    <w:tmpl w:val="44C50F90"/>
    <w:lvl w:ilvl="0" w:tentative="0">
      <w:start w:val="1"/>
      <w:numFmt w:val="decimal"/>
      <w:pStyle w:val="19"/>
      <w:lvlText w:val="%1"/>
      <w:lvlJc w:val="left"/>
      <w:pPr>
        <w:tabs>
          <w:tab w:val="left" w:pos="851"/>
        </w:tabs>
        <w:ind w:left="851" w:hanging="426"/>
      </w:pPr>
      <w:rPr>
        <w:rFonts w:ascii="宋体" w:hAnsi="Times New Roman" w:eastAsia="宋体" w:cs="Times New Roman"/>
        <w:sz w:val="21"/>
      </w:rPr>
    </w:lvl>
    <w:lvl w:ilvl="1" w:tentative="0">
      <w:start w:val="1"/>
      <w:numFmt w:val="decimal"/>
      <w:lvlText w:val="%2"/>
      <w:lvlJc w:val="left"/>
      <w:pPr>
        <w:tabs>
          <w:tab w:val="left" w:pos="1276"/>
        </w:tabs>
        <w:ind w:left="1276" w:hanging="425"/>
      </w:pPr>
      <w:rPr>
        <w:rFonts w:ascii="宋体" w:hAnsi="Times New Roman" w:eastAsia="宋体" w:cs="Times New Roman"/>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5">
    <w:nsid w:val="45A16F5C"/>
    <w:multiLevelType w:val="multilevel"/>
    <w:tmpl w:val="45A16F5C"/>
    <w:lvl w:ilvl="0" w:tentative="0">
      <w:start w:val="1"/>
      <w:numFmt w:val="chineseCountingThousand"/>
      <w:pStyle w:val="3"/>
      <w:suff w:val="nothing"/>
      <w:lvlText w:val="(%1)"/>
      <w:lvlJc w:val="left"/>
      <w:pPr>
        <w:ind w:left="620" w:hanging="420"/>
      </w:pPr>
      <w:rPr>
        <w:rFonts w:hint="eastAsia"/>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6">
    <w:nsid w:val="53FD66EF"/>
    <w:multiLevelType w:val="multilevel"/>
    <w:tmpl w:val="53FD66EF"/>
    <w:lvl w:ilvl="0" w:tentative="0">
      <w:start w:val="1"/>
      <w:numFmt w:val="chineseCountingThousand"/>
      <w:suff w:val="nothing"/>
      <w:lvlText w:val="(%1)"/>
      <w:lvlJc w:val="left"/>
      <w:pPr>
        <w:ind w:left="1413" w:hanging="420"/>
      </w:pPr>
      <w:rPr>
        <w:rFonts w:hint="eastAsia"/>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7">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24"/>
      <w:suff w:val="nothing"/>
      <w:lvlText w:val="%1%2　"/>
      <w:lvlJc w:val="left"/>
      <w:pPr>
        <w:ind w:left="568" w:firstLine="0"/>
      </w:pPr>
      <w:rPr>
        <w:rFonts w:hint="eastAsia" w:ascii="黑体" w:eastAsia="黑体"/>
        <w:b w:val="0"/>
        <w:i w:val="0"/>
        <w:color w:val="000000" w:themeColor="text1"/>
        <w:sz w:val="21"/>
        <w14:textFill>
          <w14:solidFill>
            <w14:schemeClr w14:val="tx1"/>
          </w14:solidFill>
        </w14:textFill>
      </w:rPr>
    </w:lvl>
    <w:lvl w:ilvl="2" w:tentative="0">
      <w:start w:val="1"/>
      <w:numFmt w:val="decimal"/>
      <w:pStyle w:val="23"/>
      <w:suff w:val="nothing"/>
      <w:lvlText w:val="%1%2.%3　"/>
      <w:lvlJc w:val="left"/>
      <w:pPr>
        <w:ind w:left="852"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suff w:val="nothing"/>
      <w:lvlText w:val="%1%2.%3.%4　"/>
      <w:lvlJc w:val="left"/>
      <w:pPr>
        <w:ind w:left="0" w:firstLine="0"/>
      </w:pPr>
      <w:rPr>
        <w:rFonts w:hint="eastAsia" w:ascii="黑体" w:eastAsia="黑体"/>
        <w:b w:val="0"/>
        <w:i w:val="0"/>
        <w:color w:val="auto"/>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8">
    <w:nsid w:val="75BE4525"/>
    <w:multiLevelType w:val="multilevel"/>
    <w:tmpl w:val="75BE4525"/>
    <w:lvl w:ilvl="0" w:tentative="0">
      <w:start w:val="1"/>
      <w:numFmt w:val="chineseCountingThousand"/>
      <w:suff w:val="nothing"/>
      <w:lvlText w:val="(%1)"/>
      <w:lvlJc w:val="left"/>
      <w:pPr>
        <w:ind w:left="1413" w:hanging="420"/>
      </w:pPr>
      <w:rPr>
        <w:rFonts w:hint="eastAsia"/>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abstractNum w:abstractNumId="9">
    <w:nsid w:val="7C465F95"/>
    <w:multiLevelType w:val="multilevel"/>
    <w:tmpl w:val="7C465F95"/>
    <w:lvl w:ilvl="0" w:tentative="0">
      <w:start w:val="1"/>
      <w:numFmt w:val="chineseCountingThousand"/>
      <w:suff w:val="nothing"/>
      <w:lvlText w:val="(%1)"/>
      <w:lvlJc w:val="left"/>
      <w:pPr>
        <w:ind w:left="1413" w:hanging="420"/>
      </w:pPr>
      <w:rPr>
        <w:rFonts w:hint="eastAsia"/>
      </w:rPr>
    </w:lvl>
    <w:lvl w:ilvl="1" w:tentative="0">
      <w:start w:val="1"/>
      <w:numFmt w:val="lowerLetter"/>
      <w:lvlText w:val="%2)"/>
      <w:lvlJc w:val="left"/>
      <w:pPr>
        <w:ind w:left="1040" w:hanging="420"/>
      </w:pPr>
    </w:lvl>
    <w:lvl w:ilvl="2" w:tentative="0">
      <w:start w:val="1"/>
      <w:numFmt w:val="lowerRoman"/>
      <w:lvlText w:val="%3."/>
      <w:lvlJc w:val="right"/>
      <w:pPr>
        <w:ind w:left="1460" w:hanging="420"/>
      </w:pPr>
    </w:lvl>
    <w:lvl w:ilvl="3" w:tentative="0">
      <w:start w:val="1"/>
      <w:numFmt w:val="decimal"/>
      <w:lvlText w:val="%4."/>
      <w:lvlJc w:val="left"/>
      <w:pPr>
        <w:ind w:left="1880" w:hanging="420"/>
      </w:pPr>
    </w:lvl>
    <w:lvl w:ilvl="4" w:tentative="0">
      <w:start w:val="1"/>
      <w:numFmt w:val="lowerLetter"/>
      <w:lvlText w:val="%5)"/>
      <w:lvlJc w:val="left"/>
      <w:pPr>
        <w:ind w:left="2300" w:hanging="420"/>
      </w:pPr>
    </w:lvl>
    <w:lvl w:ilvl="5" w:tentative="0">
      <w:start w:val="1"/>
      <w:numFmt w:val="lowerRoman"/>
      <w:lvlText w:val="%6."/>
      <w:lvlJc w:val="right"/>
      <w:pPr>
        <w:ind w:left="2720" w:hanging="420"/>
      </w:pPr>
    </w:lvl>
    <w:lvl w:ilvl="6" w:tentative="0">
      <w:start w:val="1"/>
      <w:numFmt w:val="decimal"/>
      <w:lvlText w:val="%7."/>
      <w:lvlJc w:val="left"/>
      <w:pPr>
        <w:ind w:left="3140" w:hanging="420"/>
      </w:pPr>
    </w:lvl>
    <w:lvl w:ilvl="7" w:tentative="0">
      <w:start w:val="1"/>
      <w:numFmt w:val="lowerLetter"/>
      <w:lvlText w:val="%8)"/>
      <w:lvlJc w:val="left"/>
      <w:pPr>
        <w:ind w:left="3560" w:hanging="420"/>
      </w:pPr>
    </w:lvl>
    <w:lvl w:ilvl="8" w:tentative="0">
      <w:start w:val="1"/>
      <w:numFmt w:val="lowerRoman"/>
      <w:lvlText w:val="%9."/>
      <w:lvlJc w:val="right"/>
      <w:pPr>
        <w:ind w:left="3980" w:hanging="420"/>
      </w:pPr>
    </w:lvl>
  </w:abstractNum>
  <w:num w:numId="1">
    <w:abstractNumId w:val="3"/>
  </w:num>
  <w:num w:numId="2">
    <w:abstractNumId w:val="5"/>
  </w:num>
  <w:num w:numId="3">
    <w:abstractNumId w:val="4"/>
  </w:num>
  <w:num w:numId="4">
    <w:abstractNumId w:val="7"/>
  </w:num>
  <w:num w:numId="5">
    <w:abstractNumId w:val="2"/>
  </w:num>
  <w:num w:numId="6">
    <w:abstractNumId w:val="1"/>
  </w:num>
  <w:num w:numId="7">
    <w:abstractNumId w:val="0"/>
  </w:num>
  <w:num w:numId="8">
    <w:abstractNumId w:val="8"/>
  </w:num>
  <w:num w:numId="9">
    <w:abstractNumId w:val="9"/>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noPunctuationKerning w:val="1"/>
  <w:characterSpacingControl w:val="doNotCompress"/>
  <w:compat>
    <w:balanceSingleByteDoubleByteWidth/>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5E98"/>
    <w:rsid w:val="0002507E"/>
    <w:rsid w:val="00025F84"/>
    <w:rsid w:val="000273A7"/>
    <w:rsid w:val="0005192A"/>
    <w:rsid w:val="000675E4"/>
    <w:rsid w:val="000861B3"/>
    <w:rsid w:val="000A08F0"/>
    <w:rsid w:val="000A13C6"/>
    <w:rsid w:val="000A3C1F"/>
    <w:rsid w:val="000D0FAC"/>
    <w:rsid w:val="000E61A6"/>
    <w:rsid w:val="000F5FD1"/>
    <w:rsid w:val="00116C90"/>
    <w:rsid w:val="001174B8"/>
    <w:rsid w:val="00120F01"/>
    <w:rsid w:val="00124787"/>
    <w:rsid w:val="00133F78"/>
    <w:rsid w:val="00144543"/>
    <w:rsid w:val="00162557"/>
    <w:rsid w:val="00190130"/>
    <w:rsid w:val="001A01A5"/>
    <w:rsid w:val="001A5C7D"/>
    <w:rsid w:val="001C27D8"/>
    <w:rsid w:val="001D48E5"/>
    <w:rsid w:val="001E33AA"/>
    <w:rsid w:val="001E706B"/>
    <w:rsid w:val="001F2DA4"/>
    <w:rsid w:val="002041B3"/>
    <w:rsid w:val="00220716"/>
    <w:rsid w:val="00221716"/>
    <w:rsid w:val="002333FB"/>
    <w:rsid w:val="00243601"/>
    <w:rsid w:val="002440F5"/>
    <w:rsid w:val="00252D33"/>
    <w:rsid w:val="002550C4"/>
    <w:rsid w:val="0026002F"/>
    <w:rsid w:val="00260C68"/>
    <w:rsid w:val="00271335"/>
    <w:rsid w:val="002749B8"/>
    <w:rsid w:val="00287A1B"/>
    <w:rsid w:val="002907BE"/>
    <w:rsid w:val="002957A4"/>
    <w:rsid w:val="002959A0"/>
    <w:rsid w:val="002E0DD5"/>
    <w:rsid w:val="002F4A88"/>
    <w:rsid w:val="003005DF"/>
    <w:rsid w:val="00301CE4"/>
    <w:rsid w:val="00301E71"/>
    <w:rsid w:val="00321F5A"/>
    <w:rsid w:val="00326B7B"/>
    <w:rsid w:val="00327EA5"/>
    <w:rsid w:val="00345E2B"/>
    <w:rsid w:val="0036247B"/>
    <w:rsid w:val="00372548"/>
    <w:rsid w:val="0038189E"/>
    <w:rsid w:val="003827C0"/>
    <w:rsid w:val="00385178"/>
    <w:rsid w:val="00385E98"/>
    <w:rsid w:val="00391241"/>
    <w:rsid w:val="003A4392"/>
    <w:rsid w:val="003C5B65"/>
    <w:rsid w:val="003D3100"/>
    <w:rsid w:val="003E0E14"/>
    <w:rsid w:val="003E3FE6"/>
    <w:rsid w:val="00417658"/>
    <w:rsid w:val="00446E95"/>
    <w:rsid w:val="004649AE"/>
    <w:rsid w:val="004667AB"/>
    <w:rsid w:val="00481360"/>
    <w:rsid w:val="00482805"/>
    <w:rsid w:val="00490763"/>
    <w:rsid w:val="00490F5E"/>
    <w:rsid w:val="004B6771"/>
    <w:rsid w:val="004C7371"/>
    <w:rsid w:val="004F5835"/>
    <w:rsid w:val="004F5FA9"/>
    <w:rsid w:val="00502FDD"/>
    <w:rsid w:val="00514EB8"/>
    <w:rsid w:val="0054201C"/>
    <w:rsid w:val="00560982"/>
    <w:rsid w:val="00570A15"/>
    <w:rsid w:val="005828E7"/>
    <w:rsid w:val="00585909"/>
    <w:rsid w:val="005A1B32"/>
    <w:rsid w:val="005B11BD"/>
    <w:rsid w:val="005C0DE4"/>
    <w:rsid w:val="005D2A3E"/>
    <w:rsid w:val="005E4031"/>
    <w:rsid w:val="00602DC2"/>
    <w:rsid w:val="00632A22"/>
    <w:rsid w:val="0063793B"/>
    <w:rsid w:val="006449D7"/>
    <w:rsid w:val="006473C1"/>
    <w:rsid w:val="00653227"/>
    <w:rsid w:val="00660D22"/>
    <w:rsid w:val="0068538E"/>
    <w:rsid w:val="00685D56"/>
    <w:rsid w:val="00686894"/>
    <w:rsid w:val="006D5107"/>
    <w:rsid w:val="006E25E3"/>
    <w:rsid w:val="006F0589"/>
    <w:rsid w:val="006F2A15"/>
    <w:rsid w:val="006F6422"/>
    <w:rsid w:val="007068E5"/>
    <w:rsid w:val="00715167"/>
    <w:rsid w:val="0071769B"/>
    <w:rsid w:val="0072594C"/>
    <w:rsid w:val="00745007"/>
    <w:rsid w:val="00786BBB"/>
    <w:rsid w:val="00792701"/>
    <w:rsid w:val="007A30E2"/>
    <w:rsid w:val="007B404C"/>
    <w:rsid w:val="007B5C5B"/>
    <w:rsid w:val="007E0BDF"/>
    <w:rsid w:val="007E0EC5"/>
    <w:rsid w:val="007F5793"/>
    <w:rsid w:val="00805330"/>
    <w:rsid w:val="008252F4"/>
    <w:rsid w:val="00826576"/>
    <w:rsid w:val="00835D42"/>
    <w:rsid w:val="00844567"/>
    <w:rsid w:val="00865299"/>
    <w:rsid w:val="008F0841"/>
    <w:rsid w:val="009167B1"/>
    <w:rsid w:val="00953024"/>
    <w:rsid w:val="00953DFB"/>
    <w:rsid w:val="00966A62"/>
    <w:rsid w:val="00967BE6"/>
    <w:rsid w:val="00981E49"/>
    <w:rsid w:val="00987449"/>
    <w:rsid w:val="009A2E0F"/>
    <w:rsid w:val="009B4E79"/>
    <w:rsid w:val="009B7FC4"/>
    <w:rsid w:val="009F3A03"/>
    <w:rsid w:val="009F7535"/>
    <w:rsid w:val="00A02FED"/>
    <w:rsid w:val="00A060E0"/>
    <w:rsid w:val="00A41977"/>
    <w:rsid w:val="00A420EE"/>
    <w:rsid w:val="00A6685E"/>
    <w:rsid w:val="00A72F6D"/>
    <w:rsid w:val="00A75E77"/>
    <w:rsid w:val="00A7686B"/>
    <w:rsid w:val="00A76FCB"/>
    <w:rsid w:val="00AA1C87"/>
    <w:rsid w:val="00AA2FAE"/>
    <w:rsid w:val="00AA3866"/>
    <w:rsid w:val="00AB747E"/>
    <w:rsid w:val="00AC6EF2"/>
    <w:rsid w:val="00AD0062"/>
    <w:rsid w:val="00AE2622"/>
    <w:rsid w:val="00AE6BFC"/>
    <w:rsid w:val="00B009FF"/>
    <w:rsid w:val="00B00BD6"/>
    <w:rsid w:val="00B1002E"/>
    <w:rsid w:val="00B42A9F"/>
    <w:rsid w:val="00B70303"/>
    <w:rsid w:val="00B72E85"/>
    <w:rsid w:val="00B826A9"/>
    <w:rsid w:val="00B83A0D"/>
    <w:rsid w:val="00B87A8B"/>
    <w:rsid w:val="00B95CBE"/>
    <w:rsid w:val="00B96D8D"/>
    <w:rsid w:val="00BA403F"/>
    <w:rsid w:val="00BB18FB"/>
    <w:rsid w:val="00C04098"/>
    <w:rsid w:val="00C06085"/>
    <w:rsid w:val="00C14B91"/>
    <w:rsid w:val="00C23C08"/>
    <w:rsid w:val="00C25BFF"/>
    <w:rsid w:val="00C53BA2"/>
    <w:rsid w:val="00C54671"/>
    <w:rsid w:val="00C548D5"/>
    <w:rsid w:val="00C55320"/>
    <w:rsid w:val="00C95312"/>
    <w:rsid w:val="00C95BA1"/>
    <w:rsid w:val="00CA381A"/>
    <w:rsid w:val="00CC0055"/>
    <w:rsid w:val="00CD5642"/>
    <w:rsid w:val="00CD71CF"/>
    <w:rsid w:val="00CF537C"/>
    <w:rsid w:val="00D0180D"/>
    <w:rsid w:val="00D02CF3"/>
    <w:rsid w:val="00D11216"/>
    <w:rsid w:val="00D119BF"/>
    <w:rsid w:val="00D1203B"/>
    <w:rsid w:val="00D22A14"/>
    <w:rsid w:val="00D30463"/>
    <w:rsid w:val="00D55FAE"/>
    <w:rsid w:val="00D60FDF"/>
    <w:rsid w:val="00D6318C"/>
    <w:rsid w:val="00D64836"/>
    <w:rsid w:val="00D7276E"/>
    <w:rsid w:val="00D77895"/>
    <w:rsid w:val="00D8295A"/>
    <w:rsid w:val="00DA03EE"/>
    <w:rsid w:val="00DA145C"/>
    <w:rsid w:val="00DA1BC3"/>
    <w:rsid w:val="00DA6DF0"/>
    <w:rsid w:val="00DB4764"/>
    <w:rsid w:val="00DC4F6A"/>
    <w:rsid w:val="00DC516F"/>
    <w:rsid w:val="00DD695F"/>
    <w:rsid w:val="00DF4087"/>
    <w:rsid w:val="00E07967"/>
    <w:rsid w:val="00E3713E"/>
    <w:rsid w:val="00E447A7"/>
    <w:rsid w:val="00E46C09"/>
    <w:rsid w:val="00E516BE"/>
    <w:rsid w:val="00E561A4"/>
    <w:rsid w:val="00E611D5"/>
    <w:rsid w:val="00E85417"/>
    <w:rsid w:val="00E858F5"/>
    <w:rsid w:val="00E86255"/>
    <w:rsid w:val="00E95950"/>
    <w:rsid w:val="00EA064E"/>
    <w:rsid w:val="00EA3EDD"/>
    <w:rsid w:val="00EA5465"/>
    <w:rsid w:val="00EC06F3"/>
    <w:rsid w:val="00ED509D"/>
    <w:rsid w:val="00EE6F23"/>
    <w:rsid w:val="00EF075C"/>
    <w:rsid w:val="00EF71C5"/>
    <w:rsid w:val="00F03746"/>
    <w:rsid w:val="00F12948"/>
    <w:rsid w:val="00F14D5E"/>
    <w:rsid w:val="00F24436"/>
    <w:rsid w:val="00F25293"/>
    <w:rsid w:val="00F2774B"/>
    <w:rsid w:val="00F338DD"/>
    <w:rsid w:val="00F50AB8"/>
    <w:rsid w:val="00F52B8C"/>
    <w:rsid w:val="00F7436D"/>
    <w:rsid w:val="00F77D8C"/>
    <w:rsid w:val="00F81D37"/>
    <w:rsid w:val="00F8318F"/>
    <w:rsid w:val="00FA108C"/>
    <w:rsid w:val="00FB2626"/>
    <w:rsid w:val="00FB276C"/>
    <w:rsid w:val="00FB4F89"/>
    <w:rsid w:val="00FC3CD9"/>
    <w:rsid w:val="00FC5261"/>
    <w:rsid w:val="00FD240D"/>
    <w:rsid w:val="00FE2CE9"/>
    <w:rsid w:val="00FF6EFE"/>
    <w:rsid w:val="01547A9C"/>
    <w:rsid w:val="01603061"/>
    <w:rsid w:val="01667AB2"/>
    <w:rsid w:val="01FF0067"/>
    <w:rsid w:val="027917BB"/>
    <w:rsid w:val="029C6F06"/>
    <w:rsid w:val="029D518A"/>
    <w:rsid w:val="02B7624C"/>
    <w:rsid w:val="03045209"/>
    <w:rsid w:val="03C86237"/>
    <w:rsid w:val="0416617D"/>
    <w:rsid w:val="04212517"/>
    <w:rsid w:val="04E11CA6"/>
    <w:rsid w:val="04E5017D"/>
    <w:rsid w:val="05341DD6"/>
    <w:rsid w:val="05524952"/>
    <w:rsid w:val="06043E9E"/>
    <w:rsid w:val="062E0F1B"/>
    <w:rsid w:val="07441644"/>
    <w:rsid w:val="07F341CA"/>
    <w:rsid w:val="084762C4"/>
    <w:rsid w:val="088E7A4F"/>
    <w:rsid w:val="08E12275"/>
    <w:rsid w:val="090B10A0"/>
    <w:rsid w:val="093F6F9B"/>
    <w:rsid w:val="09B5725D"/>
    <w:rsid w:val="09BC177A"/>
    <w:rsid w:val="09CF47C3"/>
    <w:rsid w:val="0A3470EC"/>
    <w:rsid w:val="0A777E89"/>
    <w:rsid w:val="0AD82950"/>
    <w:rsid w:val="0AF65D7F"/>
    <w:rsid w:val="0B69075E"/>
    <w:rsid w:val="0B792C38"/>
    <w:rsid w:val="0C551EED"/>
    <w:rsid w:val="0CCF0636"/>
    <w:rsid w:val="0D1A3FA7"/>
    <w:rsid w:val="0D5D3E94"/>
    <w:rsid w:val="0E096388"/>
    <w:rsid w:val="0F0C6A8E"/>
    <w:rsid w:val="0F1603B2"/>
    <w:rsid w:val="0F8B4CE8"/>
    <w:rsid w:val="0F9E5BD3"/>
    <w:rsid w:val="0FAE4E7B"/>
    <w:rsid w:val="104042BA"/>
    <w:rsid w:val="107751C1"/>
    <w:rsid w:val="10961B97"/>
    <w:rsid w:val="11B06C88"/>
    <w:rsid w:val="11F84F02"/>
    <w:rsid w:val="12303925"/>
    <w:rsid w:val="123F4C78"/>
    <w:rsid w:val="12617F82"/>
    <w:rsid w:val="12A40DA5"/>
    <w:rsid w:val="13763F01"/>
    <w:rsid w:val="13C5C054"/>
    <w:rsid w:val="140137CB"/>
    <w:rsid w:val="141B23B3"/>
    <w:rsid w:val="14CB4AA9"/>
    <w:rsid w:val="14E5412E"/>
    <w:rsid w:val="14E72F43"/>
    <w:rsid w:val="15211C4B"/>
    <w:rsid w:val="159575D7"/>
    <w:rsid w:val="15DA59B7"/>
    <w:rsid w:val="164C349A"/>
    <w:rsid w:val="17765B7E"/>
    <w:rsid w:val="17D24327"/>
    <w:rsid w:val="1810610B"/>
    <w:rsid w:val="183F0D66"/>
    <w:rsid w:val="184D3992"/>
    <w:rsid w:val="18506ACF"/>
    <w:rsid w:val="185D11EC"/>
    <w:rsid w:val="18AD2173"/>
    <w:rsid w:val="18D90ADB"/>
    <w:rsid w:val="18DC626B"/>
    <w:rsid w:val="19404D95"/>
    <w:rsid w:val="196A1E12"/>
    <w:rsid w:val="19A03A86"/>
    <w:rsid w:val="19C86B39"/>
    <w:rsid w:val="1B063DBD"/>
    <w:rsid w:val="1B4548E5"/>
    <w:rsid w:val="1B590390"/>
    <w:rsid w:val="1C200EAE"/>
    <w:rsid w:val="1C832CBB"/>
    <w:rsid w:val="1D036155"/>
    <w:rsid w:val="1D0D796C"/>
    <w:rsid w:val="1D4D4CFD"/>
    <w:rsid w:val="1DA14A9A"/>
    <w:rsid w:val="1ED57D2E"/>
    <w:rsid w:val="1EF77994"/>
    <w:rsid w:val="1EFF0172"/>
    <w:rsid w:val="1F073C5F"/>
    <w:rsid w:val="1F0F4F4D"/>
    <w:rsid w:val="1FF12487"/>
    <w:rsid w:val="20BB11A5"/>
    <w:rsid w:val="22857CBD"/>
    <w:rsid w:val="22A66BA3"/>
    <w:rsid w:val="22A7378F"/>
    <w:rsid w:val="23006C28"/>
    <w:rsid w:val="23342B88"/>
    <w:rsid w:val="249A4E41"/>
    <w:rsid w:val="24D942F0"/>
    <w:rsid w:val="258A1146"/>
    <w:rsid w:val="25AE3087"/>
    <w:rsid w:val="25FA4702"/>
    <w:rsid w:val="263F5BCC"/>
    <w:rsid w:val="26995AE5"/>
    <w:rsid w:val="26EF8661"/>
    <w:rsid w:val="27286E69"/>
    <w:rsid w:val="276650DC"/>
    <w:rsid w:val="27750300"/>
    <w:rsid w:val="28005C30"/>
    <w:rsid w:val="2881119F"/>
    <w:rsid w:val="288B279E"/>
    <w:rsid w:val="28CE5D46"/>
    <w:rsid w:val="29325D7D"/>
    <w:rsid w:val="29804D3A"/>
    <w:rsid w:val="299002D5"/>
    <w:rsid w:val="2B473D61"/>
    <w:rsid w:val="2BCC4267"/>
    <w:rsid w:val="2BDC0FE8"/>
    <w:rsid w:val="2C063C1D"/>
    <w:rsid w:val="2C567FD4"/>
    <w:rsid w:val="2C5B03EA"/>
    <w:rsid w:val="2C7A0A44"/>
    <w:rsid w:val="2C9034E6"/>
    <w:rsid w:val="2D393B67"/>
    <w:rsid w:val="2D4C1B03"/>
    <w:rsid w:val="2D5F3333"/>
    <w:rsid w:val="2DFE2009"/>
    <w:rsid w:val="2E3D144C"/>
    <w:rsid w:val="2E735109"/>
    <w:rsid w:val="2EC35DF5"/>
    <w:rsid w:val="2F340AA1"/>
    <w:rsid w:val="2FA87F8A"/>
    <w:rsid w:val="30174AE6"/>
    <w:rsid w:val="3083766A"/>
    <w:rsid w:val="30973E22"/>
    <w:rsid w:val="30C66272"/>
    <w:rsid w:val="30C916BD"/>
    <w:rsid w:val="31E73D2B"/>
    <w:rsid w:val="32546D64"/>
    <w:rsid w:val="32A907A3"/>
    <w:rsid w:val="32BD0DAD"/>
    <w:rsid w:val="32BE575C"/>
    <w:rsid w:val="32EC03A5"/>
    <w:rsid w:val="33DF7C75"/>
    <w:rsid w:val="33E16D1D"/>
    <w:rsid w:val="341D5FA7"/>
    <w:rsid w:val="343E5F1E"/>
    <w:rsid w:val="345134E8"/>
    <w:rsid w:val="349D49F2"/>
    <w:rsid w:val="350B4052"/>
    <w:rsid w:val="35223149"/>
    <w:rsid w:val="35647C06"/>
    <w:rsid w:val="357070B5"/>
    <w:rsid w:val="35A95619"/>
    <w:rsid w:val="35F76384"/>
    <w:rsid w:val="366E2AEA"/>
    <w:rsid w:val="36981915"/>
    <w:rsid w:val="36E53900"/>
    <w:rsid w:val="37270EEB"/>
    <w:rsid w:val="37331A7C"/>
    <w:rsid w:val="376F93DB"/>
    <w:rsid w:val="377B35C7"/>
    <w:rsid w:val="379A7F64"/>
    <w:rsid w:val="379D29F3"/>
    <w:rsid w:val="37A8202C"/>
    <w:rsid w:val="37AB38CA"/>
    <w:rsid w:val="384A6C3F"/>
    <w:rsid w:val="38787C50"/>
    <w:rsid w:val="38FB515E"/>
    <w:rsid w:val="39531681"/>
    <w:rsid w:val="39A86313"/>
    <w:rsid w:val="39AB55B4"/>
    <w:rsid w:val="39AB58C6"/>
    <w:rsid w:val="3AA27206"/>
    <w:rsid w:val="3B075CE3"/>
    <w:rsid w:val="3B272E70"/>
    <w:rsid w:val="3BDB0790"/>
    <w:rsid w:val="3CFFE25C"/>
    <w:rsid w:val="3D0C2F35"/>
    <w:rsid w:val="3D0F2205"/>
    <w:rsid w:val="3D3D439D"/>
    <w:rsid w:val="3DAC3EF8"/>
    <w:rsid w:val="3DB01BF7"/>
    <w:rsid w:val="3DFFC0FD"/>
    <w:rsid w:val="3E0D3E43"/>
    <w:rsid w:val="3E416D36"/>
    <w:rsid w:val="3E481E73"/>
    <w:rsid w:val="3E5B7714"/>
    <w:rsid w:val="3F8769CB"/>
    <w:rsid w:val="3FDBDA59"/>
    <w:rsid w:val="3FFF0C57"/>
    <w:rsid w:val="401C02BA"/>
    <w:rsid w:val="40646D0C"/>
    <w:rsid w:val="40C70637"/>
    <w:rsid w:val="412546ED"/>
    <w:rsid w:val="41354204"/>
    <w:rsid w:val="415064FB"/>
    <w:rsid w:val="42002A64"/>
    <w:rsid w:val="4262404C"/>
    <w:rsid w:val="426923B8"/>
    <w:rsid w:val="42E13F0F"/>
    <w:rsid w:val="432450DE"/>
    <w:rsid w:val="435C21B7"/>
    <w:rsid w:val="44746C5F"/>
    <w:rsid w:val="4530540F"/>
    <w:rsid w:val="45E32481"/>
    <w:rsid w:val="45EC7588"/>
    <w:rsid w:val="464473C4"/>
    <w:rsid w:val="4670640B"/>
    <w:rsid w:val="46F74436"/>
    <w:rsid w:val="46FE5DD7"/>
    <w:rsid w:val="46FF153C"/>
    <w:rsid w:val="471E7C15"/>
    <w:rsid w:val="472261C2"/>
    <w:rsid w:val="472B40E0"/>
    <w:rsid w:val="47462CC7"/>
    <w:rsid w:val="47A3292D"/>
    <w:rsid w:val="47A83DCD"/>
    <w:rsid w:val="484A67E7"/>
    <w:rsid w:val="49516653"/>
    <w:rsid w:val="4A0A4480"/>
    <w:rsid w:val="4A1F3FF6"/>
    <w:rsid w:val="4A415589"/>
    <w:rsid w:val="4AB37D88"/>
    <w:rsid w:val="4B38326F"/>
    <w:rsid w:val="4BB71E07"/>
    <w:rsid w:val="4BF46BB8"/>
    <w:rsid w:val="4C405C95"/>
    <w:rsid w:val="4D4203D5"/>
    <w:rsid w:val="4D507B42"/>
    <w:rsid w:val="4D7762D0"/>
    <w:rsid w:val="4D8B58D8"/>
    <w:rsid w:val="4E437F61"/>
    <w:rsid w:val="4E877F92"/>
    <w:rsid w:val="4FDB1A2E"/>
    <w:rsid w:val="500B663D"/>
    <w:rsid w:val="502D711A"/>
    <w:rsid w:val="50302E75"/>
    <w:rsid w:val="50C17453"/>
    <w:rsid w:val="51932FAD"/>
    <w:rsid w:val="51933865"/>
    <w:rsid w:val="51B15B29"/>
    <w:rsid w:val="51BD002A"/>
    <w:rsid w:val="51C969CF"/>
    <w:rsid w:val="526F4666"/>
    <w:rsid w:val="5290573F"/>
    <w:rsid w:val="53D0673A"/>
    <w:rsid w:val="54667487"/>
    <w:rsid w:val="548117E3"/>
    <w:rsid w:val="54BD4AFA"/>
    <w:rsid w:val="54C15371"/>
    <w:rsid w:val="54D264E2"/>
    <w:rsid w:val="55385899"/>
    <w:rsid w:val="55CE0A58"/>
    <w:rsid w:val="55D10666"/>
    <w:rsid w:val="564C61AD"/>
    <w:rsid w:val="56AD68BF"/>
    <w:rsid w:val="575E678A"/>
    <w:rsid w:val="58387FAF"/>
    <w:rsid w:val="58474AF1"/>
    <w:rsid w:val="586D09FC"/>
    <w:rsid w:val="589870FB"/>
    <w:rsid w:val="58B766F6"/>
    <w:rsid w:val="58E724CA"/>
    <w:rsid w:val="590362B7"/>
    <w:rsid w:val="59073707"/>
    <w:rsid w:val="592D541B"/>
    <w:rsid w:val="59633BAD"/>
    <w:rsid w:val="5A6776CD"/>
    <w:rsid w:val="5A802C08"/>
    <w:rsid w:val="5AA1673B"/>
    <w:rsid w:val="5B923DD3"/>
    <w:rsid w:val="5C030C5B"/>
    <w:rsid w:val="5C0A0310"/>
    <w:rsid w:val="5C6B34A4"/>
    <w:rsid w:val="5D9B1B67"/>
    <w:rsid w:val="5E211941"/>
    <w:rsid w:val="5E4C4C10"/>
    <w:rsid w:val="5E916AC6"/>
    <w:rsid w:val="5F1C6CD8"/>
    <w:rsid w:val="5F475A1E"/>
    <w:rsid w:val="5F7C5072"/>
    <w:rsid w:val="5F9745B0"/>
    <w:rsid w:val="5FA840C8"/>
    <w:rsid w:val="5FB40CBE"/>
    <w:rsid w:val="5FE253D6"/>
    <w:rsid w:val="60213E7A"/>
    <w:rsid w:val="60852569"/>
    <w:rsid w:val="60AD570E"/>
    <w:rsid w:val="615D5CB3"/>
    <w:rsid w:val="618648DC"/>
    <w:rsid w:val="61A340AD"/>
    <w:rsid w:val="61A85EB4"/>
    <w:rsid w:val="61B06987"/>
    <w:rsid w:val="61D07906"/>
    <w:rsid w:val="62EA7BC4"/>
    <w:rsid w:val="63400ABB"/>
    <w:rsid w:val="63556314"/>
    <w:rsid w:val="63691846"/>
    <w:rsid w:val="64124205"/>
    <w:rsid w:val="648918C9"/>
    <w:rsid w:val="652266CA"/>
    <w:rsid w:val="652C7549"/>
    <w:rsid w:val="657B402C"/>
    <w:rsid w:val="65864EAB"/>
    <w:rsid w:val="65E9368C"/>
    <w:rsid w:val="65F04A1A"/>
    <w:rsid w:val="66232783"/>
    <w:rsid w:val="66591D2C"/>
    <w:rsid w:val="665A00E6"/>
    <w:rsid w:val="6674384E"/>
    <w:rsid w:val="66DC6D4D"/>
    <w:rsid w:val="66EA76BB"/>
    <w:rsid w:val="671B5AC7"/>
    <w:rsid w:val="67564D51"/>
    <w:rsid w:val="676F7BC1"/>
    <w:rsid w:val="67C1353F"/>
    <w:rsid w:val="6804655B"/>
    <w:rsid w:val="680E2F36"/>
    <w:rsid w:val="68492B7E"/>
    <w:rsid w:val="686A0AB4"/>
    <w:rsid w:val="687D70B8"/>
    <w:rsid w:val="68D71910"/>
    <w:rsid w:val="68E63D25"/>
    <w:rsid w:val="68E978B8"/>
    <w:rsid w:val="68F201B4"/>
    <w:rsid w:val="69076AC3"/>
    <w:rsid w:val="691B0000"/>
    <w:rsid w:val="69913E1E"/>
    <w:rsid w:val="6A813E93"/>
    <w:rsid w:val="6B4F7698"/>
    <w:rsid w:val="6BB753CC"/>
    <w:rsid w:val="6BBA3B00"/>
    <w:rsid w:val="6BC341EB"/>
    <w:rsid w:val="6BEA3CBA"/>
    <w:rsid w:val="6C1825D5"/>
    <w:rsid w:val="6C44690B"/>
    <w:rsid w:val="6CB0280D"/>
    <w:rsid w:val="6CBF5146"/>
    <w:rsid w:val="6CC17684"/>
    <w:rsid w:val="6CFE41DE"/>
    <w:rsid w:val="6D4912FE"/>
    <w:rsid w:val="6D544CBE"/>
    <w:rsid w:val="6D8C5028"/>
    <w:rsid w:val="6D8D0DA1"/>
    <w:rsid w:val="6E4808E2"/>
    <w:rsid w:val="6E657628"/>
    <w:rsid w:val="6EAA6A3D"/>
    <w:rsid w:val="6ECC76A7"/>
    <w:rsid w:val="6F2614AD"/>
    <w:rsid w:val="6F4B3B48"/>
    <w:rsid w:val="6F73D392"/>
    <w:rsid w:val="6F7D7F35"/>
    <w:rsid w:val="6F977CB5"/>
    <w:rsid w:val="6FAC005C"/>
    <w:rsid w:val="70506B91"/>
    <w:rsid w:val="707263E0"/>
    <w:rsid w:val="70B05489"/>
    <w:rsid w:val="710F2BF5"/>
    <w:rsid w:val="715C7408"/>
    <w:rsid w:val="71FE401B"/>
    <w:rsid w:val="722577FA"/>
    <w:rsid w:val="72C963D7"/>
    <w:rsid w:val="72CC70E6"/>
    <w:rsid w:val="73296BF5"/>
    <w:rsid w:val="73621B01"/>
    <w:rsid w:val="736A0703"/>
    <w:rsid w:val="737A6C13"/>
    <w:rsid w:val="73993FFB"/>
    <w:rsid w:val="74262140"/>
    <w:rsid w:val="743F62B9"/>
    <w:rsid w:val="74CF151E"/>
    <w:rsid w:val="74D15A17"/>
    <w:rsid w:val="75043BAF"/>
    <w:rsid w:val="754B41C6"/>
    <w:rsid w:val="758807CB"/>
    <w:rsid w:val="75952EE8"/>
    <w:rsid w:val="75BFCC9D"/>
    <w:rsid w:val="765204C0"/>
    <w:rsid w:val="7691545E"/>
    <w:rsid w:val="76DE6C95"/>
    <w:rsid w:val="76FE0619"/>
    <w:rsid w:val="777D59E2"/>
    <w:rsid w:val="77AE8378"/>
    <w:rsid w:val="77B8639C"/>
    <w:rsid w:val="77C35D51"/>
    <w:rsid w:val="77CF193B"/>
    <w:rsid w:val="77FAA505"/>
    <w:rsid w:val="780600CD"/>
    <w:rsid w:val="78B813C8"/>
    <w:rsid w:val="791800B8"/>
    <w:rsid w:val="7959E7AD"/>
    <w:rsid w:val="796B468C"/>
    <w:rsid w:val="796D454F"/>
    <w:rsid w:val="79F74B82"/>
    <w:rsid w:val="7A923E9A"/>
    <w:rsid w:val="7AC43445"/>
    <w:rsid w:val="7B5F3D7C"/>
    <w:rsid w:val="7BB73BB8"/>
    <w:rsid w:val="7C072686"/>
    <w:rsid w:val="7C303A69"/>
    <w:rsid w:val="7C6C3525"/>
    <w:rsid w:val="7C7D2DE4"/>
    <w:rsid w:val="7CB93960"/>
    <w:rsid w:val="7CFF3EAA"/>
    <w:rsid w:val="7D0A0D8A"/>
    <w:rsid w:val="7D3923AB"/>
    <w:rsid w:val="7D957F29"/>
    <w:rsid w:val="7DA2407C"/>
    <w:rsid w:val="7DBF4757"/>
    <w:rsid w:val="7DC013D7"/>
    <w:rsid w:val="7E8E268E"/>
    <w:rsid w:val="7EFE15BD"/>
    <w:rsid w:val="7F3504B3"/>
    <w:rsid w:val="7FAE0E2E"/>
    <w:rsid w:val="7FAE3691"/>
    <w:rsid w:val="7FBB1454"/>
    <w:rsid w:val="7FF64583"/>
    <w:rsid w:val="7FF6A47C"/>
    <w:rsid w:val="7FFCC860"/>
    <w:rsid w:val="BAC72EA5"/>
    <w:rsid w:val="BBCD5CE7"/>
    <w:rsid w:val="CED79C1D"/>
    <w:rsid w:val="DBFF77EB"/>
    <w:rsid w:val="DFFBD300"/>
    <w:rsid w:val="DFFF650D"/>
    <w:rsid w:val="EDFD6B81"/>
    <w:rsid w:val="EF79A73D"/>
    <w:rsid w:val="F5EDFCD2"/>
    <w:rsid w:val="F5FFB8E7"/>
    <w:rsid w:val="F777089D"/>
    <w:rsid w:val="F7FF5F31"/>
    <w:rsid w:val="F7FF733D"/>
    <w:rsid w:val="F7FFFFE3"/>
    <w:rsid w:val="FBDF2DA5"/>
    <w:rsid w:val="FD13E663"/>
    <w:rsid w:val="FD3E7447"/>
    <w:rsid w:val="FFBFA05C"/>
    <w:rsid w:val="FFEC86AD"/>
    <w:rsid w:val="FFF8D134"/>
    <w:rsid w:val="FFFAC58A"/>
    <w:rsid w:val="FFFF86D4"/>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nhideWhenUsed="0"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qFormat="1"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宋体" w:cs="Calibri"/>
      <w:sz w:val="21"/>
      <w:szCs w:val="22"/>
      <w:lang w:val="en-US" w:eastAsia="zh-CN" w:bidi="ar-SA"/>
    </w:rPr>
  </w:style>
  <w:style w:type="paragraph" w:styleId="2">
    <w:name w:val="heading 1"/>
    <w:basedOn w:val="1"/>
    <w:next w:val="1"/>
    <w:link w:val="30"/>
    <w:qFormat/>
    <w:uiPriority w:val="0"/>
    <w:pPr>
      <w:keepNext/>
      <w:keepLines/>
      <w:numPr>
        <w:ilvl w:val="0"/>
        <w:numId w:val="1"/>
      </w:numPr>
      <w:ind w:left="0" w:firstLine="200" w:firstLineChars="200"/>
      <w:outlineLvl w:val="0"/>
    </w:pPr>
    <w:rPr>
      <w:rFonts w:eastAsia="黑体"/>
      <w:kern w:val="44"/>
      <w:sz w:val="32"/>
    </w:rPr>
  </w:style>
  <w:style w:type="paragraph" w:styleId="3">
    <w:name w:val="heading 2"/>
    <w:basedOn w:val="1"/>
    <w:next w:val="1"/>
    <w:unhideWhenUsed/>
    <w:qFormat/>
    <w:uiPriority w:val="9"/>
    <w:pPr>
      <w:widowControl w:val="0"/>
      <w:numPr>
        <w:ilvl w:val="0"/>
        <w:numId w:val="2"/>
      </w:numPr>
      <w:outlineLvl w:val="1"/>
    </w:pPr>
    <w:rPr>
      <w:rFonts w:eastAsia="楷体" w:asciiTheme="majorHAnsi" w:hAnsiTheme="majorHAnsi" w:cstheme="majorBidi"/>
      <w:bCs/>
      <w:sz w:val="32"/>
      <w:szCs w:val="32"/>
    </w:rPr>
  </w:style>
  <w:style w:type="paragraph" w:styleId="4">
    <w:name w:val="heading 4"/>
    <w:basedOn w:val="1"/>
    <w:next w:val="1"/>
    <w:unhideWhenUsed/>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28"/>
    <w:semiHidden/>
    <w:unhideWhenUsed/>
    <w:qFormat/>
    <w:uiPriority w:val="0"/>
    <w:rPr>
      <w:rFonts w:ascii="宋体"/>
      <w:sz w:val="18"/>
      <w:szCs w:val="18"/>
    </w:rPr>
  </w:style>
  <w:style w:type="paragraph" w:styleId="6">
    <w:name w:val="toc 3"/>
    <w:basedOn w:val="1"/>
    <w:next w:val="1"/>
    <w:unhideWhenUsed/>
    <w:qFormat/>
    <w:uiPriority w:val="39"/>
    <w:pPr>
      <w:ind w:left="840" w:leftChars="400"/>
    </w:pPr>
  </w:style>
  <w:style w:type="paragraph" w:styleId="7">
    <w:name w:val="Date"/>
    <w:basedOn w:val="1"/>
    <w:next w:val="1"/>
    <w:link w:val="26"/>
    <w:qFormat/>
    <w:uiPriority w:val="0"/>
    <w:pPr>
      <w:ind w:left="100" w:leftChars="2500"/>
    </w:pPr>
  </w:style>
  <w:style w:type="paragraph" w:styleId="8">
    <w:name w:val="Balloon Text"/>
    <w:basedOn w:val="1"/>
    <w:link w:val="27"/>
    <w:semiHidden/>
    <w:unhideWhenUsed/>
    <w:qFormat/>
    <w:uiPriority w:val="0"/>
    <w:rPr>
      <w:sz w:val="18"/>
      <w:szCs w:val="18"/>
    </w:rPr>
  </w:style>
  <w:style w:type="paragraph" w:styleId="9">
    <w:name w:val="footer"/>
    <w:basedOn w:val="1"/>
    <w:link w:val="29"/>
    <w:qFormat/>
    <w:uiPriority w:val="99"/>
    <w:pPr>
      <w:tabs>
        <w:tab w:val="center" w:pos="4153"/>
        <w:tab w:val="right" w:pos="8306"/>
      </w:tabs>
      <w:snapToGrid w:val="0"/>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1">
    <w:name w:val="toc 1"/>
    <w:basedOn w:val="1"/>
    <w:next w:val="1"/>
    <w:unhideWhenUsed/>
    <w:qFormat/>
    <w:uiPriority w:val="39"/>
  </w:style>
  <w:style w:type="paragraph" w:styleId="12">
    <w:name w:val="toc 2"/>
    <w:basedOn w:val="1"/>
    <w:next w:val="1"/>
    <w:qFormat/>
    <w:uiPriority w:val="39"/>
    <w:pPr>
      <w:ind w:left="420" w:left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basedOn w:val="15"/>
    <w:unhideWhenUsed/>
    <w:qFormat/>
    <w:uiPriority w:val="99"/>
    <w:rPr>
      <w:color w:val="0563C1" w:themeColor="hyperlink"/>
      <w:u w:val="single"/>
      <w14:textFill>
        <w14:solidFill>
          <w14:schemeClr w14:val="hlink"/>
        </w14:solidFill>
      </w14:textFill>
    </w:rPr>
  </w:style>
  <w:style w:type="paragraph" w:customStyle="1" w:styleId="17">
    <w:name w:val="正文（首行缩进2字符）"/>
    <w:basedOn w:val="1"/>
    <w:qFormat/>
    <w:uiPriority w:val="0"/>
    <w:pPr>
      <w:ind w:firstLine="440"/>
    </w:pPr>
    <w:rPr>
      <w:rFonts w:ascii="宋体" w:hAnsi="宋体" w:cs="Times New Roman"/>
      <w:sz w:val="22"/>
      <w:szCs w:val="20"/>
    </w:rPr>
  </w:style>
  <w:style w:type="paragraph" w:customStyle="1" w:styleId="18">
    <w:name w:val="标准文件_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19">
    <w:name w:val="标准文件_字母编号列项（一级）"/>
    <w:qFormat/>
    <w:uiPriority w:val="0"/>
    <w:pPr>
      <w:numPr>
        <w:ilvl w:val="0"/>
        <w:numId w:val="3"/>
      </w:numPr>
      <w:jc w:val="both"/>
    </w:pPr>
    <w:rPr>
      <w:rFonts w:ascii="宋体" w:hAnsi="Times New Roman" w:eastAsia="宋体" w:cs="Times New Roman"/>
      <w:sz w:val="21"/>
      <w:lang w:val="en-US" w:eastAsia="zh-CN" w:bidi="ar-SA"/>
    </w:rPr>
  </w:style>
  <w:style w:type="paragraph" w:customStyle="1" w:styleId="20">
    <w:name w:val="列出段落1"/>
    <w:basedOn w:val="1"/>
    <w:qFormat/>
    <w:uiPriority w:val="99"/>
    <w:pPr>
      <w:ind w:firstLine="420" w:firstLineChars="200"/>
    </w:pPr>
  </w:style>
  <w:style w:type="paragraph" w:customStyle="1" w:styleId="21">
    <w:name w:val="标准文件_术语条一"/>
    <w:basedOn w:val="22"/>
    <w:next w:val="18"/>
    <w:qFormat/>
    <w:uiPriority w:val="0"/>
  </w:style>
  <w:style w:type="paragraph" w:customStyle="1" w:styleId="22">
    <w:name w:val="标准文件_一级无标题"/>
    <w:basedOn w:val="23"/>
    <w:qFormat/>
    <w:uiPriority w:val="0"/>
    <w:pPr>
      <w:spacing w:beforeLines="0" w:afterLines="0"/>
      <w:outlineLvl w:val="9"/>
    </w:pPr>
    <w:rPr>
      <w:rFonts w:ascii="宋体" w:eastAsia="宋体"/>
    </w:rPr>
  </w:style>
  <w:style w:type="paragraph" w:customStyle="1" w:styleId="23">
    <w:name w:val="标准文件_一级条标题"/>
    <w:basedOn w:val="24"/>
    <w:next w:val="18"/>
    <w:qFormat/>
    <w:uiPriority w:val="0"/>
    <w:pPr>
      <w:numPr>
        <w:ilvl w:val="2"/>
      </w:numPr>
      <w:spacing w:beforeLines="50" w:afterLines="50"/>
      <w:ind w:left="0"/>
      <w:outlineLvl w:val="1"/>
    </w:pPr>
  </w:style>
  <w:style w:type="paragraph" w:customStyle="1" w:styleId="24">
    <w:name w:val="标准文件_章标题"/>
    <w:next w:val="18"/>
    <w:qFormat/>
    <w:uiPriority w:val="0"/>
    <w:pPr>
      <w:numPr>
        <w:ilvl w:val="1"/>
        <w:numId w:val="4"/>
      </w:numPr>
      <w:spacing w:beforeLines="100" w:afterLines="100"/>
      <w:jc w:val="both"/>
      <w:outlineLvl w:val="0"/>
    </w:pPr>
    <w:rPr>
      <w:rFonts w:ascii="黑体" w:hAnsi="Times New Roman" w:eastAsia="黑体" w:cs="Times New Roman"/>
      <w:sz w:val="21"/>
      <w:lang w:val="en-US" w:eastAsia="zh-CN" w:bidi="ar-SA"/>
    </w:rPr>
  </w:style>
  <w:style w:type="paragraph" w:styleId="25">
    <w:name w:val="List Paragraph"/>
    <w:basedOn w:val="1"/>
    <w:qFormat/>
    <w:uiPriority w:val="99"/>
    <w:pPr>
      <w:ind w:firstLine="420" w:firstLineChars="200"/>
    </w:pPr>
  </w:style>
  <w:style w:type="character" w:customStyle="1" w:styleId="26">
    <w:name w:val="日期 Char"/>
    <w:basedOn w:val="15"/>
    <w:link w:val="7"/>
    <w:qFormat/>
    <w:uiPriority w:val="0"/>
    <w:rPr>
      <w:rFonts w:ascii="Calibri" w:hAnsi="Calibri" w:cs="Calibri"/>
      <w:sz w:val="21"/>
      <w:szCs w:val="22"/>
    </w:rPr>
  </w:style>
  <w:style w:type="character" w:customStyle="1" w:styleId="27">
    <w:name w:val="批注框文本 Char"/>
    <w:basedOn w:val="15"/>
    <w:link w:val="8"/>
    <w:semiHidden/>
    <w:qFormat/>
    <w:uiPriority w:val="0"/>
    <w:rPr>
      <w:rFonts w:ascii="Calibri" w:hAnsi="Calibri" w:cs="Calibri"/>
      <w:sz w:val="18"/>
      <w:szCs w:val="18"/>
    </w:rPr>
  </w:style>
  <w:style w:type="character" w:customStyle="1" w:styleId="28">
    <w:name w:val="文档结构图 Char"/>
    <w:basedOn w:val="15"/>
    <w:link w:val="5"/>
    <w:semiHidden/>
    <w:qFormat/>
    <w:uiPriority w:val="0"/>
    <w:rPr>
      <w:rFonts w:ascii="宋体" w:hAnsi="Calibri" w:cs="Calibri"/>
      <w:sz w:val="18"/>
      <w:szCs w:val="18"/>
    </w:rPr>
  </w:style>
  <w:style w:type="character" w:customStyle="1" w:styleId="29">
    <w:name w:val="页脚 Char"/>
    <w:basedOn w:val="15"/>
    <w:link w:val="9"/>
    <w:qFormat/>
    <w:uiPriority w:val="99"/>
    <w:rPr>
      <w:rFonts w:ascii="Calibri" w:hAnsi="Calibri" w:cs="Calibri"/>
      <w:sz w:val="18"/>
      <w:szCs w:val="22"/>
    </w:rPr>
  </w:style>
  <w:style w:type="character" w:customStyle="1" w:styleId="30">
    <w:name w:val="标题 1 Char"/>
    <w:basedOn w:val="15"/>
    <w:link w:val="2"/>
    <w:qFormat/>
    <w:uiPriority w:val="0"/>
    <w:rPr>
      <w:rFonts w:ascii="Calibri" w:hAnsi="Calibri" w:eastAsia="黑体" w:cs="Calibri"/>
      <w:kern w:val="44"/>
      <w:sz w:val="3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numbering" Target="numbering.xml"/><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jpeg"/><Relationship Id="rId12" Type="http://schemas.openxmlformats.org/officeDocument/2006/relationships/image" Target="media/image7.jpeg"/><Relationship Id="rId11" Type="http://schemas.openxmlformats.org/officeDocument/2006/relationships/image" Target="media/image6.jpeg"/><Relationship Id="rId10" Type="http://schemas.openxmlformats.org/officeDocument/2006/relationships/image" Target="media/image5.jpe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383A4-4768-4695-8453-392D29792029}">
  <ds:schemaRefs/>
</ds:datastoreItem>
</file>

<file path=docProps/app.xml><?xml version="1.0" encoding="utf-8"?>
<Properties xmlns="http://schemas.openxmlformats.org/officeDocument/2006/extended-properties" xmlns:vt="http://schemas.openxmlformats.org/officeDocument/2006/docPropsVTypes">
  <Template>Normal</Template>
  <Company>P R C</Company>
  <Pages>20</Pages>
  <Words>1171</Words>
  <Characters>1212</Characters>
  <Lines>80</Lines>
  <Paragraphs>22</Paragraphs>
  <TotalTime>16</TotalTime>
  <ScaleCrop>false</ScaleCrop>
  <LinksUpToDate>false</LinksUpToDate>
  <CharactersWithSpaces>1333</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2026-01-19T02:02:00Z</dcterms:created>
  <dc:creator>毛</dc:creator>
  <cp:lastModifiedBy>xxd</cp:lastModifiedBy>
  <cp:lastPrinted>2026-03-06T08:45:00Z</cp:lastPrinted>
  <dcterms:modified xsi:type="dcterms:W3CDTF">2026-03-31T07:57:36Z</dcterms:modified>
  <dc:title>海南省地方标准</dc:title>
  <cp:revision>178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eyJoZGlkIjoiMTBiMjc2MGQ3ZTI1MWRhZjFlZTIwZjZmYmYxODNmMmUifQ==</vt:lpwstr>
  </property>
  <property fmtid="{D5CDD505-2E9C-101B-9397-08002B2CF9AE}" pid="3" name="KSOProductBuildVer">
    <vt:lpwstr>2052-12.1.0.25225</vt:lpwstr>
  </property>
  <property fmtid="{D5CDD505-2E9C-101B-9397-08002B2CF9AE}" pid="4" name="ICV">
    <vt:lpwstr>B36513FAF7C1494EB88AEB522E4BE893_13</vt:lpwstr>
  </property>
</Properties>
</file>