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52AC26">
      <w:pPr>
        <w:spacing w:line="460" w:lineRule="exact"/>
        <w:ind w:firstLine="420" w:firstLineChars="200"/>
      </w:pPr>
    </w:p>
    <w:p w14:paraId="23FAABDA">
      <w:pPr>
        <w:spacing w:line="460" w:lineRule="exact"/>
        <w:ind w:firstLine="420" w:firstLineChars="200"/>
      </w:pPr>
    </w:p>
    <w:p w14:paraId="1AA30D57">
      <w:pPr>
        <w:spacing w:line="460" w:lineRule="exact"/>
        <w:ind w:firstLine="420" w:firstLineChars="200"/>
      </w:pPr>
    </w:p>
    <w:p w14:paraId="467CCE1D">
      <w:pPr>
        <w:spacing w:line="560" w:lineRule="exact"/>
        <w:rPr>
          <w:rFonts w:hint="eastAsia" w:ascii="方正小标宋简体" w:hAnsi="方正小标宋简体" w:eastAsia="方正小标宋简体" w:cs="方正小标宋简体"/>
          <w:sz w:val="44"/>
          <w:szCs w:val="44"/>
        </w:rPr>
      </w:pPr>
    </w:p>
    <w:p w14:paraId="3CFC194F">
      <w:pPr>
        <w:tabs>
          <w:tab w:val="left" w:pos="2497"/>
          <w:tab w:val="center" w:pos="4213"/>
        </w:tabs>
        <w:spacing w:line="700" w:lineRule="exact"/>
        <w:jc w:val="left"/>
        <w:rPr>
          <w:rFonts w:hint="eastAsia" w:ascii="方正公文小标宋" w:hAnsi="方正公文小标宋" w:eastAsia="方正公文小标宋" w:cs="方正公文小标宋"/>
          <w:sz w:val="44"/>
          <w:szCs w:val="44"/>
        </w:rPr>
      </w:pPr>
    </w:p>
    <w:p w14:paraId="2E63BF52">
      <w:pPr>
        <w:tabs>
          <w:tab w:val="left" w:pos="2497"/>
          <w:tab w:val="center" w:pos="4213"/>
        </w:tabs>
        <w:spacing w:line="700" w:lineRule="exact"/>
        <w:jc w:val="left"/>
        <w:rPr>
          <w:rFonts w:hint="eastAsia" w:ascii="方正公文小标宋" w:hAnsi="方正公文小标宋" w:eastAsia="方正公文小标宋" w:cs="方正公文小标宋"/>
          <w:sz w:val="44"/>
          <w:szCs w:val="44"/>
        </w:rPr>
      </w:pPr>
    </w:p>
    <w:p w14:paraId="43AF7B8A">
      <w:pPr>
        <w:tabs>
          <w:tab w:val="left" w:pos="2497"/>
          <w:tab w:val="center" w:pos="4213"/>
        </w:tabs>
        <w:spacing w:line="700" w:lineRule="exact"/>
        <w:jc w:val="left"/>
        <w:rPr>
          <w:rFonts w:hint="eastAsia" w:ascii="方正公文小标宋" w:hAnsi="方正公文小标宋" w:eastAsia="方正公文小标宋" w:cs="方正公文小标宋"/>
          <w:sz w:val="44"/>
          <w:szCs w:val="44"/>
        </w:rPr>
      </w:pPr>
    </w:p>
    <w:p w14:paraId="3E23334D">
      <w:pPr>
        <w:tabs>
          <w:tab w:val="left" w:pos="2497"/>
          <w:tab w:val="center" w:pos="4213"/>
        </w:tabs>
        <w:spacing w:line="700" w:lineRule="exact"/>
        <w:jc w:val="left"/>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ab/>
      </w:r>
      <w:r>
        <w:rPr>
          <w:rFonts w:hint="eastAsia" w:ascii="方正公文小标宋" w:hAnsi="方正公文小标宋" w:eastAsia="方正公文小标宋" w:cs="方正公文小标宋"/>
          <w:sz w:val="44"/>
          <w:szCs w:val="44"/>
        </w:rPr>
        <w:t>海南省地方标准</w:t>
      </w:r>
    </w:p>
    <w:p w14:paraId="6773E677">
      <w:pPr>
        <w:spacing w:line="700" w:lineRule="exact"/>
        <w:jc w:val="center"/>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《献血者筛选技术规范》</w:t>
      </w:r>
    </w:p>
    <w:p w14:paraId="645D46BC">
      <w:pPr>
        <w:spacing w:line="700" w:lineRule="exact"/>
        <w:jc w:val="center"/>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编制说明</w:t>
      </w:r>
    </w:p>
    <w:p w14:paraId="696F7C87">
      <w:pPr>
        <w:spacing w:line="700" w:lineRule="exact"/>
        <w:jc w:val="center"/>
        <w:rPr>
          <w:rFonts w:hint="eastAsia" w:ascii="方正公文小标宋" w:hAnsi="方正公文小标宋" w:eastAsia="方正公文小标宋" w:cs="方正公文小标宋"/>
          <w:sz w:val="44"/>
          <w:szCs w:val="44"/>
        </w:rPr>
      </w:pPr>
    </w:p>
    <w:p w14:paraId="750925E6">
      <w:pPr>
        <w:spacing w:line="700" w:lineRule="exact"/>
        <w:jc w:val="center"/>
        <w:rPr>
          <w:rFonts w:hint="eastAsia" w:ascii="方正公文小标宋" w:hAnsi="方正公文小标宋" w:eastAsia="方正公文小标宋" w:cs="方正公文小标宋"/>
          <w:sz w:val="28"/>
          <w:szCs w:val="28"/>
        </w:rPr>
      </w:pPr>
      <w:r>
        <w:rPr>
          <w:rFonts w:hint="eastAsia" w:ascii="方正公文小标宋" w:hAnsi="方正公文小标宋" w:eastAsia="方正公文小标宋" w:cs="方正公文小标宋"/>
          <w:sz w:val="28"/>
          <w:szCs w:val="28"/>
        </w:rPr>
        <w:t>（征求意见稿）</w:t>
      </w:r>
    </w:p>
    <w:p w14:paraId="7AFFE71B">
      <w:pPr>
        <w:spacing w:line="460" w:lineRule="exact"/>
        <w:ind w:firstLine="420" w:firstLineChars="200"/>
        <w:rPr>
          <w:rFonts w:ascii="Times New Roman" w:hAnsi="Times New Roman" w:cs="Times New Roman"/>
        </w:rPr>
      </w:pPr>
    </w:p>
    <w:p w14:paraId="4651EF12">
      <w:pPr>
        <w:spacing w:line="460" w:lineRule="exact"/>
        <w:ind w:firstLine="420" w:firstLineChars="200"/>
        <w:rPr>
          <w:rFonts w:ascii="Times New Roman" w:hAnsi="Times New Roman" w:cs="Times New Roman"/>
        </w:rPr>
      </w:pPr>
    </w:p>
    <w:p w14:paraId="504D4D8B">
      <w:pPr>
        <w:spacing w:line="460" w:lineRule="exact"/>
        <w:ind w:firstLine="420" w:firstLineChars="200"/>
        <w:rPr>
          <w:rFonts w:ascii="Times New Roman" w:hAnsi="Times New Roman" w:cs="Times New Roman"/>
        </w:rPr>
      </w:pPr>
    </w:p>
    <w:p w14:paraId="40A4BCB1">
      <w:pPr>
        <w:spacing w:line="460" w:lineRule="exact"/>
        <w:ind w:firstLine="420" w:firstLineChars="200"/>
        <w:rPr>
          <w:rFonts w:ascii="Times New Roman" w:hAnsi="Times New Roman" w:cs="Times New Roman"/>
        </w:rPr>
      </w:pPr>
    </w:p>
    <w:p w14:paraId="0AE79B0F">
      <w:pPr>
        <w:spacing w:line="460" w:lineRule="exact"/>
        <w:ind w:firstLine="420" w:firstLineChars="200"/>
        <w:rPr>
          <w:rFonts w:ascii="Times New Roman" w:hAnsi="Times New Roman" w:cs="Times New Roman"/>
        </w:rPr>
      </w:pPr>
    </w:p>
    <w:p w14:paraId="7234503C">
      <w:pPr>
        <w:spacing w:line="460" w:lineRule="exact"/>
        <w:ind w:firstLine="420" w:firstLineChars="200"/>
        <w:rPr>
          <w:rFonts w:ascii="Times New Roman" w:hAnsi="Times New Roman" w:cs="Times New Roman"/>
        </w:rPr>
      </w:pPr>
    </w:p>
    <w:p w14:paraId="5BF6FA11">
      <w:pPr>
        <w:spacing w:line="460" w:lineRule="exact"/>
        <w:ind w:firstLine="420" w:firstLineChars="200"/>
        <w:rPr>
          <w:rFonts w:ascii="Times New Roman" w:hAnsi="Times New Roman" w:cs="Times New Roman"/>
        </w:rPr>
      </w:pPr>
    </w:p>
    <w:p w14:paraId="2CE44A26">
      <w:pPr>
        <w:spacing w:line="460" w:lineRule="exact"/>
        <w:ind w:firstLine="420" w:firstLineChars="200"/>
        <w:rPr>
          <w:rFonts w:ascii="Times New Roman" w:hAnsi="Times New Roman" w:cs="Times New Roman"/>
        </w:rPr>
      </w:pPr>
    </w:p>
    <w:p w14:paraId="4CFD63D4">
      <w:pPr>
        <w:spacing w:line="460" w:lineRule="exact"/>
        <w:ind w:firstLine="420" w:firstLineChars="200"/>
        <w:rPr>
          <w:rFonts w:ascii="Times New Roman" w:hAnsi="Times New Roman" w:cs="Times New Roman"/>
        </w:rPr>
      </w:pPr>
    </w:p>
    <w:p w14:paraId="2FEB958E">
      <w:pPr>
        <w:spacing w:line="460" w:lineRule="exact"/>
        <w:ind w:firstLine="420" w:firstLineChars="200"/>
        <w:rPr>
          <w:rFonts w:ascii="Times New Roman" w:hAnsi="Times New Roman" w:cs="Times New Roman"/>
        </w:rPr>
      </w:pPr>
    </w:p>
    <w:p w14:paraId="7BD544BF">
      <w:pPr>
        <w:spacing w:line="460" w:lineRule="exact"/>
        <w:ind w:firstLine="420" w:firstLineChars="200"/>
        <w:rPr>
          <w:rFonts w:ascii="Times New Roman" w:hAnsi="Times New Roman" w:cs="Times New Roman"/>
        </w:rPr>
      </w:pPr>
    </w:p>
    <w:p w14:paraId="3FBB3D43">
      <w:pPr>
        <w:spacing w:line="7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2026年</w:t>
      </w:r>
      <w:r>
        <w:rPr>
          <w:rFonts w:hint="eastAsia" w:ascii="方正小标宋简体" w:hAnsi="方正小标宋简体" w:eastAsia="方正小标宋简体" w:cs="方正小标宋简体"/>
          <w:sz w:val="44"/>
          <w:szCs w:val="44"/>
          <w:lang w:val="en-US" w:eastAsia="zh-CN"/>
        </w:rPr>
        <w:t>3</w:t>
      </w:r>
      <w:r>
        <w:rPr>
          <w:rFonts w:hint="eastAsia" w:ascii="方正小标宋简体" w:hAnsi="方正小标宋简体" w:eastAsia="方正小标宋简体" w:cs="方正小标宋简体"/>
          <w:sz w:val="44"/>
          <w:szCs w:val="44"/>
        </w:rPr>
        <w:t>月</w:t>
      </w:r>
    </w:p>
    <w:p w14:paraId="0D2A0025">
      <w:pPr>
        <w:spacing w:line="700" w:lineRule="exact"/>
        <w:jc w:val="center"/>
        <w:rPr>
          <w:rFonts w:hint="eastAsia" w:ascii="宋体" w:hAnsi="宋体" w:cs="宋体"/>
          <w:sz w:val="32"/>
          <w:szCs w:val="32"/>
        </w:rPr>
        <w:sectPr>
          <w:pgSz w:w="11906" w:h="16838"/>
          <w:pgMar w:top="1440" w:right="1800" w:bottom="1440" w:left="1800" w:header="851" w:footer="992" w:gutter="0"/>
          <w:cols w:space="425" w:num="1"/>
          <w:docGrid w:type="lines" w:linePitch="312" w:charSpace="0"/>
        </w:sectPr>
      </w:pPr>
    </w:p>
    <w:sdt>
      <w:sdtPr>
        <w:rPr>
          <w:rFonts w:ascii="宋体" w:hAnsi="宋体" w:eastAsia="宋体" w:cs="Calibri"/>
          <w:sz w:val="36"/>
          <w:szCs w:val="36"/>
          <w:lang w:val="en-US" w:eastAsia="zh-CN" w:bidi="ar-SA"/>
        </w:rPr>
        <w:id w:val="147478692"/>
        <w15:color w:val="DBDBDB"/>
        <w:docPartObj>
          <w:docPartGallery w:val="Table of Contents"/>
          <w:docPartUnique/>
        </w:docPartObj>
      </w:sdtPr>
      <w:sdtEndPr>
        <w:rPr>
          <w:rFonts w:hint="eastAsia" w:ascii="方正小标宋简体" w:hAnsi="方正小标宋简体" w:eastAsia="方正小标宋简体" w:cs="方正小标宋简体"/>
          <w:sz w:val="21"/>
          <w:szCs w:val="44"/>
          <w:lang w:val="en-US" w:eastAsia="zh-CN" w:bidi="ar-SA"/>
        </w:rPr>
      </w:sdtEndPr>
      <w:sdtContent>
        <w:p w14:paraId="369A2208">
          <w:pPr>
            <w:spacing w:before="0" w:beforeLines="0" w:after="0" w:afterLines="0" w:line="240" w:lineRule="auto"/>
            <w:ind w:left="0" w:leftChars="0" w:right="0" w:rightChars="0" w:firstLine="0" w:firstLineChars="0"/>
            <w:jc w:val="center"/>
            <w:rPr>
              <w:sz w:val="36"/>
              <w:szCs w:val="36"/>
            </w:rPr>
          </w:pPr>
          <w:r>
            <w:rPr>
              <w:rFonts w:ascii="宋体" w:hAnsi="宋体" w:eastAsia="宋体"/>
              <w:sz w:val="36"/>
              <w:szCs w:val="36"/>
            </w:rPr>
            <w:t>目录</w:t>
          </w:r>
        </w:p>
        <w:p w14:paraId="2CD789F2">
          <w:pPr>
            <w:pStyle w:val="7"/>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pPr>
          <w:r>
            <w:rPr>
              <w:rFonts w:hint="eastAsia" w:ascii="方正小标宋简体" w:hAnsi="方正小标宋简体" w:eastAsia="方正小标宋简体" w:cs="方正小标宋简体"/>
              <w:sz w:val="21"/>
              <w:szCs w:val="44"/>
              <w:lang w:val="en-US" w:eastAsia="zh-CN" w:bidi="ar-SA"/>
            </w:rPr>
            <w:fldChar w:fldCharType="begin"/>
          </w:r>
          <w:r>
            <w:rPr>
              <w:rFonts w:hint="eastAsia" w:ascii="方正小标宋简体" w:hAnsi="方正小标宋简体" w:eastAsia="方正小标宋简体" w:cs="方正小标宋简体"/>
              <w:sz w:val="21"/>
              <w:szCs w:val="44"/>
              <w:lang w:val="en-US" w:eastAsia="zh-CN" w:bidi="ar-SA"/>
            </w:rPr>
            <w:instrText xml:space="preserve">TOC \o "1-3" \h \u </w:instrText>
          </w:r>
          <w:r>
            <w:rPr>
              <w:rFonts w:hint="eastAsia" w:ascii="方正小标宋简体" w:hAnsi="方正小标宋简体" w:eastAsia="方正小标宋简体" w:cs="方正小标宋简体"/>
              <w:sz w:val="21"/>
              <w:szCs w:val="44"/>
              <w:lang w:val="en-US" w:eastAsia="zh-CN" w:bidi="ar-SA"/>
            </w:rPr>
            <w:fldChar w:fldCharType="separate"/>
          </w:r>
          <w:r>
            <w:rPr>
              <w:rFonts w:hint="eastAsia" w:ascii="方正小标宋简体" w:hAnsi="方正小标宋简体" w:eastAsia="方正小标宋简体" w:cs="方正小标宋简体"/>
              <w:szCs w:val="44"/>
              <w:lang w:val="en-US" w:eastAsia="zh-CN" w:bidi="ar-SA"/>
            </w:rPr>
            <w:fldChar w:fldCharType="begin"/>
          </w:r>
          <w:r>
            <w:rPr>
              <w:rFonts w:hint="eastAsia" w:ascii="方正小标宋简体" w:hAnsi="方正小标宋简体" w:eastAsia="方正小标宋简体" w:cs="方正小标宋简体"/>
              <w:szCs w:val="44"/>
              <w:lang w:val="en-US" w:eastAsia="zh-CN" w:bidi="ar-SA"/>
            </w:rPr>
            <w:instrText xml:space="preserve"> HYPERLINK \l _Toc22116 </w:instrText>
          </w:r>
          <w:r>
            <w:rPr>
              <w:rFonts w:hint="eastAsia" w:ascii="方正小标宋简体" w:hAnsi="方正小标宋简体" w:eastAsia="方正小标宋简体" w:cs="方正小标宋简体"/>
              <w:szCs w:val="44"/>
              <w:lang w:val="en-US" w:eastAsia="zh-CN" w:bidi="ar-SA"/>
            </w:rPr>
            <w:fldChar w:fldCharType="separate"/>
          </w:r>
          <w:r>
            <w:rPr>
              <w:rFonts w:hint="eastAsia" w:ascii="黑体" w:hAnsi="黑体" w:eastAsia="黑体" w:cs="黑体"/>
              <w:szCs w:val="32"/>
            </w:rPr>
            <w:t>一、项目简况</w:t>
          </w:r>
          <w:r>
            <w:tab/>
          </w:r>
          <w:r>
            <w:fldChar w:fldCharType="begin"/>
          </w:r>
          <w:r>
            <w:instrText xml:space="preserve"> PAGEREF _Toc22116 \h </w:instrText>
          </w:r>
          <w:r>
            <w:fldChar w:fldCharType="separate"/>
          </w:r>
          <w:r>
            <w:t>2</w:t>
          </w:r>
          <w:r>
            <w:fldChar w:fldCharType="end"/>
          </w:r>
          <w:r>
            <w:rPr>
              <w:rFonts w:hint="eastAsia" w:ascii="方正小标宋简体" w:hAnsi="方正小标宋简体" w:eastAsia="方正小标宋简体" w:cs="方正小标宋简体"/>
              <w:szCs w:val="44"/>
              <w:lang w:val="en-US" w:eastAsia="zh-CN" w:bidi="ar-SA"/>
            </w:rPr>
            <w:fldChar w:fldCharType="end"/>
          </w:r>
        </w:p>
        <w:p w14:paraId="6F04270C">
          <w:pPr>
            <w:pStyle w:val="7"/>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pPr>
          <w:r>
            <w:rPr>
              <w:rFonts w:hint="eastAsia" w:ascii="方正小标宋简体" w:hAnsi="方正小标宋简体" w:eastAsia="方正小标宋简体" w:cs="方正小标宋简体"/>
              <w:szCs w:val="44"/>
              <w:lang w:val="en-US" w:eastAsia="zh-CN" w:bidi="ar-SA"/>
            </w:rPr>
            <w:fldChar w:fldCharType="begin"/>
          </w:r>
          <w:r>
            <w:rPr>
              <w:rFonts w:hint="eastAsia" w:ascii="方正小标宋简体" w:hAnsi="方正小标宋简体" w:eastAsia="方正小标宋简体" w:cs="方正小标宋简体"/>
              <w:szCs w:val="44"/>
              <w:lang w:val="en-US" w:eastAsia="zh-CN" w:bidi="ar-SA"/>
            </w:rPr>
            <w:instrText xml:space="preserve"> HYPERLINK \l _Toc2530 </w:instrText>
          </w:r>
          <w:r>
            <w:rPr>
              <w:rFonts w:hint="eastAsia" w:ascii="方正小标宋简体" w:hAnsi="方正小标宋简体" w:eastAsia="方正小标宋简体" w:cs="方正小标宋简体"/>
              <w:szCs w:val="44"/>
              <w:lang w:val="en-US" w:eastAsia="zh-CN" w:bidi="ar-SA"/>
            </w:rPr>
            <w:fldChar w:fldCharType="separate"/>
          </w:r>
          <w:r>
            <w:rPr>
              <w:rFonts w:hint="eastAsia" w:ascii="黑体" w:hAnsi="黑体" w:eastAsia="黑体" w:cs="黑体"/>
              <w:szCs w:val="32"/>
            </w:rPr>
            <w:t>二、编制标准的必要性和意义及背景</w:t>
          </w:r>
          <w:r>
            <w:tab/>
          </w:r>
          <w:r>
            <w:fldChar w:fldCharType="begin"/>
          </w:r>
          <w:r>
            <w:instrText xml:space="preserve"> PAGEREF _Toc2530 \h </w:instrText>
          </w:r>
          <w:r>
            <w:fldChar w:fldCharType="separate"/>
          </w:r>
          <w:r>
            <w:t>4</w:t>
          </w:r>
          <w:r>
            <w:fldChar w:fldCharType="end"/>
          </w:r>
          <w:r>
            <w:rPr>
              <w:rFonts w:hint="eastAsia" w:ascii="方正小标宋简体" w:hAnsi="方正小标宋简体" w:eastAsia="方正小标宋简体" w:cs="方正小标宋简体"/>
              <w:szCs w:val="44"/>
              <w:lang w:val="en-US" w:eastAsia="zh-CN" w:bidi="ar-SA"/>
            </w:rPr>
            <w:fldChar w:fldCharType="end"/>
          </w:r>
        </w:p>
        <w:p w14:paraId="68CD6E9C">
          <w:pPr>
            <w:pStyle w:val="7"/>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pPr>
          <w:r>
            <w:rPr>
              <w:rFonts w:hint="eastAsia" w:ascii="方正小标宋简体" w:hAnsi="方正小标宋简体" w:eastAsia="方正小标宋简体" w:cs="方正小标宋简体"/>
              <w:szCs w:val="44"/>
              <w:lang w:val="en-US" w:eastAsia="zh-CN" w:bidi="ar-SA"/>
            </w:rPr>
            <w:fldChar w:fldCharType="begin"/>
          </w:r>
          <w:r>
            <w:rPr>
              <w:rFonts w:hint="eastAsia" w:ascii="方正小标宋简体" w:hAnsi="方正小标宋简体" w:eastAsia="方正小标宋简体" w:cs="方正小标宋简体"/>
              <w:szCs w:val="44"/>
              <w:lang w:val="en-US" w:eastAsia="zh-CN" w:bidi="ar-SA"/>
            </w:rPr>
            <w:instrText xml:space="preserve"> HYPERLINK \l _Toc23972 </w:instrText>
          </w:r>
          <w:r>
            <w:rPr>
              <w:rFonts w:hint="eastAsia" w:ascii="方正小标宋简体" w:hAnsi="方正小标宋简体" w:eastAsia="方正小标宋简体" w:cs="方正小标宋简体"/>
              <w:szCs w:val="44"/>
              <w:lang w:val="en-US" w:eastAsia="zh-CN" w:bidi="ar-SA"/>
            </w:rPr>
            <w:fldChar w:fldCharType="separate"/>
          </w:r>
          <w:r>
            <w:rPr>
              <w:rFonts w:hint="eastAsia" w:ascii="黑体" w:hAnsi="黑体" w:eastAsia="黑体" w:cs="黑体"/>
              <w:szCs w:val="32"/>
            </w:rPr>
            <w:t>三、编制过程简介</w:t>
          </w:r>
          <w:r>
            <w:tab/>
          </w:r>
          <w:r>
            <w:fldChar w:fldCharType="begin"/>
          </w:r>
          <w:r>
            <w:instrText xml:space="preserve"> PAGEREF _Toc23972 \h </w:instrText>
          </w:r>
          <w:r>
            <w:fldChar w:fldCharType="separate"/>
          </w:r>
          <w:r>
            <w:t>7</w:t>
          </w:r>
          <w:r>
            <w:fldChar w:fldCharType="end"/>
          </w:r>
          <w:r>
            <w:rPr>
              <w:rFonts w:hint="eastAsia" w:ascii="方正小标宋简体" w:hAnsi="方正小标宋简体" w:eastAsia="方正小标宋简体" w:cs="方正小标宋简体"/>
              <w:szCs w:val="44"/>
              <w:lang w:val="en-US" w:eastAsia="zh-CN" w:bidi="ar-SA"/>
            </w:rPr>
            <w:fldChar w:fldCharType="end"/>
          </w:r>
        </w:p>
        <w:p w14:paraId="4C408536">
          <w:pPr>
            <w:pStyle w:val="8"/>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pPr>
          <w:r>
            <w:rPr>
              <w:rFonts w:hint="eastAsia" w:ascii="方正小标宋简体" w:hAnsi="方正小标宋简体" w:eastAsia="方正小标宋简体" w:cs="方正小标宋简体"/>
              <w:szCs w:val="44"/>
              <w:lang w:val="en-US" w:eastAsia="zh-CN" w:bidi="ar-SA"/>
            </w:rPr>
            <w:fldChar w:fldCharType="begin"/>
          </w:r>
          <w:r>
            <w:rPr>
              <w:rFonts w:hint="eastAsia" w:ascii="方正小标宋简体" w:hAnsi="方正小标宋简体" w:eastAsia="方正小标宋简体" w:cs="方正小标宋简体"/>
              <w:szCs w:val="44"/>
              <w:lang w:val="en-US" w:eastAsia="zh-CN" w:bidi="ar-SA"/>
            </w:rPr>
            <w:instrText xml:space="preserve"> HYPERLINK \l _Toc13338 </w:instrText>
          </w:r>
          <w:r>
            <w:rPr>
              <w:rFonts w:hint="eastAsia" w:ascii="方正小标宋简体" w:hAnsi="方正小标宋简体" w:eastAsia="方正小标宋简体" w:cs="方正小标宋简体"/>
              <w:szCs w:val="44"/>
              <w:lang w:val="en-US" w:eastAsia="zh-CN" w:bidi="ar-SA"/>
            </w:rPr>
            <w:fldChar w:fldCharType="separate"/>
          </w:r>
          <w:r>
            <w:rPr>
              <w:rFonts w:hint="eastAsia" w:ascii="楷体_GB2312" w:hAnsi="楷体_GB2312" w:eastAsia="楷体_GB2312" w:cs="楷体_GB2312"/>
              <w:szCs w:val="32"/>
            </w:rPr>
            <w:t>（一）</w:t>
          </w:r>
          <w:r>
            <w:rPr>
              <w:rFonts w:ascii="楷体_GB2312" w:hAnsi="楷体_GB2312" w:eastAsia="楷体_GB2312" w:cs="楷体_GB2312"/>
              <w:szCs w:val="32"/>
            </w:rPr>
            <w:t>成立标准起草组</w:t>
          </w:r>
          <w:r>
            <w:tab/>
          </w:r>
          <w:r>
            <w:fldChar w:fldCharType="begin"/>
          </w:r>
          <w:r>
            <w:instrText xml:space="preserve"> PAGEREF _Toc13338 \h </w:instrText>
          </w:r>
          <w:r>
            <w:fldChar w:fldCharType="separate"/>
          </w:r>
          <w:r>
            <w:t>7</w:t>
          </w:r>
          <w:r>
            <w:fldChar w:fldCharType="end"/>
          </w:r>
          <w:r>
            <w:rPr>
              <w:rFonts w:hint="eastAsia" w:ascii="方正小标宋简体" w:hAnsi="方正小标宋简体" w:eastAsia="方正小标宋简体" w:cs="方正小标宋简体"/>
              <w:szCs w:val="44"/>
              <w:lang w:val="en-US" w:eastAsia="zh-CN" w:bidi="ar-SA"/>
            </w:rPr>
            <w:fldChar w:fldCharType="end"/>
          </w:r>
        </w:p>
        <w:p w14:paraId="31335E73">
          <w:pPr>
            <w:pStyle w:val="8"/>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pPr>
          <w:r>
            <w:rPr>
              <w:rFonts w:hint="eastAsia" w:ascii="方正小标宋简体" w:hAnsi="方正小标宋简体" w:eastAsia="方正小标宋简体" w:cs="方正小标宋简体"/>
              <w:szCs w:val="44"/>
              <w:lang w:val="en-US" w:eastAsia="zh-CN" w:bidi="ar-SA"/>
            </w:rPr>
            <w:fldChar w:fldCharType="begin"/>
          </w:r>
          <w:r>
            <w:rPr>
              <w:rFonts w:hint="eastAsia" w:ascii="方正小标宋简体" w:hAnsi="方正小标宋简体" w:eastAsia="方正小标宋简体" w:cs="方正小标宋简体"/>
              <w:szCs w:val="44"/>
              <w:lang w:val="en-US" w:eastAsia="zh-CN" w:bidi="ar-SA"/>
            </w:rPr>
            <w:instrText xml:space="preserve"> HYPERLINK \l _Toc9782 </w:instrText>
          </w:r>
          <w:r>
            <w:rPr>
              <w:rFonts w:hint="eastAsia" w:ascii="方正小标宋简体" w:hAnsi="方正小标宋简体" w:eastAsia="方正小标宋简体" w:cs="方正小标宋简体"/>
              <w:szCs w:val="44"/>
              <w:lang w:val="en-US" w:eastAsia="zh-CN" w:bidi="ar-SA"/>
            </w:rPr>
            <w:fldChar w:fldCharType="separate"/>
          </w:r>
          <w:r>
            <w:rPr>
              <w:rFonts w:hint="eastAsia" w:ascii="楷体_GB2312" w:hAnsi="楷体_GB2312" w:eastAsia="楷体_GB2312" w:cs="楷体_GB2312"/>
              <w:szCs w:val="32"/>
            </w:rPr>
            <w:t>（二）</w:t>
          </w:r>
          <w:r>
            <w:rPr>
              <w:rFonts w:ascii="楷体_GB2312" w:hAnsi="楷体_GB2312" w:eastAsia="楷体_GB2312" w:cs="楷体_GB2312"/>
              <w:szCs w:val="32"/>
            </w:rPr>
            <w:t>标准起草过程</w:t>
          </w:r>
          <w:r>
            <w:tab/>
          </w:r>
          <w:r>
            <w:fldChar w:fldCharType="begin"/>
          </w:r>
          <w:r>
            <w:instrText xml:space="preserve"> PAGEREF _Toc9782 \h </w:instrText>
          </w:r>
          <w:r>
            <w:fldChar w:fldCharType="separate"/>
          </w:r>
          <w:r>
            <w:t>7</w:t>
          </w:r>
          <w:r>
            <w:fldChar w:fldCharType="end"/>
          </w:r>
          <w:r>
            <w:rPr>
              <w:rFonts w:hint="eastAsia" w:ascii="方正小标宋简体" w:hAnsi="方正小标宋简体" w:eastAsia="方正小标宋简体" w:cs="方正小标宋简体"/>
              <w:szCs w:val="44"/>
              <w:lang w:val="en-US" w:eastAsia="zh-CN" w:bidi="ar-SA"/>
            </w:rPr>
            <w:fldChar w:fldCharType="end"/>
          </w:r>
        </w:p>
        <w:p w14:paraId="7D452280">
          <w:pPr>
            <w:pStyle w:val="7"/>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pPr>
          <w:r>
            <w:rPr>
              <w:rFonts w:hint="eastAsia" w:ascii="方正小标宋简体" w:hAnsi="方正小标宋简体" w:eastAsia="方正小标宋简体" w:cs="方正小标宋简体"/>
              <w:szCs w:val="44"/>
              <w:lang w:val="en-US" w:eastAsia="zh-CN" w:bidi="ar-SA"/>
            </w:rPr>
            <w:fldChar w:fldCharType="begin"/>
          </w:r>
          <w:r>
            <w:rPr>
              <w:rFonts w:hint="eastAsia" w:ascii="方正小标宋简体" w:hAnsi="方正小标宋简体" w:eastAsia="方正小标宋简体" w:cs="方正小标宋简体"/>
              <w:szCs w:val="44"/>
              <w:lang w:val="en-US" w:eastAsia="zh-CN" w:bidi="ar-SA"/>
            </w:rPr>
            <w:instrText xml:space="preserve"> HYPERLINK \l _Toc28501 </w:instrText>
          </w:r>
          <w:r>
            <w:rPr>
              <w:rFonts w:hint="eastAsia" w:ascii="方正小标宋简体" w:hAnsi="方正小标宋简体" w:eastAsia="方正小标宋简体" w:cs="方正小标宋简体"/>
              <w:szCs w:val="44"/>
              <w:lang w:val="en-US" w:eastAsia="zh-CN" w:bidi="ar-SA"/>
            </w:rPr>
            <w:fldChar w:fldCharType="separate"/>
          </w:r>
          <w:r>
            <w:rPr>
              <w:rFonts w:hint="eastAsia" w:ascii="黑体" w:hAnsi="黑体" w:eastAsia="黑体" w:cs="黑体"/>
              <w:szCs w:val="32"/>
            </w:rPr>
            <w:t>四、制定标准的原则和依据，与现行法律法规、标准的关系</w:t>
          </w:r>
          <w:r>
            <w:tab/>
          </w:r>
          <w:r>
            <w:fldChar w:fldCharType="begin"/>
          </w:r>
          <w:r>
            <w:instrText xml:space="preserve"> PAGEREF _Toc28501 \h </w:instrText>
          </w:r>
          <w:r>
            <w:fldChar w:fldCharType="separate"/>
          </w:r>
          <w:r>
            <w:t>9</w:t>
          </w:r>
          <w:r>
            <w:fldChar w:fldCharType="end"/>
          </w:r>
          <w:r>
            <w:rPr>
              <w:rFonts w:hint="eastAsia" w:ascii="方正小标宋简体" w:hAnsi="方正小标宋简体" w:eastAsia="方正小标宋简体" w:cs="方正小标宋简体"/>
              <w:szCs w:val="44"/>
              <w:lang w:val="en-US" w:eastAsia="zh-CN" w:bidi="ar-SA"/>
            </w:rPr>
            <w:fldChar w:fldCharType="end"/>
          </w:r>
        </w:p>
        <w:p w14:paraId="46741BAB">
          <w:pPr>
            <w:pStyle w:val="8"/>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pPr>
          <w:r>
            <w:rPr>
              <w:rFonts w:hint="eastAsia" w:ascii="方正小标宋简体" w:hAnsi="方正小标宋简体" w:eastAsia="方正小标宋简体" w:cs="方正小标宋简体"/>
              <w:szCs w:val="44"/>
              <w:lang w:val="en-US" w:eastAsia="zh-CN" w:bidi="ar-SA"/>
            </w:rPr>
            <w:fldChar w:fldCharType="begin"/>
          </w:r>
          <w:r>
            <w:rPr>
              <w:rFonts w:hint="eastAsia" w:ascii="方正小标宋简体" w:hAnsi="方正小标宋简体" w:eastAsia="方正小标宋简体" w:cs="方正小标宋简体"/>
              <w:szCs w:val="44"/>
              <w:lang w:val="en-US" w:eastAsia="zh-CN" w:bidi="ar-SA"/>
            </w:rPr>
            <w:instrText xml:space="preserve"> HYPERLINK \l _Toc30161 </w:instrText>
          </w:r>
          <w:r>
            <w:rPr>
              <w:rFonts w:hint="eastAsia" w:ascii="方正小标宋简体" w:hAnsi="方正小标宋简体" w:eastAsia="方正小标宋简体" w:cs="方正小标宋简体"/>
              <w:szCs w:val="44"/>
              <w:lang w:val="en-US" w:eastAsia="zh-CN" w:bidi="ar-SA"/>
            </w:rPr>
            <w:fldChar w:fldCharType="separate"/>
          </w:r>
          <w:r>
            <w:rPr>
              <w:rFonts w:hint="eastAsia" w:ascii="楷体_GB2312" w:hAnsi="楷体_GB2312" w:eastAsia="楷体_GB2312" w:cs="楷体_GB2312"/>
              <w:szCs w:val="32"/>
            </w:rPr>
            <w:t>（一）制定标准的原则</w:t>
          </w:r>
          <w:r>
            <w:tab/>
          </w:r>
          <w:r>
            <w:fldChar w:fldCharType="begin"/>
          </w:r>
          <w:r>
            <w:instrText xml:space="preserve"> PAGEREF _Toc30161 \h </w:instrText>
          </w:r>
          <w:r>
            <w:fldChar w:fldCharType="separate"/>
          </w:r>
          <w:r>
            <w:t>9</w:t>
          </w:r>
          <w:r>
            <w:fldChar w:fldCharType="end"/>
          </w:r>
          <w:r>
            <w:rPr>
              <w:rFonts w:hint="eastAsia" w:ascii="方正小标宋简体" w:hAnsi="方正小标宋简体" w:eastAsia="方正小标宋简体" w:cs="方正小标宋简体"/>
              <w:szCs w:val="44"/>
              <w:lang w:val="en-US" w:eastAsia="zh-CN" w:bidi="ar-SA"/>
            </w:rPr>
            <w:fldChar w:fldCharType="end"/>
          </w:r>
        </w:p>
        <w:p w14:paraId="0493A746">
          <w:pPr>
            <w:pStyle w:val="8"/>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pPr>
          <w:r>
            <w:rPr>
              <w:rFonts w:hint="eastAsia" w:ascii="方正小标宋简体" w:hAnsi="方正小标宋简体" w:eastAsia="方正小标宋简体" w:cs="方正小标宋简体"/>
              <w:szCs w:val="44"/>
              <w:lang w:val="en-US" w:eastAsia="zh-CN" w:bidi="ar-SA"/>
            </w:rPr>
            <w:fldChar w:fldCharType="begin"/>
          </w:r>
          <w:r>
            <w:rPr>
              <w:rFonts w:hint="eastAsia" w:ascii="方正小标宋简体" w:hAnsi="方正小标宋简体" w:eastAsia="方正小标宋简体" w:cs="方正小标宋简体"/>
              <w:szCs w:val="44"/>
              <w:lang w:val="en-US" w:eastAsia="zh-CN" w:bidi="ar-SA"/>
            </w:rPr>
            <w:instrText xml:space="preserve"> HYPERLINK \l _Toc15426 </w:instrText>
          </w:r>
          <w:r>
            <w:rPr>
              <w:rFonts w:hint="eastAsia" w:ascii="方正小标宋简体" w:hAnsi="方正小标宋简体" w:eastAsia="方正小标宋简体" w:cs="方正小标宋简体"/>
              <w:szCs w:val="44"/>
              <w:lang w:val="en-US" w:eastAsia="zh-CN" w:bidi="ar-SA"/>
            </w:rPr>
            <w:fldChar w:fldCharType="separate"/>
          </w:r>
          <w:r>
            <w:rPr>
              <w:rFonts w:hint="eastAsia" w:ascii="楷体_GB2312" w:hAnsi="楷体_GB2312" w:eastAsia="楷体_GB2312" w:cs="楷体_GB2312"/>
              <w:szCs w:val="32"/>
            </w:rPr>
            <w:t>（二）制定标准的主要依据</w:t>
          </w:r>
          <w:r>
            <w:tab/>
          </w:r>
          <w:r>
            <w:fldChar w:fldCharType="begin"/>
          </w:r>
          <w:r>
            <w:instrText xml:space="preserve"> PAGEREF _Toc15426 \h </w:instrText>
          </w:r>
          <w:r>
            <w:fldChar w:fldCharType="separate"/>
          </w:r>
          <w:r>
            <w:t>10</w:t>
          </w:r>
          <w:r>
            <w:fldChar w:fldCharType="end"/>
          </w:r>
          <w:r>
            <w:rPr>
              <w:rFonts w:hint="eastAsia" w:ascii="方正小标宋简体" w:hAnsi="方正小标宋简体" w:eastAsia="方正小标宋简体" w:cs="方正小标宋简体"/>
              <w:szCs w:val="44"/>
              <w:lang w:val="en-US" w:eastAsia="zh-CN" w:bidi="ar-SA"/>
            </w:rPr>
            <w:fldChar w:fldCharType="end"/>
          </w:r>
        </w:p>
        <w:p w14:paraId="1F77CACF">
          <w:pPr>
            <w:pStyle w:val="5"/>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pPr>
          <w:r>
            <w:rPr>
              <w:rFonts w:hint="eastAsia" w:ascii="方正小标宋简体" w:hAnsi="方正小标宋简体" w:eastAsia="方正小标宋简体" w:cs="方正小标宋简体"/>
              <w:szCs w:val="44"/>
              <w:lang w:val="en-US" w:eastAsia="zh-CN" w:bidi="ar-SA"/>
            </w:rPr>
            <w:fldChar w:fldCharType="begin"/>
          </w:r>
          <w:r>
            <w:rPr>
              <w:rFonts w:hint="eastAsia" w:ascii="方正小标宋简体" w:hAnsi="方正小标宋简体" w:eastAsia="方正小标宋简体" w:cs="方正小标宋简体"/>
              <w:szCs w:val="44"/>
              <w:lang w:val="en-US" w:eastAsia="zh-CN" w:bidi="ar-SA"/>
            </w:rPr>
            <w:instrText xml:space="preserve"> HYPERLINK \l _Toc7410 </w:instrText>
          </w:r>
          <w:r>
            <w:rPr>
              <w:rFonts w:hint="eastAsia" w:ascii="方正小标宋简体" w:hAnsi="方正小标宋简体" w:eastAsia="方正小标宋简体" w:cs="方正小标宋简体"/>
              <w:szCs w:val="44"/>
              <w:lang w:val="en-US" w:eastAsia="zh-CN" w:bidi="ar-SA"/>
            </w:rPr>
            <w:fldChar w:fldCharType="separate"/>
          </w:r>
          <w:r>
            <w:rPr>
              <w:rFonts w:hint="eastAsia" w:ascii="仿宋_GB2312" w:hAnsi="仿宋_GB2312" w:eastAsia="仿宋_GB2312" w:cs="仿宋_GB2312"/>
              <w:szCs w:val="32"/>
            </w:rPr>
            <w:t>1.法律法规及相关政策文件</w:t>
          </w:r>
          <w:r>
            <w:tab/>
          </w:r>
          <w:r>
            <w:fldChar w:fldCharType="begin"/>
          </w:r>
          <w:r>
            <w:instrText xml:space="preserve"> PAGEREF _Toc7410 \h </w:instrText>
          </w:r>
          <w:r>
            <w:fldChar w:fldCharType="separate"/>
          </w:r>
          <w:r>
            <w:t>10</w:t>
          </w:r>
          <w:r>
            <w:fldChar w:fldCharType="end"/>
          </w:r>
          <w:r>
            <w:rPr>
              <w:rFonts w:hint="eastAsia" w:ascii="方正小标宋简体" w:hAnsi="方正小标宋简体" w:eastAsia="方正小标宋简体" w:cs="方正小标宋简体"/>
              <w:szCs w:val="44"/>
              <w:lang w:val="en-US" w:eastAsia="zh-CN" w:bidi="ar-SA"/>
            </w:rPr>
            <w:fldChar w:fldCharType="end"/>
          </w:r>
        </w:p>
        <w:p w14:paraId="611864B4">
          <w:pPr>
            <w:pStyle w:val="5"/>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pPr>
          <w:r>
            <w:rPr>
              <w:rFonts w:hint="eastAsia" w:ascii="方正小标宋简体" w:hAnsi="方正小标宋简体" w:eastAsia="方正小标宋简体" w:cs="方正小标宋简体"/>
              <w:szCs w:val="44"/>
              <w:lang w:val="en-US" w:eastAsia="zh-CN" w:bidi="ar-SA"/>
            </w:rPr>
            <w:fldChar w:fldCharType="begin"/>
          </w:r>
          <w:r>
            <w:rPr>
              <w:rFonts w:hint="eastAsia" w:ascii="方正小标宋简体" w:hAnsi="方正小标宋简体" w:eastAsia="方正小标宋简体" w:cs="方正小标宋简体"/>
              <w:szCs w:val="44"/>
              <w:lang w:val="en-US" w:eastAsia="zh-CN" w:bidi="ar-SA"/>
            </w:rPr>
            <w:instrText xml:space="preserve"> HYPERLINK \l _Toc22988 </w:instrText>
          </w:r>
          <w:r>
            <w:rPr>
              <w:rFonts w:hint="eastAsia" w:ascii="方正小标宋简体" w:hAnsi="方正小标宋简体" w:eastAsia="方正小标宋简体" w:cs="方正小标宋简体"/>
              <w:szCs w:val="44"/>
              <w:lang w:val="en-US" w:eastAsia="zh-CN" w:bidi="ar-SA"/>
            </w:rPr>
            <w:fldChar w:fldCharType="separate"/>
          </w:r>
          <w:r>
            <w:rPr>
              <w:rFonts w:hint="eastAsia" w:ascii="仿宋_GB2312" w:hAnsi="仿宋_GB2312" w:eastAsia="仿宋_GB2312" w:cs="仿宋_GB2312"/>
              <w:szCs w:val="32"/>
            </w:rPr>
            <w:t>2.相关标准</w:t>
          </w:r>
          <w:r>
            <w:tab/>
          </w:r>
          <w:r>
            <w:fldChar w:fldCharType="begin"/>
          </w:r>
          <w:r>
            <w:instrText xml:space="preserve"> PAGEREF _Toc22988 \h </w:instrText>
          </w:r>
          <w:r>
            <w:fldChar w:fldCharType="separate"/>
          </w:r>
          <w:r>
            <w:t>10</w:t>
          </w:r>
          <w:r>
            <w:fldChar w:fldCharType="end"/>
          </w:r>
          <w:r>
            <w:rPr>
              <w:rFonts w:hint="eastAsia" w:ascii="方正小标宋简体" w:hAnsi="方正小标宋简体" w:eastAsia="方正小标宋简体" w:cs="方正小标宋简体"/>
              <w:szCs w:val="44"/>
              <w:lang w:val="en-US" w:eastAsia="zh-CN" w:bidi="ar-SA"/>
            </w:rPr>
            <w:fldChar w:fldCharType="end"/>
          </w:r>
        </w:p>
        <w:p w14:paraId="662CD7D2">
          <w:pPr>
            <w:pStyle w:val="8"/>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pPr>
          <w:r>
            <w:rPr>
              <w:rFonts w:hint="eastAsia" w:ascii="方正小标宋简体" w:hAnsi="方正小标宋简体" w:eastAsia="方正小标宋简体" w:cs="方正小标宋简体"/>
              <w:szCs w:val="44"/>
              <w:lang w:val="en-US" w:eastAsia="zh-CN" w:bidi="ar-SA"/>
            </w:rPr>
            <w:fldChar w:fldCharType="begin"/>
          </w:r>
          <w:r>
            <w:rPr>
              <w:rFonts w:hint="eastAsia" w:ascii="方正小标宋简体" w:hAnsi="方正小标宋简体" w:eastAsia="方正小标宋简体" w:cs="方正小标宋简体"/>
              <w:szCs w:val="44"/>
              <w:lang w:val="en-US" w:eastAsia="zh-CN" w:bidi="ar-SA"/>
            </w:rPr>
            <w:instrText xml:space="preserve"> HYPERLINK \l _Toc21934 </w:instrText>
          </w:r>
          <w:r>
            <w:rPr>
              <w:rFonts w:hint="eastAsia" w:ascii="方正小标宋简体" w:hAnsi="方正小标宋简体" w:eastAsia="方正小标宋简体" w:cs="方正小标宋简体"/>
              <w:szCs w:val="44"/>
              <w:lang w:val="en-US" w:eastAsia="zh-CN" w:bidi="ar-SA"/>
            </w:rPr>
            <w:fldChar w:fldCharType="separate"/>
          </w:r>
          <w:r>
            <w:rPr>
              <w:rFonts w:hint="eastAsia" w:ascii="楷体_GB2312" w:hAnsi="楷体_GB2312" w:eastAsia="楷体_GB2312" w:cs="楷体_GB2312"/>
              <w:szCs w:val="32"/>
            </w:rPr>
            <w:t>（三）与现行法律、法规标准的关系</w:t>
          </w:r>
          <w:r>
            <w:tab/>
          </w:r>
          <w:r>
            <w:fldChar w:fldCharType="begin"/>
          </w:r>
          <w:r>
            <w:instrText xml:space="preserve"> PAGEREF _Toc21934 \h </w:instrText>
          </w:r>
          <w:r>
            <w:fldChar w:fldCharType="separate"/>
          </w:r>
          <w:r>
            <w:t>10</w:t>
          </w:r>
          <w:r>
            <w:fldChar w:fldCharType="end"/>
          </w:r>
          <w:r>
            <w:rPr>
              <w:rFonts w:hint="eastAsia" w:ascii="方正小标宋简体" w:hAnsi="方正小标宋简体" w:eastAsia="方正小标宋简体" w:cs="方正小标宋简体"/>
              <w:szCs w:val="44"/>
              <w:lang w:val="en-US" w:eastAsia="zh-CN" w:bidi="ar-SA"/>
            </w:rPr>
            <w:fldChar w:fldCharType="end"/>
          </w:r>
        </w:p>
        <w:p w14:paraId="389C5E21">
          <w:pPr>
            <w:pStyle w:val="7"/>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pPr>
          <w:r>
            <w:rPr>
              <w:rFonts w:hint="eastAsia" w:ascii="方正小标宋简体" w:hAnsi="方正小标宋简体" w:eastAsia="方正小标宋简体" w:cs="方正小标宋简体"/>
              <w:szCs w:val="44"/>
              <w:lang w:val="en-US" w:eastAsia="zh-CN" w:bidi="ar-SA"/>
            </w:rPr>
            <w:fldChar w:fldCharType="begin"/>
          </w:r>
          <w:r>
            <w:rPr>
              <w:rFonts w:hint="eastAsia" w:ascii="方正小标宋简体" w:hAnsi="方正小标宋简体" w:eastAsia="方正小标宋简体" w:cs="方正小标宋简体"/>
              <w:szCs w:val="44"/>
              <w:lang w:val="en-US" w:eastAsia="zh-CN" w:bidi="ar-SA"/>
            </w:rPr>
            <w:instrText xml:space="preserve"> HYPERLINK \l _Toc7460 </w:instrText>
          </w:r>
          <w:r>
            <w:rPr>
              <w:rFonts w:hint="eastAsia" w:ascii="方正小标宋简体" w:hAnsi="方正小标宋简体" w:eastAsia="方正小标宋简体" w:cs="方正小标宋简体"/>
              <w:szCs w:val="44"/>
              <w:lang w:val="en-US" w:eastAsia="zh-CN" w:bidi="ar-SA"/>
            </w:rPr>
            <w:fldChar w:fldCharType="separate"/>
          </w:r>
          <w:r>
            <w:rPr>
              <w:rFonts w:hint="eastAsia" w:ascii="黑体" w:hAnsi="黑体" w:eastAsia="黑体" w:cs="黑体"/>
              <w:szCs w:val="32"/>
            </w:rPr>
            <w:t>五、主要条款的说明，主要技术指标、参数、试验验证的论述</w:t>
          </w:r>
          <w:r>
            <w:tab/>
          </w:r>
          <w:r>
            <w:fldChar w:fldCharType="begin"/>
          </w:r>
          <w:r>
            <w:instrText xml:space="preserve"> PAGEREF _Toc7460 \h </w:instrText>
          </w:r>
          <w:r>
            <w:fldChar w:fldCharType="separate"/>
          </w:r>
          <w:r>
            <w:t>10</w:t>
          </w:r>
          <w:r>
            <w:fldChar w:fldCharType="end"/>
          </w:r>
          <w:r>
            <w:rPr>
              <w:rFonts w:hint="eastAsia" w:ascii="方正小标宋简体" w:hAnsi="方正小标宋简体" w:eastAsia="方正小标宋简体" w:cs="方正小标宋简体"/>
              <w:szCs w:val="44"/>
              <w:lang w:val="en-US" w:eastAsia="zh-CN" w:bidi="ar-SA"/>
            </w:rPr>
            <w:fldChar w:fldCharType="end"/>
          </w:r>
        </w:p>
        <w:p w14:paraId="0FCF946E">
          <w:pPr>
            <w:pStyle w:val="8"/>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pPr>
          <w:r>
            <w:rPr>
              <w:rFonts w:hint="eastAsia" w:ascii="方正小标宋简体" w:hAnsi="方正小标宋简体" w:eastAsia="方正小标宋简体" w:cs="方正小标宋简体"/>
              <w:szCs w:val="44"/>
              <w:lang w:val="en-US" w:eastAsia="zh-CN" w:bidi="ar-SA"/>
            </w:rPr>
            <w:fldChar w:fldCharType="begin"/>
          </w:r>
          <w:r>
            <w:rPr>
              <w:rFonts w:hint="eastAsia" w:ascii="方正小标宋简体" w:hAnsi="方正小标宋简体" w:eastAsia="方正小标宋简体" w:cs="方正小标宋简体"/>
              <w:szCs w:val="44"/>
              <w:lang w:val="en-US" w:eastAsia="zh-CN" w:bidi="ar-SA"/>
            </w:rPr>
            <w:instrText xml:space="preserve"> HYPERLINK \l _Toc24097 </w:instrText>
          </w:r>
          <w:r>
            <w:rPr>
              <w:rFonts w:hint="eastAsia" w:ascii="方正小标宋简体" w:hAnsi="方正小标宋简体" w:eastAsia="方正小标宋简体" w:cs="方正小标宋简体"/>
              <w:szCs w:val="44"/>
              <w:lang w:val="en-US" w:eastAsia="zh-CN" w:bidi="ar-SA"/>
            </w:rPr>
            <w:fldChar w:fldCharType="separate"/>
          </w:r>
          <w:r>
            <w:rPr>
              <w:rFonts w:hint="eastAsia" w:ascii="楷体_GB2312" w:hAnsi="楷体_GB2312" w:eastAsia="楷体_GB2312" w:cs="楷体_GB2312"/>
              <w:szCs w:val="32"/>
            </w:rPr>
            <w:t>（一）主要条款</w:t>
          </w:r>
          <w:r>
            <w:tab/>
          </w:r>
          <w:r>
            <w:fldChar w:fldCharType="begin"/>
          </w:r>
          <w:r>
            <w:instrText xml:space="preserve"> PAGEREF _Toc24097 \h </w:instrText>
          </w:r>
          <w:r>
            <w:fldChar w:fldCharType="separate"/>
          </w:r>
          <w:r>
            <w:t>11</w:t>
          </w:r>
          <w:r>
            <w:fldChar w:fldCharType="end"/>
          </w:r>
          <w:r>
            <w:rPr>
              <w:rFonts w:hint="eastAsia" w:ascii="方正小标宋简体" w:hAnsi="方正小标宋简体" w:eastAsia="方正小标宋简体" w:cs="方正小标宋简体"/>
              <w:szCs w:val="44"/>
              <w:lang w:val="en-US" w:eastAsia="zh-CN" w:bidi="ar-SA"/>
            </w:rPr>
            <w:fldChar w:fldCharType="end"/>
          </w:r>
        </w:p>
        <w:p w14:paraId="0D8240BB">
          <w:pPr>
            <w:pStyle w:val="8"/>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pPr>
          <w:r>
            <w:rPr>
              <w:rFonts w:hint="eastAsia" w:ascii="方正小标宋简体" w:hAnsi="方正小标宋简体" w:eastAsia="方正小标宋简体" w:cs="方正小标宋简体"/>
              <w:szCs w:val="44"/>
              <w:lang w:val="en-US" w:eastAsia="zh-CN" w:bidi="ar-SA"/>
            </w:rPr>
            <w:fldChar w:fldCharType="begin"/>
          </w:r>
          <w:r>
            <w:rPr>
              <w:rFonts w:hint="eastAsia" w:ascii="方正小标宋简体" w:hAnsi="方正小标宋简体" w:eastAsia="方正小标宋简体" w:cs="方正小标宋简体"/>
              <w:szCs w:val="44"/>
              <w:lang w:val="en-US" w:eastAsia="zh-CN" w:bidi="ar-SA"/>
            </w:rPr>
            <w:instrText xml:space="preserve"> HYPERLINK \l _Toc15096 </w:instrText>
          </w:r>
          <w:r>
            <w:rPr>
              <w:rFonts w:hint="eastAsia" w:ascii="方正小标宋简体" w:hAnsi="方正小标宋简体" w:eastAsia="方正小标宋简体" w:cs="方正小标宋简体"/>
              <w:szCs w:val="44"/>
              <w:lang w:val="en-US" w:eastAsia="zh-CN" w:bidi="ar-SA"/>
            </w:rPr>
            <w:fldChar w:fldCharType="separate"/>
          </w:r>
          <w:r>
            <w:rPr>
              <w:rFonts w:hint="eastAsia" w:ascii="楷体_GB2312" w:hAnsi="楷体_GB2312" w:eastAsia="楷体_GB2312" w:cs="楷体_GB2312"/>
              <w:szCs w:val="32"/>
            </w:rPr>
            <w:t>（二）主要技术条款说明</w:t>
          </w:r>
          <w:r>
            <w:tab/>
          </w:r>
          <w:r>
            <w:fldChar w:fldCharType="begin"/>
          </w:r>
          <w:r>
            <w:instrText xml:space="preserve"> PAGEREF _Toc15096 \h </w:instrText>
          </w:r>
          <w:r>
            <w:fldChar w:fldCharType="separate"/>
          </w:r>
          <w:r>
            <w:t>11</w:t>
          </w:r>
          <w:r>
            <w:fldChar w:fldCharType="end"/>
          </w:r>
          <w:r>
            <w:rPr>
              <w:rFonts w:hint="eastAsia" w:ascii="方正小标宋简体" w:hAnsi="方正小标宋简体" w:eastAsia="方正小标宋简体" w:cs="方正小标宋简体"/>
              <w:szCs w:val="44"/>
              <w:lang w:val="en-US" w:eastAsia="zh-CN" w:bidi="ar-SA"/>
            </w:rPr>
            <w:fldChar w:fldCharType="end"/>
          </w:r>
        </w:p>
        <w:p w14:paraId="2538C266">
          <w:pPr>
            <w:pStyle w:val="7"/>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pPr>
          <w:r>
            <w:rPr>
              <w:rFonts w:hint="eastAsia" w:ascii="方正小标宋简体" w:hAnsi="方正小标宋简体" w:eastAsia="方正小标宋简体" w:cs="方正小标宋简体"/>
              <w:szCs w:val="44"/>
              <w:lang w:val="en-US" w:eastAsia="zh-CN" w:bidi="ar-SA"/>
            </w:rPr>
            <w:fldChar w:fldCharType="begin"/>
          </w:r>
          <w:r>
            <w:rPr>
              <w:rFonts w:hint="eastAsia" w:ascii="方正小标宋简体" w:hAnsi="方正小标宋简体" w:eastAsia="方正小标宋简体" w:cs="方正小标宋简体"/>
              <w:szCs w:val="44"/>
              <w:lang w:val="en-US" w:eastAsia="zh-CN" w:bidi="ar-SA"/>
            </w:rPr>
            <w:instrText xml:space="preserve"> HYPERLINK \l _Toc5005 </w:instrText>
          </w:r>
          <w:r>
            <w:rPr>
              <w:rFonts w:hint="eastAsia" w:ascii="方正小标宋简体" w:hAnsi="方正小标宋简体" w:eastAsia="方正小标宋简体" w:cs="方正小标宋简体"/>
              <w:szCs w:val="44"/>
              <w:lang w:val="en-US" w:eastAsia="zh-CN" w:bidi="ar-SA"/>
            </w:rPr>
            <w:fldChar w:fldCharType="separate"/>
          </w:r>
          <w:r>
            <w:rPr>
              <w:rFonts w:hint="eastAsia" w:ascii="黑体" w:hAnsi="黑体" w:eastAsia="黑体" w:cs="黑体"/>
              <w:szCs w:val="32"/>
            </w:rPr>
            <w:t>六、标准中如果涉及专利，应有明确的知识产权说明</w:t>
          </w:r>
          <w:r>
            <w:tab/>
          </w:r>
          <w:r>
            <w:fldChar w:fldCharType="begin"/>
          </w:r>
          <w:r>
            <w:instrText xml:space="preserve"> PAGEREF _Toc5005 \h </w:instrText>
          </w:r>
          <w:r>
            <w:fldChar w:fldCharType="separate"/>
          </w:r>
          <w:r>
            <w:t>16</w:t>
          </w:r>
          <w:r>
            <w:fldChar w:fldCharType="end"/>
          </w:r>
          <w:r>
            <w:rPr>
              <w:rFonts w:hint="eastAsia" w:ascii="方正小标宋简体" w:hAnsi="方正小标宋简体" w:eastAsia="方正小标宋简体" w:cs="方正小标宋简体"/>
              <w:szCs w:val="44"/>
              <w:lang w:val="en-US" w:eastAsia="zh-CN" w:bidi="ar-SA"/>
            </w:rPr>
            <w:fldChar w:fldCharType="end"/>
          </w:r>
        </w:p>
        <w:p w14:paraId="33AE878D">
          <w:pPr>
            <w:pStyle w:val="7"/>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pPr>
          <w:r>
            <w:rPr>
              <w:rFonts w:hint="eastAsia" w:ascii="方正小标宋简体" w:hAnsi="方正小标宋简体" w:eastAsia="方正小标宋简体" w:cs="方正小标宋简体"/>
              <w:szCs w:val="44"/>
              <w:lang w:val="en-US" w:eastAsia="zh-CN" w:bidi="ar-SA"/>
            </w:rPr>
            <w:fldChar w:fldCharType="begin"/>
          </w:r>
          <w:r>
            <w:rPr>
              <w:rFonts w:hint="eastAsia" w:ascii="方正小标宋简体" w:hAnsi="方正小标宋简体" w:eastAsia="方正小标宋简体" w:cs="方正小标宋简体"/>
              <w:szCs w:val="44"/>
              <w:lang w:val="en-US" w:eastAsia="zh-CN" w:bidi="ar-SA"/>
            </w:rPr>
            <w:instrText xml:space="preserve"> HYPERLINK \l _Toc14067 </w:instrText>
          </w:r>
          <w:r>
            <w:rPr>
              <w:rFonts w:hint="eastAsia" w:ascii="方正小标宋简体" w:hAnsi="方正小标宋简体" w:eastAsia="方正小标宋简体" w:cs="方正小标宋简体"/>
              <w:szCs w:val="44"/>
              <w:lang w:val="en-US" w:eastAsia="zh-CN" w:bidi="ar-SA"/>
            </w:rPr>
            <w:fldChar w:fldCharType="separate"/>
          </w:r>
          <w:r>
            <w:rPr>
              <w:rFonts w:hint="eastAsia" w:ascii="黑体" w:hAnsi="黑体" w:eastAsia="黑体" w:cs="黑体"/>
              <w:szCs w:val="32"/>
            </w:rPr>
            <w:t>七、标准公平性竞争审查</w:t>
          </w:r>
          <w:r>
            <w:tab/>
          </w:r>
          <w:r>
            <w:fldChar w:fldCharType="begin"/>
          </w:r>
          <w:r>
            <w:instrText xml:space="preserve"> PAGEREF _Toc14067 \h </w:instrText>
          </w:r>
          <w:r>
            <w:fldChar w:fldCharType="separate"/>
          </w:r>
          <w:r>
            <w:t>16</w:t>
          </w:r>
          <w:r>
            <w:fldChar w:fldCharType="end"/>
          </w:r>
          <w:r>
            <w:rPr>
              <w:rFonts w:hint="eastAsia" w:ascii="方正小标宋简体" w:hAnsi="方正小标宋简体" w:eastAsia="方正小标宋简体" w:cs="方正小标宋简体"/>
              <w:szCs w:val="44"/>
              <w:lang w:val="en-US" w:eastAsia="zh-CN" w:bidi="ar-SA"/>
            </w:rPr>
            <w:fldChar w:fldCharType="end"/>
          </w:r>
        </w:p>
        <w:p w14:paraId="562143D2">
          <w:pPr>
            <w:pStyle w:val="7"/>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pPr>
          <w:r>
            <w:rPr>
              <w:rFonts w:hint="eastAsia" w:ascii="方正小标宋简体" w:hAnsi="方正小标宋简体" w:eastAsia="方正小标宋简体" w:cs="方正小标宋简体"/>
              <w:szCs w:val="44"/>
              <w:lang w:val="en-US" w:eastAsia="zh-CN" w:bidi="ar-SA"/>
            </w:rPr>
            <w:fldChar w:fldCharType="begin"/>
          </w:r>
          <w:r>
            <w:rPr>
              <w:rFonts w:hint="eastAsia" w:ascii="方正小标宋简体" w:hAnsi="方正小标宋简体" w:eastAsia="方正小标宋简体" w:cs="方正小标宋简体"/>
              <w:szCs w:val="44"/>
              <w:lang w:val="en-US" w:eastAsia="zh-CN" w:bidi="ar-SA"/>
            </w:rPr>
            <w:instrText xml:space="preserve"> HYPERLINK \l _Toc24736 </w:instrText>
          </w:r>
          <w:r>
            <w:rPr>
              <w:rFonts w:hint="eastAsia" w:ascii="方正小标宋简体" w:hAnsi="方正小标宋简体" w:eastAsia="方正小标宋简体" w:cs="方正小标宋简体"/>
              <w:szCs w:val="44"/>
              <w:lang w:val="en-US" w:eastAsia="zh-CN" w:bidi="ar-SA"/>
            </w:rPr>
            <w:fldChar w:fldCharType="separate"/>
          </w:r>
          <w:r>
            <w:rPr>
              <w:rFonts w:hint="eastAsia" w:ascii="黑体" w:hAnsi="黑体" w:eastAsia="黑体" w:cs="黑体"/>
              <w:szCs w:val="32"/>
            </w:rPr>
            <w:t>八、采用国际标准或国外先进标准的，说明采标程度，以及国内外同类标准水平的对比情况。</w:t>
          </w:r>
          <w:r>
            <w:tab/>
          </w:r>
          <w:r>
            <w:fldChar w:fldCharType="begin"/>
          </w:r>
          <w:r>
            <w:instrText xml:space="preserve"> PAGEREF _Toc24736 \h </w:instrText>
          </w:r>
          <w:r>
            <w:fldChar w:fldCharType="separate"/>
          </w:r>
          <w:r>
            <w:t>16</w:t>
          </w:r>
          <w:r>
            <w:fldChar w:fldCharType="end"/>
          </w:r>
          <w:r>
            <w:rPr>
              <w:rFonts w:hint="eastAsia" w:ascii="方正小标宋简体" w:hAnsi="方正小标宋简体" w:eastAsia="方正小标宋简体" w:cs="方正小标宋简体"/>
              <w:szCs w:val="44"/>
              <w:lang w:val="en-US" w:eastAsia="zh-CN" w:bidi="ar-SA"/>
            </w:rPr>
            <w:fldChar w:fldCharType="end"/>
          </w:r>
        </w:p>
        <w:p w14:paraId="1E1E3C46">
          <w:pPr>
            <w:pStyle w:val="7"/>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pPr>
          <w:r>
            <w:rPr>
              <w:rFonts w:hint="eastAsia" w:ascii="方正小标宋简体" w:hAnsi="方正小标宋简体" w:eastAsia="方正小标宋简体" w:cs="方正小标宋简体"/>
              <w:szCs w:val="44"/>
              <w:lang w:val="en-US" w:eastAsia="zh-CN" w:bidi="ar-SA"/>
            </w:rPr>
            <w:fldChar w:fldCharType="begin"/>
          </w:r>
          <w:r>
            <w:rPr>
              <w:rFonts w:hint="eastAsia" w:ascii="方正小标宋简体" w:hAnsi="方正小标宋简体" w:eastAsia="方正小标宋简体" w:cs="方正小标宋简体"/>
              <w:szCs w:val="44"/>
              <w:lang w:val="en-US" w:eastAsia="zh-CN" w:bidi="ar-SA"/>
            </w:rPr>
            <w:instrText xml:space="preserve"> HYPERLINK \l _Toc9519 </w:instrText>
          </w:r>
          <w:r>
            <w:rPr>
              <w:rFonts w:hint="eastAsia" w:ascii="方正小标宋简体" w:hAnsi="方正小标宋简体" w:eastAsia="方正小标宋简体" w:cs="方正小标宋简体"/>
              <w:szCs w:val="44"/>
              <w:lang w:val="en-US" w:eastAsia="zh-CN" w:bidi="ar-SA"/>
            </w:rPr>
            <w:fldChar w:fldCharType="separate"/>
          </w:r>
          <w:r>
            <w:rPr>
              <w:rFonts w:hint="eastAsia" w:ascii="黑体" w:hAnsi="黑体" w:eastAsia="黑体" w:cs="黑体"/>
              <w:szCs w:val="32"/>
            </w:rPr>
            <w:t>九、重大分歧意见的处理依据和结果</w:t>
          </w:r>
          <w:r>
            <w:tab/>
          </w:r>
          <w:r>
            <w:fldChar w:fldCharType="begin"/>
          </w:r>
          <w:r>
            <w:instrText xml:space="preserve"> PAGEREF _Toc9519 \h </w:instrText>
          </w:r>
          <w:r>
            <w:fldChar w:fldCharType="separate"/>
          </w:r>
          <w:r>
            <w:t>16</w:t>
          </w:r>
          <w:r>
            <w:fldChar w:fldCharType="end"/>
          </w:r>
          <w:r>
            <w:rPr>
              <w:rFonts w:hint="eastAsia" w:ascii="方正小标宋简体" w:hAnsi="方正小标宋简体" w:eastAsia="方正小标宋简体" w:cs="方正小标宋简体"/>
              <w:szCs w:val="44"/>
              <w:lang w:val="en-US" w:eastAsia="zh-CN" w:bidi="ar-SA"/>
            </w:rPr>
            <w:fldChar w:fldCharType="end"/>
          </w:r>
        </w:p>
        <w:p w14:paraId="12CA67D4">
          <w:pPr>
            <w:pStyle w:val="7"/>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pPr>
          <w:r>
            <w:rPr>
              <w:rFonts w:hint="eastAsia" w:ascii="方正小标宋简体" w:hAnsi="方正小标宋简体" w:eastAsia="方正小标宋简体" w:cs="方正小标宋简体"/>
              <w:szCs w:val="44"/>
              <w:lang w:val="en-US" w:eastAsia="zh-CN" w:bidi="ar-SA"/>
            </w:rPr>
            <w:fldChar w:fldCharType="begin"/>
          </w:r>
          <w:r>
            <w:rPr>
              <w:rFonts w:hint="eastAsia" w:ascii="方正小标宋简体" w:hAnsi="方正小标宋简体" w:eastAsia="方正小标宋简体" w:cs="方正小标宋简体"/>
              <w:szCs w:val="44"/>
              <w:lang w:val="en-US" w:eastAsia="zh-CN" w:bidi="ar-SA"/>
            </w:rPr>
            <w:instrText xml:space="preserve"> HYPERLINK \l _Toc23340 </w:instrText>
          </w:r>
          <w:r>
            <w:rPr>
              <w:rFonts w:hint="eastAsia" w:ascii="方正小标宋简体" w:hAnsi="方正小标宋简体" w:eastAsia="方正小标宋简体" w:cs="方正小标宋简体"/>
              <w:szCs w:val="44"/>
              <w:lang w:val="en-US" w:eastAsia="zh-CN" w:bidi="ar-SA"/>
            </w:rPr>
            <w:fldChar w:fldCharType="separate"/>
          </w:r>
          <w:r>
            <w:rPr>
              <w:rFonts w:hint="eastAsia" w:ascii="黑体" w:hAnsi="黑体" w:eastAsia="黑体" w:cs="黑体"/>
              <w:szCs w:val="32"/>
            </w:rPr>
            <w:t>十、实施标准的措施建议</w:t>
          </w:r>
          <w:r>
            <w:tab/>
          </w:r>
          <w:r>
            <w:fldChar w:fldCharType="begin"/>
          </w:r>
          <w:r>
            <w:instrText xml:space="preserve"> PAGEREF _Toc23340 \h </w:instrText>
          </w:r>
          <w:r>
            <w:fldChar w:fldCharType="separate"/>
          </w:r>
          <w:r>
            <w:t>16</w:t>
          </w:r>
          <w:r>
            <w:fldChar w:fldCharType="end"/>
          </w:r>
          <w:r>
            <w:rPr>
              <w:rFonts w:hint="eastAsia" w:ascii="方正小标宋简体" w:hAnsi="方正小标宋简体" w:eastAsia="方正小标宋简体" w:cs="方正小标宋简体"/>
              <w:szCs w:val="44"/>
              <w:lang w:val="en-US" w:eastAsia="zh-CN" w:bidi="ar-SA"/>
            </w:rPr>
            <w:fldChar w:fldCharType="end"/>
          </w:r>
        </w:p>
        <w:p w14:paraId="5E6BCFF3">
          <w:pPr>
            <w:pStyle w:val="7"/>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pPr>
          <w:r>
            <w:rPr>
              <w:rFonts w:hint="eastAsia" w:ascii="方正小标宋简体" w:hAnsi="方正小标宋简体" w:eastAsia="方正小标宋简体" w:cs="方正小标宋简体"/>
              <w:szCs w:val="44"/>
              <w:lang w:val="en-US" w:eastAsia="zh-CN" w:bidi="ar-SA"/>
            </w:rPr>
            <w:fldChar w:fldCharType="begin"/>
          </w:r>
          <w:r>
            <w:rPr>
              <w:rFonts w:hint="eastAsia" w:ascii="方正小标宋简体" w:hAnsi="方正小标宋简体" w:eastAsia="方正小标宋简体" w:cs="方正小标宋简体"/>
              <w:szCs w:val="44"/>
              <w:lang w:val="en-US" w:eastAsia="zh-CN" w:bidi="ar-SA"/>
            </w:rPr>
            <w:instrText xml:space="preserve"> HYPERLINK \l _Toc5353 </w:instrText>
          </w:r>
          <w:r>
            <w:rPr>
              <w:rFonts w:hint="eastAsia" w:ascii="方正小标宋简体" w:hAnsi="方正小标宋简体" w:eastAsia="方正小标宋简体" w:cs="方正小标宋简体"/>
              <w:szCs w:val="44"/>
              <w:lang w:val="en-US" w:eastAsia="zh-CN" w:bidi="ar-SA"/>
            </w:rPr>
            <w:fldChar w:fldCharType="separate"/>
          </w:r>
          <w:r>
            <w:rPr>
              <w:rFonts w:hint="eastAsia" w:ascii="黑体" w:hAnsi="黑体" w:eastAsia="黑体" w:cs="黑体"/>
              <w:szCs w:val="32"/>
            </w:rPr>
            <w:t>十一、预期效果</w:t>
          </w:r>
          <w:r>
            <w:tab/>
          </w:r>
          <w:r>
            <w:fldChar w:fldCharType="begin"/>
          </w:r>
          <w:r>
            <w:instrText xml:space="preserve"> PAGEREF _Toc5353 \h </w:instrText>
          </w:r>
          <w:r>
            <w:fldChar w:fldCharType="separate"/>
          </w:r>
          <w:r>
            <w:t>19</w:t>
          </w:r>
          <w:r>
            <w:fldChar w:fldCharType="end"/>
          </w:r>
          <w:r>
            <w:rPr>
              <w:rFonts w:hint="eastAsia" w:ascii="方正小标宋简体" w:hAnsi="方正小标宋简体" w:eastAsia="方正小标宋简体" w:cs="方正小标宋简体"/>
              <w:szCs w:val="44"/>
              <w:lang w:val="en-US" w:eastAsia="zh-CN" w:bidi="ar-SA"/>
            </w:rPr>
            <w:fldChar w:fldCharType="end"/>
          </w:r>
        </w:p>
        <w:p w14:paraId="13F56103">
          <w:pPr>
            <w:pStyle w:val="7"/>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pPr>
          <w:r>
            <w:rPr>
              <w:rFonts w:hint="eastAsia" w:ascii="方正小标宋简体" w:hAnsi="方正小标宋简体" w:eastAsia="方正小标宋简体" w:cs="方正小标宋简体"/>
              <w:szCs w:val="44"/>
              <w:lang w:val="en-US" w:eastAsia="zh-CN" w:bidi="ar-SA"/>
            </w:rPr>
            <w:fldChar w:fldCharType="begin"/>
          </w:r>
          <w:r>
            <w:rPr>
              <w:rFonts w:hint="eastAsia" w:ascii="方正小标宋简体" w:hAnsi="方正小标宋简体" w:eastAsia="方正小标宋简体" w:cs="方正小标宋简体"/>
              <w:szCs w:val="44"/>
              <w:lang w:val="en-US" w:eastAsia="zh-CN" w:bidi="ar-SA"/>
            </w:rPr>
            <w:instrText xml:space="preserve"> HYPERLINK \l _Toc24715 </w:instrText>
          </w:r>
          <w:r>
            <w:rPr>
              <w:rFonts w:hint="eastAsia" w:ascii="方正小标宋简体" w:hAnsi="方正小标宋简体" w:eastAsia="方正小标宋简体" w:cs="方正小标宋简体"/>
              <w:szCs w:val="44"/>
              <w:lang w:val="en-US" w:eastAsia="zh-CN" w:bidi="ar-SA"/>
            </w:rPr>
            <w:fldChar w:fldCharType="separate"/>
          </w:r>
          <w:r>
            <w:rPr>
              <w:rFonts w:hint="eastAsia" w:ascii="黑体" w:hAnsi="黑体" w:eastAsia="黑体" w:cs="黑体"/>
              <w:szCs w:val="32"/>
            </w:rPr>
            <w:t>十二、其他应予说明的事项</w:t>
          </w:r>
          <w:r>
            <w:tab/>
          </w:r>
          <w:r>
            <w:fldChar w:fldCharType="begin"/>
          </w:r>
          <w:r>
            <w:instrText xml:space="preserve"> PAGEREF _Toc24715 \h </w:instrText>
          </w:r>
          <w:r>
            <w:fldChar w:fldCharType="separate"/>
          </w:r>
          <w:r>
            <w:t>19</w:t>
          </w:r>
          <w:r>
            <w:fldChar w:fldCharType="end"/>
          </w:r>
          <w:r>
            <w:rPr>
              <w:rFonts w:hint="eastAsia" w:ascii="方正小标宋简体" w:hAnsi="方正小标宋简体" w:eastAsia="方正小标宋简体" w:cs="方正小标宋简体"/>
              <w:szCs w:val="44"/>
              <w:lang w:val="en-US" w:eastAsia="zh-CN" w:bidi="ar-SA"/>
            </w:rPr>
            <w:fldChar w:fldCharType="end"/>
          </w:r>
        </w:p>
        <w:p w14:paraId="585ACDED">
          <w:pPr>
            <w:keepNext w:val="0"/>
            <w:keepLines w:val="0"/>
            <w:pageBreakBefore w:val="0"/>
            <w:widowControl w:val="0"/>
            <w:kinsoku/>
            <w:wordWrap/>
            <w:overflowPunct/>
            <w:topLinePunct w:val="0"/>
            <w:autoSpaceDE/>
            <w:autoSpaceDN/>
            <w:bidi w:val="0"/>
            <w:adjustRightInd/>
            <w:snapToGrid/>
            <w:spacing w:line="400" w:lineRule="exact"/>
            <w:jc w:val="both"/>
            <w:textAlignment w:val="auto"/>
          </w:pPr>
          <w:r>
            <w:rPr>
              <w:rFonts w:hint="eastAsia" w:ascii="方正小标宋简体" w:hAnsi="方正小标宋简体" w:eastAsia="方正小标宋简体" w:cs="方正小标宋简体"/>
              <w:szCs w:val="44"/>
              <w:lang w:val="en-US" w:eastAsia="zh-CN" w:bidi="ar-SA"/>
            </w:rPr>
            <w:fldChar w:fldCharType="end"/>
          </w:r>
        </w:p>
      </w:sdtContent>
    </w:sdt>
    <w:p w14:paraId="32E20F9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小标宋简体" w:hAnsi="方正小标宋简体" w:eastAsia="方正小标宋简体" w:cs="方正小标宋简体"/>
          <w:sz w:val="21"/>
          <w:szCs w:val="44"/>
          <w:lang w:val="en-US" w:eastAsia="zh-CN" w:bidi="ar-SA"/>
        </w:rPr>
      </w:pPr>
    </w:p>
    <w:p w14:paraId="2460F4B1">
      <w:pPr>
        <w:rPr>
          <w:rFonts w:hint="eastAsia" w:ascii="方正小标宋简体" w:hAnsi="方正小标宋简体" w:eastAsia="方正小标宋简体" w:cs="方正小标宋简体"/>
          <w:sz w:val="21"/>
          <w:szCs w:val="44"/>
          <w:lang w:val="en-US" w:eastAsia="zh-CN" w:bidi="ar-SA"/>
        </w:rPr>
      </w:pPr>
      <w:r>
        <w:rPr>
          <w:rFonts w:hint="eastAsia" w:ascii="方正小标宋简体" w:hAnsi="方正小标宋简体" w:eastAsia="方正小标宋简体" w:cs="方正小标宋简体"/>
          <w:sz w:val="21"/>
          <w:szCs w:val="44"/>
          <w:lang w:val="en-US" w:eastAsia="zh-CN" w:bidi="ar-SA"/>
        </w:rPr>
        <w:br w:type="page"/>
      </w:r>
    </w:p>
    <w:p w14:paraId="3A2A0E61">
      <w:pPr>
        <w:spacing w:line="7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海南省地方标准</w:t>
      </w:r>
    </w:p>
    <w:p w14:paraId="7A7680CB">
      <w:pPr>
        <w:spacing w:line="7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《献血者筛选技术规范》</w:t>
      </w:r>
    </w:p>
    <w:p w14:paraId="2F37D89E">
      <w:pPr>
        <w:spacing w:line="7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编制说明</w:t>
      </w:r>
    </w:p>
    <w:p w14:paraId="0C7DFC65">
      <w:pPr>
        <w:spacing w:line="600" w:lineRule="exact"/>
        <w:ind w:firstLine="640" w:firstLineChars="200"/>
        <w:outlineLvl w:val="0"/>
        <w:rPr>
          <w:rFonts w:ascii="Times New Roman" w:hAnsi="Times New Roman" w:cs="Times New Roman"/>
          <w:b/>
          <w:bCs/>
          <w:sz w:val="24"/>
          <w:szCs w:val="24"/>
        </w:rPr>
      </w:pPr>
      <w:bookmarkStart w:id="0" w:name="_Toc22116"/>
      <w:r>
        <w:rPr>
          <w:rFonts w:hint="eastAsia" w:ascii="黑体" w:hAnsi="黑体" w:eastAsia="黑体" w:cs="黑体"/>
          <w:sz w:val="32"/>
          <w:szCs w:val="32"/>
        </w:rPr>
        <w:t>一、项目简况</w:t>
      </w:r>
      <w:bookmarkEnd w:id="0"/>
    </w:p>
    <w:p w14:paraId="58485DBF">
      <w:pPr>
        <w:spacing w:line="56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（一）标准名称：</w:t>
      </w:r>
      <w:r>
        <w:rPr>
          <w:rFonts w:hint="eastAsia" w:ascii="仿宋_GB2312" w:hAnsi="仿宋_GB2312" w:eastAsia="仿宋_GB2312" w:cs="仿宋_GB2312"/>
          <w:sz w:val="32"/>
          <w:szCs w:val="32"/>
        </w:rPr>
        <w:t>《献血者筛选技术规范》</w:t>
      </w:r>
    </w:p>
    <w:p w14:paraId="6B4144EC">
      <w:pPr>
        <w:spacing w:line="56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（二）任务来源（项目计划号）：</w:t>
      </w:r>
      <w:r>
        <w:rPr>
          <w:rFonts w:hint="eastAsia" w:ascii="仿宋_GB2312" w:hAnsi="仿宋_GB2312" w:eastAsia="仿宋_GB2312" w:cs="仿宋_GB2312"/>
          <w:sz w:val="32"/>
          <w:szCs w:val="32"/>
        </w:rPr>
        <w:t>海南省市场监督管理局关于2025年度第一批拟立项地方标准项目的公示（项目计划号：</w:t>
      </w:r>
      <w:r>
        <w:rPr>
          <w:rFonts w:ascii="仿宋_GB2312" w:hAnsi="仿宋_GB2312" w:eastAsia="仿宋_GB2312" w:cs="仿宋_GB2312"/>
          <w:sz w:val="32"/>
          <w:szCs w:val="32"/>
        </w:rPr>
        <w:t>2025-Z</w:t>
      </w:r>
      <w:r>
        <w:rPr>
          <w:rFonts w:hint="eastAsia" w:ascii="仿宋_GB2312" w:hAnsi="仿宋_GB2312" w:eastAsia="仿宋_GB2312" w:cs="仿宋_GB2312"/>
          <w:sz w:val="32"/>
          <w:szCs w:val="32"/>
        </w:rPr>
        <w:t>010）</w:t>
      </w:r>
    </w:p>
    <w:p w14:paraId="41FDF816">
      <w:pPr>
        <w:spacing w:line="56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（三）起草单位：</w:t>
      </w:r>
      <w:r>
        <w:rPr>
          <w:rFonts w:hint="eastAsia" w:ascii="仿宋_GB2312" w:hAnsi="仿宋_GB2312" w:eastAsia="仿宋_GB2312" w:cs="仿宋_GB2312"/>
          <w:sz w:val="32"/>
          <w:szCs w:val="32"/>
        </w:rPr>
        <w:t>海南省血液中心</w:t>
      </w:r>
    </w:p>
    <w:p w14:paraId="472342A0">
      <w:p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（四）单位地址：</w:t>
      </w:r>
      <w:r>
        <w:rPr>
          <w:rFonts w:hint="eastAsia" w:ascii="仿宋_GB2312" w:hAnsi="仿宋_GB2312" w:eastAsia="仿宋_GB2312" w:cs="仿宋_GB2312"/>
          <w:sz w:val="32"/>
          <w:szCs w:val="32"/>
        </w:rPr>
        <w:t>海口市秀英区美俗路16号</w:t>
      </w:r>
    </w:p>
    <w:p w14:paraId="2EBFDDC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楷体_GB2312" w:hAnsi="楷体_GB2312" w:eastAsia="楷体_GB2312" w:cs="楷体_GB2312"/>
          <w:sz w:val="32"/>
          <w:szCs w:val="32"/>
        </w:rPr>
        <w:t>五</w:t>
      </w:r>
      <w:r>
        <w:rPr>
          <w:rFonts w:hint="eastAsia" w:ascii="仿宋_GB2312" w:hAnsi="仿宋_GB2312" w:eastAsia="仿宋_GB2312" w:cs="仿宋_GB2312"/>
          <w:sz w:val="32"/>
          <w:szCs w:val="32"/>
        </w:rPr>
        <w:t>）</w:t>
      </w:r>
      <w:r>
        <w:rPr>
          <w:rFonts w:hint="eastAsia" w:ascii="楷体_GB2312" w:hAnsi="楷体_GB2312" w:eastAsia="楷体_GB2312" w:cs="楷体_GB2312"/>
          <w:sz w:val="32"/>
          <w:szCs w:val="32"/>
        </w:rPr>
        <w:t>参与单位</w:t>
      </w:r>
      <w:r>
        <w:rPr>
          <w:rFonts w:hint="eastAsia" w:ascii="仿宋_GB2312" w:hAnsi="仿宋_GB2312" w:eastAsia="仿宋_GB2312" w:cs="仿宋_GB2312"/>
          <w:sz w:val="32"/>
          <w:szCs w:val="32"/>
        </w:rPr>
        <w:t>：中国人民解放军总医院海南医院、中国人民解放军联勤保障部队第九二八医院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海南省标准化协会</w:t>
      </w:r>
    </w:p>
    <w:p w14:paraId="07CEE5BE">
      <w:p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六</w:t>
      </w:r>
      <w:r>
        <w:rPr>
          <w:rFonts w:hint="eastAsia" w:ascii="楷体_GB2312" w:hAnsi="楷体_GB2312" w:eastAsia="楷体_GB2312" w:cs="楷体_GB2312"/>
          <w:sz w:val="32"/>
          <w:szCs w:val="32"/>
        </w:rPr>
        <w:t>）主要起草人信息、任务分工：</w:t>
      </w:r>
    </w:p>
    <w:p w14:paraId="27505436">
      <w:pPr>
        <w:spacing w:after="156" w:afterLines="50" w:line="560" w:lineRule="exact"/>
        <w:ind w:firstLine="640" w:firstLineChars="200"/>
        <w:jc w:val="center"/>
        <w:rPr>
          <w:rFonts w:hint="eastAsia" w:ascii="楷体_GB2312" w:hAnsi="楷体_GB2312" w:eastAsia="楷体_GB2312" w:cs="楷体_GB2312"/>
          <w:sz w:val="32"/>
          <w:szCs w:val="32"/>
        </w:rPr>
      </w:pPr>
      <w:r>
        <w:rPr>
          <w:rFonts w:hint="eastAsia" w:ascii="黑体" w:hAnsi="黑体" w:eastAsia="黑体" w:cs="黑体"/>
          <w:sz w:val="32"/>
          <w:szCs w:val="32"/>
        </w:rPr>
        <w:t>表1  主要起草人员信息及任务分工</w:t>
      </w:r>
    </w:p>
    <w:tbl>
      <w:tblPr>
        <w:tblStyle w:val="9"/>
        <w:tblpPr w:leftFromText="180" w:rightFromText="180" w:vertAnchor="text" w:horzAnchor="page" w:tblpX="957" w:tblpY="194"/>
        <w:tblW w:w="10060" w:type="dxa"/>
        <w:tblInd w:w="0" w:type="dxa"/>
        <w:tblLayout w:type="autofit"/>
        <w:tblCellMar>
          <w:top w:w="0" w:type="dxa"/>
          <w:left w:w="10" w:type="dxa"/>
          <w:bottom w:w="0" w:type="dxa"/>
          <w:right w:w="10" w:type="dxa"/>
        </w:tblCellMar>
      </w:tblPr>
      <w:tblGrid>
        <w:gridCol w:w="875"/>
        <w:gridCol w:w="1279"/>
        <w:gridCol w:w="3165"/>
        <w:gridCol w:w="2189"/>
        <w:gridCol w:w="2552"/>
      </w:tblGrid>
      <w:tr w14:paraId="44171698">
        <w:tblPrEx>
          <w:tblCellMar>
            <w:top w:w="0" w:type="dxa"/>
            <w:left w:w="10" w:type="dxa"/>
            <w:bottom w:w="0" w:type="dxa"/>
            <w:right w:w="10" w:type="dxa"/>
          </w:tblCellMar>
        </w:tblPrEx>
        <w:trPr>
          <w:trHeight w:val="454" w:hRule="atLeast"/>
        </w:trPr>
        <w:tc>
          <w:tcPr>
            <w:tcW w:w="875" w:type="dxa"/>
            <w:tcBorders>
              <w:top w:val="single" w:color="auto" w:sz="4" w:space="0"/>
              <w:left w:val="single" w:color="auto" w:sz="4" w:space="0"/>
              <w:bottom w:val="single" w:color="auto" w:sz="4" w:space="0"/>
              <w:right w:val="single" w:color="auto" w:sz="4" w:space="0"/>
            </w:tcBorders>
            <w:vAlign w:val="center"/>
          </w:tcPr>
          <w:p w14:paraId="4FBB5935">
            <w:pPr>
              <w:jc w:val="center"/>
              <w:rPr>
                <w:rFonts w:hint="eastAsia" w:ascii="黑体" w:hAnsi="黑体" w:eastAsia="黑体" w:cs="黑体"/>
                <w:sz w:val="24"/>
                <w:szCs w:val="24"/>
              </w:rPr>
            </w:pPr>
            <w:r>
              <w:rPr>
                <w:rFonts w:hint="eastAsia" w:ascii="黑体" w:hAnsi="黑体" w:eastAsia="黑体" w:cs="黑体"/>
                <w:sz w:val="24"/>
                <w:szCs w:val="24"/>
              </w:rPr>
              <w:t>序号</w:t>
            </w:r>
          </w:p>
        </w:tc>
        <w:tc>
          <w:tcPr>
            <w:tcW w:w="1279" w:type="dxa"/>
            <w:tcBorders>
              <w:top w:val="single" w:color="auto" w:sz="4" w:space="0"/>
              <w:left w:val="single" w:color="auto" w:sz="4" w:space="0"/>
              <w:bottom w:val="single" w:color="auto" w:sz="4" w:space="0"/>
              <w:right w:val="single" w:color="auto" w:sz="4" w:space="0"/>
            </w:tcBorders>
            <w:vAlign w:val="center"/>
          </w:tcPr>
          <w:p w14:paraId="615A2BEE">
            <w:pPr>
              <w:jc w:val="center"/>
              <w:rPr>
                <w:rFonts w:hint="eastAsia" w:ascii="黑体" w:hAnsi="黑体" w:eastAsia="黑体" w:cs="黑体"/>
                <w:sz w:val="24"/>
                <w:szCs w:val="24"/>
              </w:rPr>
            </w:pPr>
            <w:r>
              <w:rPr>
                <w:rFonts w:hint="eastAsia" w:ascii="黑体" w:hAnsi="黑体" w:eastAsia="黑体" w:cs="黑体"/>
                <w:sz w:val="24"/>
                <w:szCs w:val="24"/>
              </w:rPr>
              <w:t>姓名</w:t>
            </w:r>
          </w:p>
        </w:tc>
        <w:tc>
          <w:tcPr>
            <w:tcW w:w="3165" w:type="dxa"/>
            <w:tcBorders>
              <w:top w:val="single" w:color="auto" w:sz="4" w:space="0"/>
              <w:left w:val="single" w:color="auto" w:sz="4" w:space="0"/>
              <w:bottom w:val="single" w:color="auto" w:sz="4" w:space="0"/>
              <w:right w:val="single" w:color="auto" w:sz="4" w:space="0"/>
            </w:tcBorders>
            <w:vAlign w:val="center"/>
          </w:tcPr>
          <w:p w14:paraId="5B5435F5">
            <w:pPr>
              <w:jc w:val="center"/>
              <w:rPr>
                <w:rFonts w:hint="eastAsia" w:ascii="黑体" w:hAnsi="黑体" w:eastAsia="黑体" w:cs="黑体"/>
                <w:sz w:val="24"/>
                <w:szCs w:val="24"/>
              </w:rPr>
            </w:pPr>
            <w:r>
              <w:rPr>
                <w:rFonts w:hint="eastAsia" w:ascii="黑体" w:hAnsi="黑体" w:eastAsia="黑体" w:cs="黑体"/>
                <w:sz w:val="24"/>
                <w:szCs w:val="24"/>
              </w:rPr>
              <w:t>单位</w:t>
            </w:r>
          </w:p>
        </w:tc>
        <w:tc>
          <w:tcPr>
            <w:tcW w:w="2189" w:type="dxa"/>
            <w:tcBorders>
              <w:top w:val="single" w:color="auto" w:sz="4" w:space="0"/>
              <w:left w:val="single" w:color="auto" w:sz="4" w:space="0"/>
              <w:bottom w:val="single" w:color="auto" w:sz="4" w:space="0"/>
              <w:right w:val="single" w:color="auto" w:sz="4" w:space="0"/>
            </w:tcBorders>
            <w:vAlign w:val="center"/>
          </w:tcPr>
          <w:p w14:paraId="48A6D271">
            <w:pPr>
              <w:jc w:val="center"/>
              <w:rPr>
                <w:rFonts w:hint="eastAsia" w:ascii="黑体" w:hAnsi="黑体" w:eastAsia="黑体" w:cs="黑体"/>
                <w:sz w:val="24"/>
                <w:szCs w:val="24"/>
              </w:rPr>
            </w:pPr>
            <w:r>
              <w:rPr>
                <w:rFonts w:hint="eastAsia" w:ascii="黑体" w:hAnsi="黑体" w:eastAsia="黑体" w:cs="黑体"/>
                <w:sz w:val="24"/>
                <w:szCs w:val="24"/>
              </w:rPr>
              <w:t>职务</w:t>
            </w:r>
          </w:p>
        </w:tc>
        <w:tc>
          <w:tcPr>
            <w:tcW w:w="2552" w:type="dxa"/>
            <w:tcBorders>
              <w:top w:val="single" w:color="auto" w:sz="4" w:space="0"/>
              <w:left w:val="single" w:color="auto" w:sz="4" w:space="0"/>
              <w:bottom w:val="single" w:color="auto" w:sz="4" w:space="0"/>
              <w:right w:val="single" w:color="auto" w:sz="4" w:space="0"/>
            </w:tcBorders>
            <w:vAlign w:val="center"/>
          </w:tcPr>
          <w:p w14:paraId="42E41C1B">
            <w:pPr>
              <w:jc w:val="center"/>
              <w:rPr>
                <w:rFonts w:hint="eastAsia" w:ascii="黑体" w:hAnsi="黑体" w:eastAsia="黑体" w:cs="黑体"/>
                <w:sz w:val="24"/>
                <w:szCs w:val="24"/>
              </w:rPr>
            </w:pPr>
            <w:r>
              <w:rPr>
                <w:rFonts w:hint="eastAsia" w:ascii="黑体" w:hAnsi="黑体" w:eastAsia="黑体" w:cs="黑体"/>
                <w:sz w:val="24"/>
                <w:szCs w:val="24"/>
              </w:rPr>
              <w:t>任务分工</w:t>
            </w:r>
          </w:p>
        </w:tc>
      </w:tr>
      <w:tr w14:paraId="3F022BA7">
        <w:tblPrEx>
          <w:tblCellMar>
            <w:top w:w="0" w:type="dxa"/>
            <w:left w:w="10" w:type="dxa"/>
            <w:bottom w:w="0" w:type="dxa"/>
            <w:right w:w="10" w:type="dxa"/>
          </w:tblCellMar>
        </w:tblPrEx>
        <w:trPr>
          <w:trHeight w:val="454" w:hRule="atLeast"/>
        </w:trPr>
        <w:tc>
          <w:tcPr>
            <w:tcW w:w="875" w:type="dxa"/>
            <w:tcBorders>
              <w:top w:val="single" w:color="auto" w:sz="4" w:space="0"/>
              <w:left w:val="single" w:color="auto" w:sz="4" w:space="0"/>
              <w:bottom w:val="single" w:color="auto" w:sz="4" w:space="0"/>
              <w:right w:val="single" w:color="auto" w:sz="4" w:space="0"/>
            </w:tcBorders>
            <w:vAlign w:val="center"/>
          </w:tcPr>
          <w:p w14:paraId="44CA9671">
            <w:pPr>
              <w:pStyle w:val="14"/>
              <w:tabs>
                <w:tab w:val="left" w:pos="993"/>
              </w:tabs>
              <w:ind w:firstLine="0" w:firstLineChars="0"/>
              <w:jc w:val="center"/>
              <w:rPr>
                <w:rFonts w:hint="eastAsia" w:ascii="仿宋" w:hAnsi="仿宋" w:eastAsia="仿宋" w:cs="仿宋_GB2312"/>
                <w:sz w:val="24"/>
                <w:szCs w:val="24"/>
              </w:rPr>
            </w:pPr>
            <w:r>
              <w:rPr>
                <w:rFonts w:hint="eastAsia" w:ascii="仿宋" w:hAnsi="仿宋" w:eastAsia="仿宋" w:cs="仿宋_GB2312"/>
                <w:sz w:val="24"/>
                <w:szCs w:val="24"/>
              </w:rPr>
              <w:t>1</w:t>
            </w:r>
          </w:p>
        </w:tc>
        <w:tc>
          <w:tcPr>
            <w:tcW w:w="1279" w:type="dxa"/>
            <w:tcBorders>
              <w:top w:val="single" w:color="auto" w:sz="4" w:space="0"/>
              <w:left w:val="single" w:color="auto" w:sz="4" w:space="0"/>
              <w:bottom w:val="single" w:color="auto" w:sz="4" w:space="0"/>
              <w:right w:val="single" w:color="auto" w:sz="4" w:space="0"/>
            </w:tcBorders>
            <w:vAlign w:val="center"/>
          </w:tcPr>
          <w:p w14:paraId="2AFA42FF">
            <w:pPr>
              <w:pStyle w:val="14"/>
              <w:tabs>
                <w:tab w:val="left" w:pos="993"/>
              </w:tabs>
              <w:ind w:firstLine="0" w:firstLineChars="0"/>
              <w:jc w:val="center"/>
              <w:rPr>
                <w:rFonts w:hint="eastAsia" w:ascii="仿宋" w:hAnsi="仿宋" w:eastAsia="仿宋" w:cs="仿宋_GB2312"/>
                <w:sz w:val="24"/>
                <w:szCs w:val="24"/>
              </w:rPr>
            </w:pPr>
            <w:r>
              <w:rPr>
                <w:rFonts w:hint="eastAsia" w:ascii="仿宋" w:hAnsi="仿宋" w:eastAsia="仿宋" w:cs="仿宋_GB2312"/>
                <w:sz w:val="24"/>
                <w:szCs w:val="24"/>
              </w:rPr>
              <w:t>朱考考</w:t>
            </w:r>
          </w:p>
        </w:tc>
        <w:tc>
          <w:tcPr>
            <w:tcW w:w="3165" w:type="dxa"/>
            <w:tcBorders>
              <w:top w:val="single" w:color="auto" w:sz="4" w:space="0"/>
              <w:left w:val="single" w:color="auto" w:sz="4" w:space="0"/>
              <w:bottom w:val="single" w:color="auto" w:sz="4" w:space="0"/>
              <w:right w:val="single" w:color="auto" w:sz="4" w:space="0"/>
            </w:tcBorders>
            <w:vAlign w:val="center"/>
          </w:tcPr>
          <w:p w14:paraId="5DE8F139">
            <w:pPr>
              <w:jc w:val="center"/>
              <w:rPr>
                <w:rFonts w:hint="eastAsia" w:ascii="仿宋" w:hAnsi="仿宋" w:eastAsia="仿宋" w:cs="仿宋_GB2312"/>
                <w:sz w:val="24"/>
                <w:szCs w:val="24"/>
              </w:rPr>
            </w:pPr>
            <w:r>
              <w:rPr>
                <w:rFonts w:hint="eastAsia" w:ascii="仿宋" w:hAnsi="仿宋" w:eastAsia="仿宋" w:cs="仿宋_GB2312"/>
                <w:sz w:val="24"/>
                <w:szCs w:val="24"/>
              </w:rPr>
              <w:t>海南省血液中心</w:t>
            </w:r>
          </w:p>
        </w:tc>
        <w:tc>
          <w:tcPr>
            <w:tcW w:w="2189" w:type="dxa"/>
            <w:tcBorders>
              <w:top w:val="single" w:color="auto" w:sz="4" w:space="0"/>
              <w:left w:val="single" w:color="auto" w:sz="4" w:space="0"/>
              <w:bottom w:val="single" w:color="auto" w:sz="4" w:space="0"/>
              <w:right w:val="single" w:color="auto" w:sz="4" w:space="0"/>
            </w:tcBorders>
            <w:vAlign w:val="center"/>
          </w:tcPr>
          <w:p w14:paraId="4C7B0793">
            <w:pPr>
              <w:jc w:val="center"/>
              <w:rPr>
                <w:rFonts w:hint="eastAsia" w:ascii="仿宋" w:hAnsi="仿宋" w:eastAsia="仿宋" w:cs="仿宋_GB2312"/>
                <w:sz w:val="24"/>
                <w:szCs w:val="24"/>
              </w:rPr>
            </w:pPr>
            <w:r>
              <w:rPr>
                <w:rFonts w:hint="eastAsia" w:ascii="仿宋" w:hAnsi="仿宋" w:eastAsia="仿宋" w:cs="仿宋_GB2312"/>
                <w:sz w:val="24"/>
                <w:szCs w:val="24"/>
              </w:rPr>
              <w:t>中心副主任</w:t>
            </w:r>
          </w:p>
        </w:tc>
        <w:tc>
          <w:tcPr>
            <w:tcW w:w="2552" w:type="dxa"/>
            <w:tcBorders>
              <w:top w:val="single" w:color="auto" w:sz="4" w:space="0"/>
              <w:left w:val="single" w:color="auto" w:sz="4" w:space="0"/>
              <w:bottom w:val="single" w:color="auto" w:sz="4" w:space="0"/>
              <w:right w:val="single" w:color="auto" w:sz="4" w:space="0"/>
            </w:tcBorders>
            <w:vAlign w:val="center"/>
          </w:tcPr>
          <w:p w14:paraId="26DE7383">
            <w:pPr>
              <w:jc w:val="center"/>
              <w:rPr>
                <w:rFonts w:hint="eastAsia" w:ascii="仿宋" w:hAnsi="仿宋" w:eastAsia="仿宋" w:cs="仿宋_GB2312"/>
                <w:sz w:val="24"/>
                <w:szCs w:val="24"/>
              </w:rPr>
            </w:pPr>
            <w:r>
              <w:rPr>
                <w:rFonts w:hint="eastAsia" w:ascii="仿宋" w:hAnsi="仿宋" w:eastAsia="仿宋" w:cs="仿宋_GB2312"/>
                <w:sz w:val="24"/>
                <w:szCs w:val="24"/>
              </w:rPr>
              <w:t>统筹、业务指导</w:t>
            </w:r>
          </w:p>
        </w:tc>
      </w:tr>
      <w:tr w14:paraId="2B86B62F">
        <w:tblPrEx>
          <w:tblCellMar>
            <w:top w:w="0" w:type="dxa"/>
            <w:left w:w="10" w:type="dxa"/>
            <w:bottom w:w="0" w:type="dxa"/>
            <w:right w:w="10" w:type="dxa"/>
          </w:tblCellMar>
        </w:tblPrEx>
        <w:trPr>
          <w:trHeight w:val="454" w:hRule="atLeast"/>
        </w:trPr>
        <w:tc>
          <w:tcPr>
            <w:tcW w:w="875" w:type="dxa"/>
            <w:tcBorders>
              <w:top w:val="single" w:color="auto" w:sz="4" w:space="0"/>
              <w:left w:val="single" w:color="auto" w:sz="4" w:space="0"/>
              <w:bottom w:val="single" w:color="auto" w:sz="4" w:space="0"/>
              <w:right w:val="single" w:color="auto" w:sz="4" w:space="0"/>
            </w:tcBorders>
            <w:vAlign w:val="center"/>
          </w:tcPr>
          <w:p w14:paraId="51516EF2">
            <w:pPr>
              <w:pStyle w:val="14"/>
              <w:tabs>
                <w:tab w:val="left" w:pos="993"/>
              </w:tabs>
              <w:ind w:firstLine="0" w:firstLineChars="0"/>
              <w:jc w:val="center"/>
              <w:rPr>
                <w:rFonts w:hint="eastAsia" w:ascii="仿宋" w:hAnsi="仿宋" w:eastAsia="仿宋" w:cs="仿宋_GB2312"/>
                <w:sz w:val="24"/>
                <w:szCs w:val="24"/>
              </w:rPr>
            </w:pPr>
            <w:r>
              <w:rPr>
                <w:rFonts w:hint="eastAsia" w:ascii="仿宋" w:hAnsi="仿宋" w:eastAsia="仿宋" w:cs="仿宋_GB2312"/>
                <w:sz w:val="24"/>
                <w:szCs w:val="24"/>
              </w:rPr>
              <w:t>2</w:t>
            </w:r>
          </w:p>
        </w:tc>
        <w:tc>
          <w:tcPr>
            <w:tcW w:w="1279" w:type="dxa"/>
            <w:tcBorders>
              <w:top w:val="single" w:color="auto" w:sz="4" w:space="0"/>
              <w:left w:val="single" w:color="auto" w:sz="4" w:space="0"/>
              <w:bottom w:val="single" w:color="auto" w:sz="4" w:space="0"/>
              <w:right w:val="single" w:color="auto" w:sz="4" w:space="0"/>
            </w:tcBorders>
            <w:vAlign w:val="center"/>
          </w:tcPr>
          <w:p w14:paraId="3C1A2C7B">
            <w:pPr>
              <w:jc w:val="center"/>
              <w:rPr>
                <w:rFonts w:hint="eastAsia" w:ascii="仿宋" w:hAnsi="仿宋" w:eastAsia="仿宋" w:cs="仿宋_GB2312"/>
                <w:sz w:val="24"/>
                <w:szCs w:val="24"/>
              </w:rPr>
            </w:pPr>
            <w:r>
              <w:rPr>
                <w:rFonts w:hint="eastAsia" w:ascii="仿宋" w:hAnsi="仿宋" w:eastAsia="仿宋" w:cs="仿宋_GB2312"/>
                <w:sz w:val="24"/>
                <w:szCs w:val="24"/>
              </w:rPr>
              <w:t>吴晓强</w:t>
            </w:r>
          </w:p>
        </w:tc>
        <w:tc>
          <w:tcPr>
            <w:tcW w:w="3165" w:type="dxa"/>
            <w:tcBorders>
              <w:top w:val="single" w:color="auto" w:sz="4" w:space="0"/>
              <w:left w:val="single" w:color="auto" w:sz="4" w:space="0"/>
              <w:bottom w:val="single" w:color="auto" w:sz="4" w:space="0"/>
              <w:right w:val="single" w:color="auto" w:sz="4" w:space="0"/>
            </w:tcBorders>
            <w:vAlign w:val="center"/>
          </w:tcPr>
          <w:p w14:paraId="53293A1B">
            <w:pPr>
              <w:jc w:val="center"/>
              <w:rPr>
                <w:sz w:val="24"/>
                <w:szCs w:val="24"/>
              </w:rPr>
            </w:pPr>
            <w:r>
              <w:rPr>
                <w:rFonts w:ascii="仿宋" w:hAnsi="仿宋" w:eastAsia="仿宋" w:cs="仿宋_GB2312"/>
                <w:sz w:val="24"/>
                <w:szCs w:val="24"/>
              </w:rPr>
              <w:t>海南省</w:t>
            </w:r>
            <w:r>
              <w:rPr>
                <w:rFonts w:ascii="仿宋" w:hAnsi="仿宋" w:eastAsia="仿宋" w:cs="微软雅黑"/>
                <w:sz w:val="24"/>
                <w:szCs w:val="24"/>
              </w:rPr>
              <w:t>血液中心</w:t>
            </w:r>
          </w:p>
        </w:tc>
        <w:tc>
          <w:tcPr>
            <w:tcW w:w="2189" w:type="dxa"/>
            <w:tcBorders>
              <w:top w:val="single" w:color="auto" w:sz="4" w:space="0"/>
              <w:left w:val="single" w:color="auto" w:sz="4" w:space="0"/>
              <w:bottom w:val="single" w:color="auto" w:sz="4" w:space="0"/>
              <w:right w:val="single" w:color="auto" w:sz="4" w:space="0"/>
            </w:tcBorders>
            <w:vAlign w:val="center"/>
          </w:tcPr>
          <w:p w14:paraId="6FA70C53">
            <w:pPr>
              <w:jc w:val="center"/>
              <w:rPr>
                <w:rFonts w:hint="eastAsia" w:ascii="仿宋" w:hAnsi="仿宋" w:eastAsia="仿宋" w:cs="仿宋_GB2312"/>
                <w:sz w:val="24"/>
                <w:szCs w:val="24"/>
              </w:rPr>
            </w:pPr>
            <w:r>
              <w:rPr>
                <w:rFonts w:hint="eastAsia" w:ascii="仿宋" w:hAnsi="仿宋" w:eastAsia="仿宋" w:cs="仿宋_GB2312"/>
                <w:sz w:val="24"/>
                <w:szCs w:val="24"/>
              </w:rPr>
              <w:t>中心主任</w:t>
            </w:r>
          </w:p>
        </w:tc>
        <w:tc>
          <w:tcPr>
            <w:tcW w:w="2552" w:type="dxa"/>
            <w:tcBorders>
              <w:top w:val="single" w:color="auto" w:sz="4" w:space="0"/>
              <w:left w:val="single" w:color="auto" w:sz="4" w:space="0"/>
              <w:bottom w:val="single" w:color="auto" w:sz="4" w:space="0"/>
              <w:right w:val="single" w:color="auto" w:sz="4" w:space="0"/>
            </w:tcBorders>
            <w:vAlign w:val="center"/>
          </w:tcPr>
          <w:p w14:paraId="7690C948">
            <w:pPr>
              <w:jc w:val="center"/>
              <w:rPr>
                <w:rFonts w:hint="eastAsia" w:ascii="仿宋" w:hAnsi="仿宋" w:eastAsia="仿宋" w:cs="仿宋_GB2312"/>
                <w:sz w:val="24"/>
                <w:szCs w:val="24"/>
              </w:rPr>
            </w:pPr>
            <w:r>
              <w:rPr>
                <w:rFonts w:hint="eastAsia" w:ascii="仿宋" w:hAnsi="仿宋" w:eastAsia="仿宋" w:cs="仿宋_GB2312"/>
                <w:sz w:val="24"/>
                <w:szCs w:val="24"/>
              </w:rPr>
              <w:t>资源配备支持</w:t>
            </w:r>
          </w:p>
        </w:tc>
      </w:tr>
      <w:tr w14:paraId="3C6E1750">
        <w:tblPrEx>
          <w:tblCellMar>
            <w:top w:w="0" w:type="dxa"/>
            <w:left w:w="10" w:type="dxa"/>
            <w:bottom w:w="0" w:type="dxa"/>
            <w:right w:w="10" w:type="dxa"/>
          </w:tblCellMar>
        </w:tblPrEx>
        <w:trPr>
          <w:trHeight w:val="454" w:hRule="atLeast"/>
        </w:trPr>
        <w:tc>
          <w:tcPr>
            <w:tcW w:w="875" w:type="dxa"/>
            <w:tcBorders>
              <w:top w:val="single" w:color="auto" w:sz="4" w:space="0"/>
              <w:left w:val="single" w:color="auto" w:sz="4" w:space="0"/>
              <w:bottom w:val="single" w:color="auto" w:sz="4" w:space="0"/>
              <w:right w:val="single" w:color="auto" w:sz="4" w:space="0"/>
            </w:tcBorders>
            <w:vAlign w:val="center"/>
          </w:tcPr>
          <w:p w14:paraId="6A07F99F">
            <w:pPr>
              <w:pStyle w:val="14"/>
              <w:tabs>
                <w:tab w:val="left" w:pos="993"/>
              </w:tabs>
              <w:ind w:firstLine="0" w:firstLineChars="0"/>
              <w:jc w:val="center"/>
              <w:rPr>
                <w:rFonts w:hint="eastAsia" w:ascii="仿宋" w:hAnsi="仿宋" w:eastAsia="仿宋" w:cs="仿宋_GB2312"/>
                <w:sz w:val="24"/>
                <w:szCs w:val="24"/>
              </w:rPr>
            </w:pPr>
            <w:r>
              <w:rPr>
                <w:rFonts w:hint="eastAsia" w:ascii="仿宋" w:hAnsi="仿宋" w:eastAsia="仿宋" w:cs="仿宋_GB2312"/>
                <w:sz w:val="24"/>
                <w:szCs w:val="24"/>
              </w:rPr>
              <w:t>3</w:t>
            </w:r>
          </w:p>
        </w:tc>
        <w:tc>
          <w:tcPr>
            <w:tcW w:w="1279" w:type="dxa"/>
            <w:tcBorders>
              <w:top w:val="single" w:color="auto" w:sz="4" w:space="0"/>
              <w:left w:val="single" w:color="auto" w:sz="4" w:space="0"/>
              <w:bottom w:val="single" w:color="auto" w:sz="4" w:space="0"/>
              <w:right w:val="single" w:color="auto" w:sz="4" w:space="0"/>
            </w:tcBorders>
            <w:vAlign w:val="center"/>
          </w:tcPr>
          <w:p w14:paraId="4F002CB7">
            <w:pPr>
              <w:jc w:val="center"/>
              <w:rPr>
                <w:rFonts w:hint="eastAsia" w:ascii="仿宋" w:hAnsi="仿宋" w:eastAsia="仿宋" w:cs="仿宋_GB2312"/>
                <w:sz w:val="24"/>
                <w:szCs w:val="24"/>
              </w:rPr>
            </w:pPr>
            <w:r>
              <w:rPr>
                <w:rFonts w:hint="eastAsia" w:ascii="仿宋" w:hAnsi="仿宋" w:eastAsia="仿宋" w:cs="仿宋_GB2312"/>
                <w:sz w:val="24"/>
                <w:szCs w:val="24"/>
              </w:rPr>
              <w:t>侯惠芬</w:t>
            </w:r>
          </w:p>
        </w:tc>
        <w:tc>
          <w:tcPr>
            <w:tcW w:w="3165" w:type="dxa"/>
            <w:tcBorders>
              <w:top w:val="single" w:color="auto" w:sz="4" w:space="0"/>
              <w:left w:val="single" w:color="auto" w:sz="4" w:space="0"/>
              <w:bottom w:val="single" w:color="auto" w:sz="4" w:space="0"/>
              <w:right w:val="single" w:color="auto" w:sz="4" w:space="0"/>
            </w:tcBorders>
            <w:vAlign w:val="center"/>
          </w:tcPr>
          <w:p w14:paraId="54C04E28">
            <w:pPr>
              <w:jc w:val="center"/>
              <w:rPr>
                <w:sz w:val="24"/>
                <w:szCs w:val="24"/>
              </w:rPr>
            </w:pPr>
            <w:r>
              <w:rPr>
                <w:rFonts w:ascii="仿宋" w:hAnsi="仿宋" w:eastAsia="仿宋" w:cs="仿宋_GB2312"/>
                <w:sz w:val="24"/>
                <w:szCs w:val="24"/>
              </w:rPr>
              <w:t>海南省</w:t>
            </w:r>
            <w:r>
              <w:rPr>
                <w:rFonts w:ascii="仿宋" w:hAnsi="仿宋" w:eastAsia="仿宋" w:cs="微软雅黑"/>
                <w:sz w:val="24"/>
                <w:szCs w:val="24"/>
              </w:rPr>
              <w:t>血液中心</w:t>
            </w:r>
          </w:p>
        </w:tc>
        <w:tc>
          <w:tcPr>
            <w:tcW w:w="2189" w:type="dxa"/>
            <w:tcBorders>
              <w:top w:val="single" w:color="auto" w:sz="4" w:space="0"/>
              <w:left w:val="single" w:color="auto" w:sz="4" w:space="0"/>
              <w:bottom w:val="single" w:color="auto" w:sz="4" w:space="0"/>
              <w:right w:val="single" w:color="auto" w:sz="4" w:space="0"/>
            </w:tcBorders>
            <w:vAlign w:val="center"/>
          </w:tcPr>
          <w:p w14:paraId="70834106">
            <w:pPr>
              <w:jc w:val="center"/>
              <w:rPr>
                <w:rFonts w:hint="eastAsia" w:ascii="仿宋" w:hAnsi="仿宋" w:eastAsia="仿宋" w:cs="仿宋_GB2312"/>
                <w:sz w:val="24"/>
                <w:szCs w:val="24"/>
              </w:rPr>
            </w:pPr>
            <w:r>
              <w:rPr>
                <w:rFonts w:hint="eastAsia" w:ascii="仿宋" w:hAnsi="仿宋" w:eastAsia="仿宋" w:cs="仿宋_GB2312"/>
                <w:sz w:val="24"/>
                <w:szCs w:val="24"/>
              </w:rPr>
              <w:t>质量管理科主管护师</w:t>
            </w:r>
          </w:p>
        </w:tc>
        <w:tc>
          <w:tcPr>
            <w:tcW w:w="2552" w:type="dxa"/>
            <w:tcBorders>
              <w:top w:val="single" w:color="auto" w:sz="4" w:space="0"/>
              <w:left w:val="single" w:color="auto" w:sz="4" w:space="0"/>
              <w:bottom w:val="single" w:color="auto" w:sz="4" w:space="0"/>
              <w:right w:val="single" w:color="auto" w:sz="4" w:space="0"/>
            </w:tcBorders>
            <w:vAlign w:val="center"/>
          </w:tcPr>
          <w:p w14:paraId="766283FA">
            <w:pPr>
              <w:jc w:val="center"/>
              <w:rPr>
                <w:rFonts w:hint="eastAsia" w:ascii="仿宋" w:hAnsi="仿宋" w:eastAsia="仿宋" w:cs="仿宋_GB2312"/>
                <w:sz w:val="24"/>
                <w:szCs w:val="24"/>
              </w:rPr>
            </w:pPr>
            <w:r>
              <w:rPr>
                <w:rFonts w:hint="eastAsia" w:ascii="仿宋" w:hAnsi="仿宋" w:eastAsia="仿宋" w:cs="仿宋_GB2312"/>
                <w:sz w:val="24"/>
                <w:szCs w:val="24"/>
              </w:rPr>
              <w:t>各项目具体落实推进</w:t>
            </w:r>
          </w:p>
        </w:tc>
      </w:tr>
      <w:tr w14:paraId="75889CE3">
        <w:tblPrEx>
          <w:tblCellMar>
            <w:top w:w="0" w:type="dxa"/>
            <w:left w:w="10" w:type="dxa"/>
            <w:bottom w:w="0" w:type="dxa"/>
            <w:right w:w="10" w:type="dxa"/>
          </w:tblCellMar>
        </w:tblPrEx>
        <w:trPr>
          <w:trHeight w:val="454" w:hRule="atLeast"/>
        </w:trPr>
        <w:tc>
          <w:tcPr>
            <w:tcW w:w="875" w:type="dxa"/>
            <w:tcBorders>
              <w:top w:val="single" w:color="auto" w:sz="4" w:space="0"/>
              <w:left w:val="single" w:color="auto" w:sz="4" w:space="0"/>
              <w:bottom w:val="single" w:color="auto" w:sz="4" w:space="0"/>
              <w:right w:val="single" w:color="auto" w:sz="4" w:space="0"/>
            </w:tcBorders>
            <w:vAlign w:val="center"/>
          </w:tcPr>
          <w:p w14:paraId="66813DE3">
            <w:pPr>
              <w:pStyle w:val="14"/>
              <w:tabs>
                <w:tab w:val="left" w:pos="993"/>
              </w:tabs>
              <w:ind w:firstLine="0" w:firstLineChars="0"/>
              <w:jc w:val="center"/>
              <w:rPr>
                <w:rFonts w:hint="eastAsia" w:ascii="仿宋" w:hAnsi="仿宋" w:eastAsia="仿宋" w:cs="仿宋_GB2312"/>
                <w:sz w:val="24"/>
                <w:szCs w:val="24"/>
              </w:rPr>
            </w:pPr>
            <w:r>
              <w:rPr>
                <w:rFonts w:hint="eastAsia" w:ascii="仿宋" w:hAnsi="仿宋" w:eastAsia="仿宋" w:cs="仿宋_GB2312"/>
                <w:sz w:val="24"/>
                <w:szCs w:val="24"/>
              </w:rPr>
              <w:t>4</w:t>
            </w:r>
          </w:p>
        </w:tc>
        <w:tc>
          <w:tcPr>
            <w:tcW w:w="1279" w:type="dxa"/>
            <w:tcBorders>
              <w:top w:val="single" w:color="auto" w:sz="4" w:space="0"/>
              <w:left w:val="single" w:color="auto" w:sz="4" w:space="0"/>
              <w:bottom w:val="single" w:color="auto" w:sz="4" w:space="0"/>
              <w:right w:val="single" w:color="auto" w:sz="4" w:space="0"/>
            </w:tcBorders>
            <w:vAlign w:val="center"/>
          </w:tcPr>
          <w:p w14:paraId="073027E7">
            <w:pPr>
              <w:jc w:val="center"/>
              <w:rPr>
                <w:rFonts w:hint="eastAsia" w:ascii="仿宋" w:hAnsi="仿宋" w:eastAsia="仿宋" w:cs="仿宋_GB2312"/>
                <w:sz w:val="24"/>
                <w:szCs w:val="24"/>
              </w:rPr>
            </w:pPr>
            <w:r>
              <w:rPr>
                <w:rFonts w:hint="eastAsia" w:ascii="仿宋" w:hAnsi="仿宋" w:eastAsia="仿宋" w:cs="仿宋_GB2312"/>
                <w:sz w:val="24"/>
                <w:szCs w:val="24"/>
              </w:rPr>
              <w:t>郑日大</w:t>
            </w:r>
          </w:p>
        </w:tc>
        <w:tc>
          <w:tcPr>
            <w:tcW w:w="3165" w:type="dxa"/>
            <w:tcBorders>
              <w:top w:val="single" w:color="auto" w:sz="4" w:space="0"/>
              <w:left w:val="single" w:color="auto" w:sz="4" w:space="0"/>
              <w:bottom w:val="single" w:color="auto" w:sz="4" w:space="0"/>
              <w:right w:val="single" w:color="auto" w:sz="4" w:space="0"/>
            </w:tcBorders>
            <w:vAlign w:val="center"/>
          </w:tcPr>
          <w:p w14:paraId="5D7774C0">
            <w:pPr>
              <w:jc w:val="center"/>
              <w:rPr>
                <w:sz w:val="24"/>
                <w:szCs w:val="24"/>
              </w:rPr>
            </w:pPr>
            <w:r>
              <w:rPr>
                <w:rFonts w:ascii="仿宋" w:hAnsi="仿宋" w:eastAsia="仿宋" w:cs="仿宋_GB2312"/>
                <w:sz w:val="24"/>
                <w:szCs w:val="24"/>
              </w:rPr>
              <w:t>海南省</w:t>
            </w:r>
            <w:r>
              <w:rPr>
                <w:rFonts w:ascii="仿宋" w:hAnsi="仿宋" w:eastAsia="仿宋" w:cs="微软雅黑"/>
                <w:sz w:val="24"/>
                <w:szCs w:val="24"/>
              </w:rPr>
              <w:t>血液中心</w:t>
            </w:r>
          </w:p>
        </w:tc>
        <w:tc>
          <w:tcPr>
            <w:tcW w:w="2189" w:type="dxa"/>
            <w:tcBorders>
              <w:top w:val="single" w:color="auto" w:sz="4" w:space="0"/>
              <w:left w:val="single" w:color="auto" w:sz="4" w:space="0"/>
              <w:bottom w:val="single" w:color="auto" w:sz="4" w:space="0"/>
              <w:right w:val="single" w:color="auto" w:sz="4" w:space="0"/>
            </w:tcBorders>
            <w:vAlign w:val="center"/>
          </w:tcPr>
          <w:p w14:paraId="4AC6CD8E">
            <w:pPr>
              <w:jc w:val="center"/>
              <w:rPr>
                <w:rFonts w:hint="eastAsia" w:ascii="仿宋" w:hAnsi="仿宋" w:eastAsia="仿宋" w:cs="仿宋_GB2312"/>
                <w:sz w:val="24"/>
                <w:szCs w:val="24"/>
              </w:rPr>
            </w:pPr>
            <w:r>
              <w:rPr>
                <w:rFonts w:hint="eastAsia" w:ascii="仿宋" w:hAnsi="仿宋" w:eastAsia="仿宋" w:cs="仿宋_GB2312"/>
                <w:sz w:val="24"/>
                <w:szCs w:val="24"/>
              </w:rPr>
              <w:t>机采科主任</w:t>
            </w:r>
          </w:p>
        </w:tc>
        <w:tc>
          <w:tcPr>
            <w:tcW w:w="2552" w:type="dxa"/>
            <w:tcBorders>
              <w:top w:val="single" w:color="auto" w:sz="4" w:space="0"/>
              <w:left w:val="single" w:color="auto" w:sz="4" w:space="0"/>
              <w:bottom w:val="single" w:color="auto" w:sz="4" w:space="0"/>
              <w:right w:val="single" w:color="auto" w:sz="4" w:space="0"/>
            </w:tcBorders>
            <w:vAlign w:val="center"/>
          </w:tcPr>
          <w:p w14:paraId="47C89854">
            <w:pPr>
              <w:jc w:val="center"/>
              <w:rPr>
                <w:rFonts w:hint="eastAsia" w:ascii="仿宋" w:hAnsi="仿宋" w:eastAsia="仿宋" w:cs="仿宋_GB2312"/>
                <w:sz w:val="24"/>
                <w:szCs w:val="24"/>
              </w:rPr>
            </w:pPr>
            <w:r>
              <w:rPr>
                <w:rFonts w:hint="eastAsia" w:ascii="仿宋" w:hAnsi="仿宋" w:eastAsia="仿宋" w:cs="仿宋_GB2312"/>
                <w:sz w:val="24"/>
                <w:szCs w:val="24"/>
              </w:rPr>
              <w:t>项目开展对外总协调</w:t>
            </w:r>
          </w:p>
        </w:tc>
      </w:tr>
      <w:tr w14:paraId="217948BE">
        <w:tblPrEx>
          <w:tblCellMar>
            <w:top w:w="0" w:type="dxa"/>
            <w:left w:w="10" w:type="dxa"/>
            <w:bottom w:w="0" w:type="dxa"/>
            <w:right w:w="10" w:type="dxa"/>
          </w:tblCellMar>
        </w:tblPrEx>
        <w:trPr>
          <w:trHeight w:val="454" w:hRule="atLeast"/>
        </w:trPr>
        <w:tc>
          <w:tcPr>
            <w:tcW w:w="875" w:type="dxa"/>
            <w:tcBorders>
              <w:top w:val="single" w:color="auto" w:sz="4" w:space="0"/>
              <w:left w:val="single" w:color="auto" w:sz="4" w:space="0"/>
              <w:bottom w:val="single" w:color="auto" w:sz="4" w:space="0"/>
              <w:right w:val="single" w:color="auto" w:sz="4" w:space="0"/>
            </w:tcBorders>
            <w:vAlign w:val="center"/>
          </w:tcPr>
          <w:p w14:paraId="14F7B085">
            <w:pPr>
              <w:pStyle w:val="14"/>
              <w:tabs>
                <w:tab w:val="left" w:pos="993"/>
              </w:tabs>
              <w:ind w:firstLine="0" w:firstLineChars="0"/>
              <w:jc w:val="center"/>
              <w:rPr>
                <w:rFonts w:hint="eastAsia" w:ascii="仿宋" w:hAnsi="仿宋" w:eastAsia="仿宋" w:cs="仿宋_GB2312"/>
                <w:sz w:val="24"/>
                <w:szCs w:val="24"/>
              </w:rPr>
            </w:pPr>
            <w:r>
              <w:rPr>
                <w:rFonts w:hint="eastAsia" w:ascii="仿宋" w:hAnsi="仿宋" w:eastAsia="仿宋" w:cs="仿宋_GB2312"/>
                <w:sz w:val="24"/>
                <w:szCs w:val="24"/>
              </w:rPr>
              <w:t>5</w:t>
            </w:r>
          </w:p>
        </w:tc>
        <w:tc>
          <w:tcPr>
            <w:tcW w:w="1279" w:type="dxa"/>
            <w:tcBorders>
              <w:top w:val="single" w:color="auto" w:sz="4" w:space="0"/>
              <w:left w:val="single" w:color="auto" w:sz="4" w:space="0"/>
              <w:bottom w:val="single" w:color="auto" w:sz="4" w:space="0"/>
              <w:right w:val="single" w:color="auto" w:sz="4" w:space="0"/>
            </w:tcBorders>
            <w:vAlign w:val="center"/>
          </w:tcPr>
          <w:p w14:paraId="7D3BA220">
            <w:pPr>
              <w:pStyle w:val="14"/>
              <w:tabs>
                <w:tab w:val="left" w:pos="993"/>
              </w:tabs>
              <w:ind w:firstLine="0" w:firstLineChars="0"/>
              <w:jc w:val="center"/>
              <w:rPr>
                <w:rFonts w:hint="eastAsia" w:ascii="仿宋" w:hAnsi="仿宋" w:eastAsia="仿宋" w:cs="仿宋_GB2312"/>
                <w:sz w:val="24"/>
                <w:szCs w:val="24"/>
              </w:rPr>
            </w:pPr>
            <w:r>
              <w:rPr>
                <w:rFonts w:hint="eastAsia" w:ascii="仿宋" w:hAnsi="仿宋" w:eastAsia="仿宋" w:cs="仿宋_GB2312"/>
                <w:sz w:val="24"/>
                <w:szCs w:val="24"/>
              </w:rPr>
              <w:t>赵  鑫</w:t>
            </w:r>
          </w:p>
        </w:tc>
        <w:tc>
          <w:tcPr>
            <w:tcW w:w="3165" w:type="dxa"/>
            <w:tcBorders>
              <w:top w:val="single" w:color="auto" w:sz="4" w:space="0"/>
              <w:left w:val="single" w:color="auto" w:sz="4" w:space="0"/>
              <w:bottom w:val="single" w:color="auto" w:sz="4" w:space="0"/>
              <w:right w:val="single" w:color="auto" w:sz="4" w:space="0"/>
            </w:tcBorders>
            <w:vAlign w:val="center"/>
          </w:tcPr>
          <w:p w14:paraId="73C78E39">
            <w:pPr>
              <w:jc w:val="center"/>
              <w:rPr>
                <w:sz w:val="24"/>
                <w:szCs w:val="24"/>
              </w:rPr>
            </w:pPr>
            <w:r>
              <w:rPr>
                <w:rFonts w:ascii="仿宋" w:hAnsi="仿宋" w:eastAsia="仿宋" w:cs="仿宋_GB2312"/>
                <w:sz w:val="24"/>
                <w:szCs w:val="24"/>
              </w:rPr>
              <w:t>海南省</w:t>
            </w:r>
            <w:r>
              <w:rPr>
                <w:rFonts w:ascii="仿宋" w:hAnsi="仿宋" w:eastAsia="仿宋" w:cs="微软雅黑"/>
                <w:sz w:val="24"/>
                <w:szCs w:val="24"/>
              </w:rPr>
              <w:t>血液中心</w:t>
            </w:r>
          </w:p>
        </w:tc>
        <w:tc>
          <w:tcPr>
            <w:tcW w:w="2189" w:type="dxa"/>
            <w:tcBorders>
              <w:top w:val="single" w:color="auto" w:sz="4" w:space="0"/>
              <w:left w:val="single" w:color="auto" w:sz="4" w:space="0"/>
              <w:bottom w:val="single" w:color="auto" w:sz="4" w:space="0"/>
              <w:right w:val="single" w:color="auto" w:sz="4" w:space="0"/>
            </w:tcBorders>
            <w:vAlign w:val="center"/>
          </w:tcPr>
          <w:p w14:paraId="49A8106D">
            <w:pPr>
              <w:jc w:val="center"/>
              <w:rPr>
                <w:rFonts w:hint="eastAsia" w:ascii="仿宋" w:hAnsi="仿宋" w:eastAsia="仿宋" w:cs="仿宋_GB2312"/>
                <w:sz w:val="24"/>
                <w:szCs w:val="24"/>
              </w:rPr>
            </w:pPr>
            <w:r>
              <w:rPr>
                <w:rFonts w:hint="eastAsia" w:ascii="仿宋" w:hAnsi="仿宋" w:eastAsia="仿宋" w:cs="仿宋_GB2312"/>
                <w:sz w:val="24"/>
                <w:szCs w:val="24"/>
              </w:rPr>
              <w:t>体采科体检医师</w:t>
            </w:r>
          </w:p>
        </w:tc>
        <w:tc>
          <w:tcPr>
            <w:tcW w:w="2552" w:type="dxa"/>
            <w:tcBorders>
              <w:top w:val="single" w:color="auto" w:sz="4" w:space="0"/>
              <w:left w:val="single" w:color="auto" w:sz="4" w:space="0"/>
              <w:bottom w:val="single" w:color="auto" w:sz="4" w:space="0"/>
              <w:right w:val="single" w:color="auto" w:sz="4" w:space="0"/>
            </w:tcBorders>
            <w:vAlign w:val="center"/>
          </w:tcPr>
          <w:p w14:paraId="4F8AF8D8">
            <w:pPr>
              <w:jc w:val="center"/>
              <w:rPr>
                <w:rFonts w:hint="eastAsia" w:ascii="仿宋" w:hAnsi="仿宋" w:eastAsia="仿宋" w:cs="仿宋_GB2312"/>
                <w:sz w:val="24"/>
                <w:szCs w:val="24"/>
              </w:rPr>
            </w:pPr>
            <w:r>
              <w:rPr>
                <w:rFonts w:hint="eastAsia" w:ascii="仿宋" w:hAnsi="仿宋" w:eastAsia="仿宋" w:cs="仿宋_GB2312"/>
                <w:sz w:val="24"/>
                <w:szCs w:val="24"/>
              </w:rPr>
              <w:t>主要负责地贫材料收集、讨论和修改</w:t>
            </w:r>
          </w:p>
        </w:tc>
      </w:tr>
      <w:tr w14:paraId="1FC7405D">
        <w:tblPrEx>
          <w:tblCellMar>
            <w:top w:w="0" w:type="dxa"/>
            <w:left w:w="10" w:type="dxa"/>
            <w:bottom w:w="0" w:type="dxa"/>
            <w:right w:w="10" w:type="dxa"/>
          </w:tblCellMar>
        </w:tblPrEx>
        <w:trPr>
          <w:trHeight w:val="454" w:hRule="atLeast"/>
        </w:trPr>
        <w:tc>
          <w:tcPr>
            <w:tcW w:w="875" w:type="dxa"/>
            <w:tcBorders>
              <w:top w:val="single" w:color="auto" w:sz="4" w:space="0"/>
              <w:left w:val="single" w:color="auto" w:sz="4" w:space="0"/>
              <w:bottom w:val="single" w:color="auto" w:sz="4" w:space="0"/>
              <w:right w:val="single" w:color="auto" w:sz="4" w:space="0"/>
            </w:tcBorders>
            <w:vAlign w:val="center"/>
          </w:tcPr>
          <w:p w14:paraId="44E8656F">
            <w:pPr>
              <w:pStyle w:val="14"/>
              <w:tabs>
                <w:tab w:val="left" w:pos="993"/>
              </w:tabs>
              <w:ind w:firstLine="0" w:firstLineChars="0"/>
              <w:jc w:val="center"/>
              <w:rPr>
                <w:rFonts w:hint="eastAsia" w:ascii="仿宋" w:hAnsi="仿宋" w:eastAsia="仿宋" w:cs="仿宋_GB2312"/>
                <w:sz w:val="24"/>
                <w:szCs w:val="24"/>
              </w:rPr>
            </w:pPr>
            <w:r>
              <w:rPr>
                <w:rFonts w:hint="eastAsia" w:ascii="仿宋" w:hAnsi="仿宋" w:eastAsia="仿宋" w:cs="仿宋_GB2312"/>
                <w:sz w:val="24"/>
                <w:szCs w:val="24"/>
              </w:rPr>
              <w:t>6</w:t>
            </w:r>
          </w:p>
        </w:tc>
        <w:tc>
          <w:tcPr>
            <w:tcW w:w="1279" w:type="dxa"/>
            <w:tcBorders>
              <w:top w:val="single" w:color="auto" w:sz="4" w:space="0"/>
              <w:left w:val="single" w:color="auto" w:sz="4" w:space="0"/>
              <w:bottom w:val="single" w:color="auto" w:sz="4" w:space="0"/>
              <w:right w:val="single" w:color="auto" w:sz="4" w:space="0"/>
            </w:tcBorders>
            <w:vAlign w:val="center"/>
          </w:tcPr>
          <w:p w14:paraId="228826F2">
            <w:pPr>
              <w:pStyle w:val="14"/>
              <w:tabs>
                <w:tab w:val="left" w:pos="993"/>
              </w:tabs>
              <w:ind w:firstLine="0" w:firstLineChars="0"/>
              <w:jc w:val="center"/>
              <w:rPr>
                <w:rFonts w:hint="eastAsia" w:ascii="仿宋" w:hAnsi="仿宋" w:eastAsia="仿宋" w:cs="仿宋_GB2312"/>
                <w:sz w:val="24"/>
                <w:szCs w:val="24"/>
              </w:rPr>
            </w:pPr>
            <w:r>
              <w:rPr>
                <w:rFonts w:hint="eastAsia" w:ascii="仿宋" w:hAnsi="仿宋" w:eastAsia="仿宋" w:cs="仿宋_GB2312"/>
                <w:sz w:val="24"/>
                <w:szCs w:val="24"/>
              </w:rPr>
              <w:t>邓慧平</w:t>
            </w:r>
          </w:p>
        </w:tc>
        <w:tc>
          <w:tcPr>
            <w:tcW w:w="3165" w:type="dxa"/>
            <w:tcBorders>
              <w:top w:val="single" w:color="auto" w:sz="4" w:space="0"/>
              <w:left w:val="single" w:color="auto" w:sz="4" w:space="0"/>
              <w:bottom w:val="single" w:color="auto" w:sz="4" w:space="0"/>
              <w:right w:val="single" w:color="auto" w:sz="4" w:space="0"/>
            </w:tcBorders>
            <w:vAlign w:val="center"/>
          </w:tcPr>
          <w:p w14:paraId="5C4AE0AA">
            <w:pPr>
              <w:jc w:val="center"/>
              <w:rPr>
                <w:sz w:val="24"/>
                <w:szCs w:val="24"/>
              </w:rPr>
            </w:pPr>
            <w:r>
              <w:rPr>
                <w:rFonts w:ascii="仿宋" w:hAnsi="仿宋" w:eastAsia="仿宋" w:cs="仿宋_GB2312"/>
                <w:sz w:val="24"/>
                <w:szCs w:val="24"/>
              </w:rPr>
              <w:t>海南省</w:t>
            </w:r>
            <w:r>
              <w:rPr>
                <w:rFonts w:ascii="仿宋" w:hAnsi="仿宋" w:eastAsia="仿宋" w:cs="微软雅黑"/>
                <w:sz w:val="24"/>
                <w:szCs w:val="24"/>
              </w:rPr>
              <w:t>血液中心</w:t>
            </w:r>
          </w:p>
        </w:tc>
        <w:tc>
          <w:tcPr>
            <w:tcW w:w="2189" w:type="dxa"/>
            <w:tcBorders>
              <w:top w:val="single" w:color="auto" w:sz="4" w:space="0"/>
              <w:left w:val="single" w:color="auto" w:sz="4" w:space="0"/>
              <w:bottom w:val="single" w:color="auto" w:sz="4" w:space="0"/>
              <w:right w:val="single" w:color="auto" w:sz="4" w:space="0"/>
            </w:tcBorders>
            <w:vAlign w:val="center"/>
          </w:tcPr>
          <w:p w14:paraId="3F99AFED">
            <w:pPr>
              <w:jc w:val="center"/>
              <w:rPr>
                <w:rFonts w:hint="eastAsia" w:ascii="仿宋" w:hAnsi="仿宋" w:eastAsia="仿宋" w:cs="仿宋_GB2312"/>
                <w:sz w:val="24"/>
                <w:szCs w:val="24"/>
              </w:rPr>
            </w:pPr>
            <w:r>
              <w:rPr>
                <w:rFonts w:hint="eastAsia" w:ascii="仿宋" w:hAnsi="仿宋" w:eastAsia="仿宋" w:cs="仿宋_GB2312"/>
                <w:sz w:val="24"/>
                <w:szCs w:val="24"/>
              </w:rPr>
              <w:t xml:space="preserve">质量管理科主管护师 </w:t>
            </w:r>
          </w:p>
        </w:tc>
        <w:tc>
          <w:tcPr>
            <w:tcW w:w="2552" w:type="dxa"/>
            <w:tcBorders>
              <w:top w:val="single" w:color="auto" w:sz="4" w:space="0"/>
              <w:left w:val="single" w:color="auto" w:sz="4" w:space="0"/>
              <w:bottom w:val="single" w:color="auto" w:sz="4" w:space="0"/>
              <w:right w:val="single" w:color="auto" w:sz="4" w:space="0"/>
            </w:tcBorders>
            <w:vAlign w:val="center"/>
          </w:tcPr>
          <w:p w14:paraId="05FEEC98">
            <w:pPr>
              <w:jc w:val="center"/>
              <w:rPr>
                <w:rFonts w:hint="eastAsia" w:ascii="仿宋" w:hAnsi="仿宋" w:eastAsia="仿宋" w:cs="仿宋_GB2312"/>
                <w:sz w:val="24"/>
                <w:szCs w:val="24"/>
              </w:rPr>
            </w:pPr>
            <w:r>
              <w:rPr>
                <w:rFonts w:hint="eastAsia" w:ascii="仿宋" w:hAnsi="仿宋" w:eastAsia="仿宋" w:cs="仿宋_GB2312"/>
                <w:sz w:val="24"/>
                <w:szCs w:val="24"/>
              </w:rPr>
              <w:t>主要负责用药及采供血调查表材料收集、讨论和修改</w:t>
            </w:r>
          </w:p>
        </w:tc>
      </w:tr>
      <w:tr w14:paraId="6AA6D3A0">
        <w:tblPrEx>
          <w:tblCellMar>
            <w:top w:w="0" w:type="dxa"/>
            <w:left w:w="10" w:type="dxa"/>
            <w:bottom w:w="0" w:type="dxa"/>
            <w:right w:w="10" w:type="dxa"/>
          </w:tblCellMar>
        </w:tblPrEx>
        <w:trPr>
          <w:trHeight w:val="454" w:hRule="atLeast"/>
        </w:trPr>
        <w:tc>
          <w:tcPr>
            <w:tcW w:w="875" w:type="dxa"/>
            <w:tcBorders>
              <w:top w:val="single" w:color="auto" w:sz="4" w:space="0"/>
              <w:left w:val="single" w:color="auto" w:sz="4" w:space="0"/>
              <w:bottom w:val="single" w:color="auto" w:sz="4" w:space="0"/>
              <w:right w:val="single" w:color="auto" w:sz="4" w:space="0"/>
            </w:tcBorders>
            <w:vAlign w:val="center"/>
          </w:tcPr>
          <w:p w14:paraId="39FCEBA7">
            <w:pPr>
              <w:pStyle w:val="14"/>
              <w:tabs>
                <w:tab w:val="left" w:pos="993"/>
              </w:tabs>
              <w:ind w:firstLine="0" w:firstLineChars="0"/>
              <w:jc w:val="center"/>
              <w:rPr>
                <w:rFonts w:hint="eastAsia" w:ascii="仿宋" w:hAnsi="仿宋" w:eastAsia="仿宋" w:cs="仿宋_GB2312"/>
                <w:sz w:val="24"/>
                <w:szCs w:val="24"/>
              </w:rPr>
            </w:pPr>
            <w:r>
              <w:rPr>
                <w:rFonts w:hint="eastAsia" w:ascii="仿宋" w:hAnsi="仿宋" w:eastAsia="仿宋" w:cs="仿宋_GB2312"/>
                <w:sz w:val="24"/>
                <w:szCs w:val="24"/>
              </w:rPr>
              <w:t>7</w:t>
            </w:r>
          </w:p>
        </w:tc>
        <w:tc>
          <w:tcPr>
            <w:tcW w:w="1279" w:type="dxa"/>
            <w:tcBorders>
              <w:top w:val="single" w:color="auto" w:sz="4" w:space="0"/>
              <w:left w:val="single" w:color="auto" w:sz="4" w:space="0"/>
              <w:bottom w:val="single" w:color="auto" w:sz="4" w:space="0"/>
              <w:right w:val="single" w:color="auto" w:sz="4" w:space="0"/>
            </w:tcBorders>
            <w:vAlign w:val="center"/>
          </w:tcPr>
          <w:p w14:paraId="36E94487">
            <w:pPr>
              <w:pStyle w:val="14"/>
              <w:tabs>
                <w:tab w:val="left" w:pos="993"/>
              </w:tabs>
              <w:ind w:firstLine="0" w:firstLineChars="0"/>
              <w:jc w:val="center"/>
              <w:rPr>
                <w:rFonts w:hint="eastAsia" w:ascii="仿宋" w:hAnsi="仿宋" w:eastAsia="仿宋" w:cs="仿宋_GB2312"/>
                <w:sz w:val="24"/>
                <w:szCs w:val="24"/>
              </w:rPr>
            </w:pPr>
            <w:r>
              <w:rPr>
                <w:rFonts w:hint="eastAsia" w:ascii="仿宋" w:hAnsi="仿宋" w:eastAsia="仿宋" w:cs="仿宋_GB2312"/>
                <w:sz w:val="24"/>
                <w:szCs w:val="24"/>
              </w:rPr>
              <w:t>陈文豪</w:t>
            </w:r>
          </w:p>
        </w:tc>
        <w:tc>
          <w:tcPr>
            <w:tcW w:w="3165" w:type="dxa"/>
            <w:tcBorders>
              <w:top w:val="single" w:color="auto" w:sz="4" w:space="0"/>
              <w:left w:val="single" w:color="auto" w:sz="4" w:space="0"/>
              <w:bottom w:val="single" w:color="auto" w:sz="4" w:space="0"/>
              <w:right w:val="single" w:color="auto" w:sz="4" w:space="0"/>
            </w:tcBorders>
            <w:vAlign w:val="center"/>
          </w:tcPr>
          <w:p w14:paraId="2DF6C73C">
            <w:pPr>
              <w:jc w:val="center"/>
              <w:rPr>
                <w:rFonts w:hint="eastAsia" w:ascii="仿宋" w:hAnsi="仿宋" w:eastAsia="仿宋" w:cs="仿宋_GB2312"/>
                <w:sz w:val="24"/>
                <w:szCs w:val="24"/>
              </w:rPr>
            </w:pPr>
            <w:r>
              <w:rPr>
                <w:rFonts w:ascii="仿宋" w:hAnsi="仿宋" w:eastAsia="仿宋" w:cs="仿宋_GB2312"/>
                <w:sz w:val="24"/>
                <w:szCs w:val="24"/>
              </w:rPr>
              <w:t>海南省</w:t>
            </w:r>
            <w:r>
              <w:rPr>
                <w:rFonts w:ascii="仿宋" w:hAnsi="仿宋" w:eastAsia="仿宋" w:cs="微软雅黑"/>
                <w:sz w:val="24"/>
                <w:szCs w:val="24"/>
              </w:rPr>
              <w:t>血液中心</w:t>
            </w:r>
          </w:p>
        </w:tc>
        <w:tc>
          <w:tcPr>
            <w:tcW w:w="2189" w:type="dxa"/>
            <w:tcBorders>
              <w:top w:val="single" w:color="auto" w:sz="4" w:space="0"/>
              <w:left w:val="single" w:color="auto" w:sz="4" w:space="0"/>
              <w:bottom w:val="single" w:color="auto" w:sz="4" w:space="0"/>
              <w:right w:val="single" w:color="auto" w:sz="4" w:space="0"/>
            </w:tcBorders>
            <w:vAlign w:val="center"/>
          </w:tcPr>
          <w:p w14:paraId="6F461A9E">
            <w:pPr>
              <w:jc w:val="center"/>
              <w:rPr>
                <w:rFonts w:hint="eastAsia" w:ascii="仿宋" w:hAnsi="仿宋" w:eastAsia="仿宋" w:cs="仿宋_GB2312"/>
                <w:sz w:val="24"/>
                <w:szCs w:val="24"/>
              </w:rPr>
            </w:pPr>
            <w:r>
              <w:rPr>
                <w:rFonts w:hint="eastAsia" w:ascii="仿宋" w:hAnsi="仿宋" w:eastAsia="仿宋" w:cs="仿宋_GB2312"/>
                <w:sz w:val="24"/>
                <w:szCs w:val="24"/>
              </w:rPr>
              <w:t>机采科主治医师</w:t>
            </w:r>
          </w:p>
        </w:tc>
        <w:tc>
          <w:tcPr>
            <w:tcW w:w="2552" w:type="dxa"/>
            <w:tcBorders>
              <w:top w:val="single" w:color="auto" w:sz="4" w:space="0"/>
              <w:left w:val="single" w:color="auto" w:sz="4" w:space="0"/>
              <w:bottom w:val="single" w:color="auto" w:sz="4" w:space="0"/>
              <w:right w:val="single" w:color="auto" w:sz="4" w:space="0"/>
            </w:tcBorders>
            <w:vAlign w:val="center"/>
          </w:tcPr>
          <w:p w14:paraId="6F7806B9">
            <w:pPr>
              <w:jc w:val="center"/>
              <w:rPr>
                <w:rFonts w:hint="eastAsia" w:ascii="仿宋" w:hAnsi="仿宋" w:eastAsia="仿宋" w:cs="仿宋_GB2312"/>
                <w:sz w:val="24"/>
                <w:szCs w:val="24"/>
              </w:rPr>
            </w:pPr>
            <w:r>
              <w:rPr>
                <w:rFonts w:hint="eastAsia" w:ascii="仿宋" w:hAnsi="仿宋" w:eastAsia="仿宋" w:cs="仿宋_GB2312"/>
                <w:sz w:val="24"/>
                <w:szCs w:val="24"/>
              </w:rPr>
              <w:t>主要负责甲状腺类疾病和估算采血量的材料收集、讨论和修改</w:t>
            </w:r>
          </w:p>
        </w:tc>
      </w:tr>
      <w:tr w14:paraId="72B20BA1">
        <w:tblPrEx>
          <w:tblCellMar>
            <w:top w:w="0" w:type="dxa"/>
            <w:left w:w="10" w:type="dxa"/>
            <w:bottom w:w="0" w:type="dxa"/>
            <w:right w:w="10" w:type="dxa"/>
          </w:tblCellMar>
        </w:tblPrEx>
        <w:trPr>
          <w:trHeight w:val="454" w:hRule="atLeast"/>
        </w:trPr>
        <w:tc>
          <w:tcPr>
            <w:tcW w:w="875" w:type="dxa"/>
            <w:tcBorders>
              <w:top w:val="single" w:color="auto" w:sz="4" w:space="0"/>
              <w:left w:val="single" w:color="auto" w:sz="4" w:space="0"/>
              <w:bottom w:val="single" w:color="auto" w:sz="4" w:space="0"/>
              <w:right w:val="single" w:color="auto" w:sz="4" w:space="0"/>
            </w:tcBorders>
            <w:vAlign w:val="center"/>
          </w:tcPr>
          <w:p w14:paraId="1D119B09">
            <w:pPr>
              <w:pStyle w:val="14"/>
              <w:tabs>
                <w:tab w:val="left" w:pos="993"/>
              </w:tabs>
              <w:ind w:firstLine="0" w:firstLineChars="0"/>
              <w:jc w:val="center"/>
              <w:rPr>
                <w:rFonts w:hint="eastAsia" w:ascii="仿宋" w:hAnsi="仿宋" w:eastAsia="仿宋" w:cs="仿宋_GB2312"/>
                <w:sz w:val="24"/>
                <w:szCs w:val="24"/>
              </w:rPr>
            </w:pPr>
            <w:r>
              <w:rPr>
                <w:rFonts w:hint="eastAsia" w:ascii="仿宋" w:hAnsi="仿宋" w:eastAsia="仿宋" w:cs="仿宋_GB2312"/>
                <w:sz w:val="24"/>
                <w:szCs w:val="24"/>
              </w:rPr>
              <w:t>8</w:t>
            </w:r>
          </w:p>
        </w:tc>
        <w:tc>
          <w:tcPr>
            <w:tcW w:w="1279" w:type="dxa"/>
            <w:tcBorders>
              <w:top w:val="single" w:color="auto" w:sz="4" w:space="0"/>
              <w:left w:val="single" w:color="auto" w:sz="4" w:space="0"/>
              <w:bottom w:val="single" w:color="auto" w:sz="4" w:space="0"/>
              <w:right w:val="single" w:color="auto" w:sz="4" w:space="0"/>
            </w:tcBorders>
            <w:vAlign w:val="center"/>
          </w:tcPr>
          <w:p w14:paraId="4775700D">
            <w:pPr>
              <w:pStyle w:val="14"/>
              <w:tabs>
                <w:tab w:val="left" w:pos="993"/>
              </w:tabs>
              <w:ind w:firstLine="0" w:firstLineChars="0"/>
              <w:jc w:val="center"/>
              <w:rPr>
                <w:rFonts w:hint="eastAsia" w:ascii="仿宋" w:hAnsi="仿宋" w:eastAsia="仿宋" w:cs="仿宋_GB2312"/>
                <w:sz w:val="24"/>
                <w:szCs w:val="24"/>
              </w:rPr>
            </w:pPr>
            <w:r>
              <w:rPr>
                <w:rFonts w:hint="eastAsia" w:ascii="仿宋" w:hAnsi="仿宋" w:eastAsia="仿宋" w:cs="仿宋_GB2312"/>
                <w:sz w:val="24"/>
                <w:szCs w:val="24"/>
              </w:rPr>
              <w:t>林先觉</w:t>
            </w:r>
          </w:p>
        </w:tc>
        <w:tc>
          <w:tcPr>
            <w:tcW w:w="3165" w:type="dxa"/>
            <w:tcBorders>
              <w:top w:val="single" w:color="auto" w:sz="4" w:space="0"/>
              <w:left w:val="single" w:color="auto" w:sz="4" w:space="0"/>
              <w:bottom w:val="single" w:color="auto" w:sz="4" w:space="0"/>
              <w:right w:val="single" w:color="auto" w:sz="4" w:space="0"/>
            </w:tcBorders>
            <w:vAlign w:val="center"/>
          </w:tcPr>
          <w:p w14:paraId="7F587D02">
            <w:pPr>
              <w:jc w:val="center"/>
              <w:rPr>
                <w:rFonts w:hint="eastAsia" w:ascii="仿宋" w:hAnsi="仿宋" w:eastAsia="仿宋" w:cs="仿宋_GB2312"/>
                <w:sz w:val="24"/>
                <w:szCs w:val="24"/>
              </w:rPr>
            </w:pPr>
            <w:r>
              <w:rPr>
                <w:rFonts w:ascii="仿宋" w:hAnsi="仿宋" w:eastAsia="仿宋" w:cs="仿宋_GB2312"/>
                <w:sz w:val="24"/>
                <w:szCs w:val="24"/>
              </w:rPr>
              <w:t>海南省</w:t>
            </w:r>
            <w:r>
              <w:rPr>
                <w:rFonts w:ascii="仿宋" w:hAnsi="仿宋" w:eastAsia="仿宋" w:cs="微软雅黑"/>
                <w:sz w:val="24"/>
                <w:szCs w:val="24"/>
              </w:rPr>
              <w:t>血液中心</w:t>
            </w:r>
          </w:p>
        </w:tc>
        <w:tc>
          <w:tcPr>
            <w:tcW w:w="2189" w:type="dxa"/>
            <w:tcBorders>
              <w:top w:val="single" w:color="auto" w:sz="4" w:space="0"/>
              <w:left w:val="single" w:color="auto" w:sz="4" w:space="0"/>
              <w:bottom w:val="single" w:color="auto" w:sz="4" w:space="0"/>
              <w:right w:val="single" w:color="auto" w:sz="4" w:space="0"/>
            </w:tcBorders>
            <w:vAlign w:val="center"/>
          </w:tcPr>
          <w:p w14:paraId="00C0B136">
            <w:pPr>
              <w:jc w:val="center"/>
              <w:rPr>
                <w:rFonts w:hint="eastAsia" w:ascii="仿宋" w:hAnsi="仿宋" w:eastAsia="仿宋" w:cs="仿宋_GB2312"/>
                <w:sz w:val="24"/>
                <w:szCs w:val="24"/>
              </w:rPr>
            </w:pPr>
            <w:r>
              <w:rPr>
                <w:rFonts w:hint="eastAsia" w:ascii="仿宋" w:hAnsi="仿宋" w:eastAsia="仿宋" w:cs="微软雅黑"/>
                <w:sz w:val="24"/>
                <w:szCs w:val="24"/>
              </w:rPr>
              <w:t>三亚分中心主任</w:t>
            </w:r>
          </w:p>
        </w:tc>
        <w:tc>
          <w:tcPr>
            <w:tcW w:w="2552" w:type="dxa"/>
            <w:tcBorders>
              <w:top w:val="single" w:color="auto" w:sz="4" w:space="0"/>
              <w:left w:val="single" w:color="auto" w:sz="4" w:space="0"/>
              <w:bottom w:val="single" w:color="auto" w:sz="4" w:space="0"/>
              <w:right w:val="single" w:color="auto" w:sz="4" w:space="0"/>
            </w:tcBorders>
            <w:vAlign w:val="center"/>
          </w:tcPr>
          <w:p w14:paraId="7B5B2547">
            <w:pPr>
              <w:jc w:val="center"/>
              <w:rPr>
                <w:rFonts w:hint="eastAsia" w:ascii="仿宋" w:hAnsi="仿宋" w:eastAsia="仿宋" w:cs="仿宋_GB2312"/>
                <w:sz w:val="24"/>
                <w:szCs w:val="24"/>
              </w:rPr>
            </w:pPr>
            <w:r>
              <w:rPr>
                <w:rFonts w:hint="eastAsia" w:ascii="仿宋" w:hAnsi="仿宋" w:eastAsia="仿宋" w:cs="仿宋_GB2312"/>
                <w:sz w:val="24"/>
                <w:szCs w:val="24"/>
              </w:rPr>
              <w:t>主要负责术后和内镜检查后献血材料收集、讨论和修改</w:t>
            </w:r>
          </w:p>
        </w:tc>
      </w:tr>
      <w:tr w14:paraId="27C488CE">
        <w:tblPrEx>
          <w:tblCellMar>
            <w:top w:w="0" w:type="dxa"/>
            <w:left w:w="10" w:type="dxa"/>
            <w:bottom w:w="0" w:type="dxa"/>
            <w:right w:w="10" w:type="dxa"/>
          </w:tblCellMar>
        </w:tblPrEx>
        <w:trPr>
          <w:trHeight w:val="454" w:hRule="atLeast"/>
        </w:trPr>
        <w:tc>
          <w:tcPr>
            <w:tcW w:w="875" w:type="dxa"/>
            <w:tcBorders>
              <w:top w:val="single" w:color="auto" w:sz="4" w:space="0"/>
              <w:left w:val="single" w:color="auto" w:sz="4" w:space="0"/>
              <w:bottom w:val="single" w:color="auto" w:sz="4" w:space="0"/>
              <w:right w:val="single" w:color="auto" w:sz="4" w:space="0"/>
            </w:tcBorders>
            <w:vAlign w:val="center"/>
          </w:tcPr>
          <w:p w14:paraId="33750804">
            <w:pPr>
              <w:pStyle w:val="14"/>
              <w:tabs>
                <w:tab w:val="left" w:pos="993"/>
              </w:tabs>
              <w:ind w:firstLine="0" w:firstLineChars="0"/>
              <w:jc w:val="center"/>
              <w:rPr>
                <w:rFonts w:hint="eastAsia" w:ascii="仿宋" w:hAnsi="仿宋" w:eastAsia="仿宋" w:cs="仿宋_GB2312"/>
                <w:sz w:val="24"/>
                <w:szCs w:val="24"/>
              </w:rPr>
            </w:pPr>
            <w:r>
              <w:rPr>
                <w:rFonts w:hint="eastAsia" w:ascii="仿宋" w:hAnsi="仿宋" w:eastAsia="仿宋" w:cs="仿宋_GB2312"/>
                <w:sz w:val="24"/>
                <w:szCs w:val="24"/>
              </w:rPr>
              <w:t>9</w:t>
            </w:r>
          </w:p>
        </w:tc>
        <w:tc>
          <w:tcPr>
            <w:tcW w:w="1279" w:type="dxa"/>
            <w:tcBorders>
              <w:top w:val="single" w:color="auto" w:sz="4" w:space="0"/>
              <w:left w:val="single" w:color="auto" w:sz="4" w:space="0"/>
              <w:bottom w:val="single" w:color="auto" w:sz="4" w:space="0"/>
              <w:right w:val="single" w:color="auto" w:sz="4" w:space="0"/>
            </w:tcBorders>
            <w:vAlign w:val="center"/>
          </w:tcPr>
          <w:p w14:paraId="2BC143EB">
            <w:pPr>
              <w:pStyle w:val="14"/>
              <w:tabs>
                <w:tab w:val="left" w:pos="993"/>
              </w:tabs>
              <w:ind w:firstLine="0" w:firstLineChars="0"/>
              <w:jc w:val="center"/>
              <w:rPr>
                <w:rFonts w:hint="eastAsia" w:ascii="仿宋" w:hAnsi="仿宋" w:eastAsia="仿宋" w:cs="仿宋_GB2312"/>
                <w:sz w:val="24"/>
                <w:szCs w:val="24"/>
              </w:rPr>
            </w:pPr>
            <w:r>
              <w:rPr>
                <w:rFonts w:hint="eastAsia" w:ascii="仿宋" w:hAnsi="仿宋" w:eastAsia="仿宋" w:cs="仿宋_GB2312"/>
                <w:sz w:val="24"/>
                <w:szCs w:val="24"/>
              </w:rPr>
              <w:t>苏庆元</w:t>
            </w:r>
          </w:p>
        </w:tc>
        <w:tc>
          <w:tcPr>
            <w:tcW w:w="3165" w:type="dxa"/>
            <w:tcBorders>
              <w:top w:val="single" w:color="auto" w:sz="4" w:space="0"/>
              <w:left w:val="single" w:color="auto" w:sz="4" w:space="0"/>
              <w:bottom w:val="single" w:color="auto" w:sz="4" w:space="0"/>
              <w:right w:val="single" w:color="auto" w:sz="4" w:space="0"/>
            </w:tcBorders>
            <w:vAlign w:val="center"/>
          </w:tcPr>
          <w:p w14:paraId="30574645">
            <w:pPr>
              <w:jc w:val="center"/>
              <w:rPr>
                <w:rFonts w:hint="eastAsia" w:ascii="仿宋" w:hAnsi="仿宋" w:eastAsia="仿宋" w:cs="仿宋_GB2312"/>
                <w:sz w:val="24"/>
                <w:szCs w:val="24"/>
              </w:rPr>
            </w:pPr>
            <w:r>
              <w:rPr>
                <w:rFonts w:ascii="仿宋" w:hAnsi="仿宋" w:eastAsia="仿宋" w:cs="仿宋_GB2312"/>
                <w:sz w:val="24"/>
                <w:szCs w:val="24"/>
              </w:rPr>
              <w:t>海南省</w:t>
            </w:r>
            <w:r>
              <w:rPr>
                <w:rFonts w:ascii="仿宋" w:hAnsi="仿宋" w:eastAsia="仿宋" w:cs="微软雅黑"/>
                <w:sz w:val="24"/>
                <w:szCs w:val="24"/>
              </w:rPr>
              <w:t>血液中心</w:t>
            </w:r>
          </w:p>
        </w:tc>
        <w:tc>
          <w:tcPr>
            <w:tcW w:w="2189" w:type="dxa"/>
            <w:tcBorders>
              <w:top w:val="single" w:color="auto" w:sz="4" w:space="0"/>
              <w:left w:val="single" w:color="auto" w:sz="4" w:space="0"/>
              <w:bottom w:val="single" w:color="auto" w:sz="4" w:space="0"/>
              <w:right w:val="single" w:color="auto" w:sz="4" w:space="0"/>
            </w:tcBorders>
            <w:vAlign w:val="center"/>
          </w:tcPr>
          <w:p w14:paraId="1F2F8BE0">
            <w:pPr>
              <w:jc w:val="center"/>
              <w:rPr>
                <w:rFonts w:hint="eastAsia" w:ascii="仿宋" w:hAnsi="仿宋" w:eastAsia="仿宋" w:cs="仿宋_GB2312"/>
                <w:sz w:val="24"/>
                <w:szCs w:val="24"/>
              </w:rPr>
            </w:pPr>
            <w:r>
              <w:rPr>
                <w:rFonts w:hint="eastAsia" w:ascii="仿宋" w:hAnsi="仿宋" w:eastAsia="仿宋" w:cs="仿宋_GB2312"/>
                <w:sz w:val="24"/>
                <w:szCs w:val="24"/>
              </w:rPr>
              <w:t>质量管理科科长</w:t>
            </w:r>
          </w:p>
        </w:tc>
        <w:tc>
          <w:tcPr>
            <w:tcW w:w="2552" w:type="dxa"/>
            <w:tcBorders>
              <w:top w:val="single" w:color="auto" w:sz="4" w:space="0"/>
              <w:left w:val="single" w:color="auto" w:sz="4" w:space="0"/>
              <w:bottom w:val="single" w:color="auto" w:sz="4" w:space="0"/>
              <w:right w:val="single" w:color="auto" w:sz="4" w:space="0"/>
            </w:tcBorders>
            <w:vAlign w:val="center"/>
          </w:tcPr>
          <w:p w14:paraId="7E15DCCC">
            <w:pPr>
              <w:jc w:val="center"/>
              <w:rPr>
                <w:rFonts w:hint="eastAsia" w:ascii="仿宋" w:hAnsi="仿宋" w:eastAsia="仿宋" w:cs="仿宋_GB2312"/>
                <w:sz w:val="24"/>
                <w:szCs w:val="24"/>
              </w:rPr>
            </w:pPr>
            <w:r>
              <w:rPr>
                <w:rFonts w:hint="eastAsia" w:ascii="仿宋" w:hAnsi="仿宋" w:eastAsia="仿宋" w:cs="仿宋_GB2312"/>
                <w:sz w:val="24"/>
                <w:szCs w:val="24"/>
              </w:rPr>
              <w:t>负责热带病防控的材料收集、讨论和修改</w:t>
            </w:r>
          </w:p>
        </w:tc>
      </w:tr>
      <w:tr w14:paraId="2BF3B697">
        <w:tblPrEx>
          <w:tblCellMar>
            <w:top w:w="0" w:type="dxa"/>
            <w:left w:w="10" w:type="dxa"/>
            <w:bottom w:w="0" w:type="dxa"/>
            <w:right w:w="10" w:type="dxa"/>
          </w:tblCellMar>
        </w:tblPrEx>
        <w:trPr>
          <w:trHeight w:val="454" w:hRule="atLeast"/>
        </w:trPr>
        <w:tc>
          <w:tcPr>
            <w:tcW w:w="875" w:type="dxa"/>
            <w:tcBorders>
              <w:top w:val="single" w:color="auto" w:sz="4" w:space="0"/>
              <w:left w:val="single" w:color="auto" w:sz="4" w:space="0"/>
              <w:bottom w:val="single" w:color="auto" w:sz="4" w:space="0"/>
              <w:right w:val="single" w:color="auto" w:sz="4" w:space="0"/>
            </w:tcBorders>
            <w:vAlign w:val="center"/>
          </w:tcPr>
          <w:p w14:paraId="39C102B4">
            <w:pPr>
              <w:pStyle w:val="14"/>
              <w:tabs>
                <w:tab w:val="left" w:pos="993"/>
              </w:tabs>
              <w:ind w:firstLine="0" w:firstLineChars="0"/>
              <w:jc w:val="center"/>
              <w:rPr>
                <w:rFonts w:hint="eastAsia" w:ascii="仿宋" w:hAnsi="仿宋" w:eastAsia="仿宋" w:cs="仿宋_GB2312"/>
                <w:sz w:val="24"/>
                <w:szCs w:val="24"/>
              </w:rPr>
            </w:pPr>
            <w:r>
              <w:rPr>
                <w:rFonts w:hint="eastAsia" w:ascii="仿宋" w:hAnsi="仿宋" w:eastAsia="仿宋" w:cs="仿宋_GB2312"/>
                <w:sz w:val="24"/>
                <w:szCs w:val="24"/>
              </w:rPr>
              <w:t>10</w:t>
            </w:r>
          </w:p>
        </w:tc>
        <w:tc>
          <w:tcPr>
            <w:tcW w:w="1279" w:type="dxa"/>
            <w:tcBorders>
              <w:top w:val="single" w:color="auto" w:sz="4" w:space="0"/>
              <w:left w:val="single" w:color="auto" w:sz="4" w:space="0"/>
              <w:bottom w:val="single" w:color="auto" w:sz="4" w:space="0"/>
              <w:right w:val="single" w:color="auto" w:sz="4" w:space="0"/>
            </w:tcBorders>
            <w:vAlign w:val="center"/>
          </w:tcPr>
          <w:p w14:paraId="3C919240">
            <w:pPr>
              <w:pStyle w:val="14"/>
              <w:tabs>
                <w:tab w:val="left" w:pos="993"/>
              </w:tabs>
              <w:ind w:firstLine="0" w:firstLineChars="0"/>
              <w:jc w:val="center"/>
              <w:rPr>
                <w:rFonts w:hint="eastAsia" w:ascii="仿宋" w:hAnsi="仿宋" w:eastAsia="仿宋" w:cs="仿宋_GB2312"/>
                <w:sz w:val="24"/>
                <w:szCs w:val="24"/>
              </w:rPr>
            </w:pPr>
            <w:r>
              <w:rPr>
                <w:rFonts w:hint="eastAsia" w:ascii="仿宋" w:hAnsi="仿宋" w:eastAsia="仿宋" w:cs="仿宋_GB2312"/>
                <w:sz w:val="24"/>
                <w:szCs w:val="24"/>
              </w:rPr>
              <w:t>王海宝</w:t>
            </w:r>
          </w:p>
        </w:tc>
        <w:tc>
          <w:tcPr>
            <w:tcW w:w="3165" w:type="dxa"/>
            <w:tcBorders>
              <w:top w:val="single" w:color="auto" w:sz="4" w:space="0"/>
              <w:left w:val="single" w:color="auto" w:sz="4" w:space="0"/>
              <w:bottom w:val="single" w:color="auto" w:sz="4" w:space="0"/>
              <w:right w:val="single" w:color="auto" w:sz="4" w:space="0"/>
            </w:tcBorders>
            <w:vAlign w:val="center"/>
          </w:tcPr>
          <w:p w14:paraId="37A47971">
            <w:pPr>
              <w:jc w:val="center"/>
              <w:rPr>
                <w:rFonts w:hint="eastAsia" w:ascii="仿宋" w:hAnsi="仿宋" w:eastAsia="仿宋" w:cs="仿宋_GB2312"/>
                <w:sz w:val="24"/>
                <w:szCs w:val="24"/>
              </w:rPr>
            </w:pPr>
            <w:r>
              <w:rPr>
                <w:rFonts w:hint="eastAsia" w:ascii="仿宋" w:hAnsi="仿宋" w:eastAsia="仿宋" w:cs="仿宋_GB2312"/>
                <w:sz w:val="24"/>
                <w:szCs w:val="24"/>
              </w:rPr>
              <w:t>解放军总医院海南医院</w:t>
            </w:r>
          </w:p>
        </w:tc>
        <w:tc>
          <w:tcPr>
            <w:tcW w:w="2189" w:type="dxa"/>
            <w:tcBorders>
              <w:top w:val="single" w:color="auto" w:sz="4" w:space="0"/>
              <w:left w:val="single" w:color="auto" w:sz="4" w:space="0"/>
              <w:bottom w:val="single" w:color="auto" w:sz="4" w:space="0"/>
              <w:right w:val="single" w:color="auto" w:sz="4" w:space="0"/>
            </w:tcBorders>
            <w:vAlign w:val="center"/>
          </w:tcPr>
          <w:p w14:paraId="3BD3B5E0">
            <w:pPr>
              <w:jc w:val="center"/>
              <w:rPr>
                <w:rFonts w:hint="eastAsia" w:ascii="仿宋" w:hAnsi="仿宋" w:eastAsia="仿宋" w:cs="仿宋_GB2312"/>
                <w:sz w:val="24"/>
                <w:szCs w:val="24"/>
              </w:rPr>
            </w:pPr>
            <w:r>
              <w:rPr>
                <w:rFonts w:hint="eastAsia" w:ascii="仿宋" w:hAnsi="仿宋" w:eastAsia="仿宋" w:cs="仿宋_GB2312"/>
                <w:sz w:val="24"/>
                <w:szCs w:val="24"/>
              </w:rPr>
              <w:t>输血科主任</w:t>
            </w:r>
          </w:p>
        </w:tc>
        <w:tc>
          <w:tcPr>
            <w:tcW w:w="2552" w:type="dxa"/>
            <w:tcBorders>
              <w:top w:val="single" w:color="auto" w:sz="4" w:space="0"/>
              <w:left w:val="single" w:color="auto" w:sz="4" w:space="0"/>
              <w:bottom w:val="single" w:color="auto" w:sz="4" w:space="0"/>
              <w:right w:val="single" w:color="auto" w:sz="4" w:space="0"/>
            </w:tcBorders>
            <w:vAlign w:val="center"/>
          </w:tcPr>
          <w:p w14:paraId="43F51357">
            <w:pPr>
              <w:jc w:val="center"/>
              <w:rPr>
                <w:rFonts w:hint="eastAsia" w:ascii="仿宋" w:hAnsi="仿宋" w:eastAsia="仿宋" w:cs="仿宋_GB2312"/>
                <w:sz w:val="24"/>
                <w:szCs w:val="24"/>
              </w:rPr>
            </w:pPr>
            <w:r>
              <w:rPr>
                <w:rFonts w:hint="eastAsia" w:ascii="仿宋" w:hAnsi="仿宋" w:eastAsia="仿宋" w:cs="仿宋_GB2312"/>
                <w:sz w:val="24"/>
                <w:szCs w:val="24"/>
              </w:rPr>
              <w:t>数据整理、讨论和修改</w:t>
            </w:r>
          </w:p>
        </w:tc>
      </w:tr>
      <w:tr w14:paraId="1626CE49">
        <w:tblPrEx>
          <w:tblCellMar>
            <w:top w:w="0" w:type="dxa"/>
            <w:left w:w="10" w:type="dxa"/>
            <w:bottom w:w="0" w:type="dxa"/>
            <w:right w:w="10" w:type="dxa"/>
          </w:tblCellMar>
        </w:tblPrEx>
        <w:trPr>
          <w:trHeight w:val="454" w:hRule="atLeast"/>
        </w:trPr>
        <w:tc>
          <w:tcPr>
            <w:tcW w:w="875" w:type="dxa"/>
            <w:tcBorders>
              <w:top w:val="single" w:color="auto" w:sz="4" w:space="0"/>
              <w:left w:val="single" w:color="auto" w:sz="4" w:space="0"/>
              <w:bottom w:val="single" w:color="auto" w:sz="4" w:space="0"/>
              <w:right w:val="single" w:color="auto" w:sz="4" w:space="0"/>
            </w:tcBorders>
            <w:vAlign w:val="center"/>
          </w:tcPr>
          <w:p w14:paraId="3FB08B5C">
            <w:pPr>
              <w:pStyle w:val="14"/>
              <w:tabs>
                <w:tab w:val="left" w:pos="993"/>
              </w:tabs>
              <w:ind w:firstLine="0" w:firstLineChars="0"/>
              <w:jc w:val="center"/>
              <w:rPr>
                <w:rFonts w:hint="eastAsia" w:ascii="仿宋" w:hAnsi="仿宋" w:eastAsia="仿宋" w:cs="仿宋_GB2312"/>
                <w:sz w:val="24"/>
                <w:szCs w:val="24"/>
              </w:rPr>
            </w:pPr>
            <w:r>
              <w:rPr>
                <w:rFonts w:hint="eastAsia" w:ascii="仿宋" w:hAnsi="仿宋" w:eastAsia="仿宋" w:cs="仿宋_GB2312"/>
                <w:sz w:val="24"/>
                <w:szCs w:val="24"/>
              </w:rPr>
              <w:t>11</w:t>
            </w:r>
          </w:p>
        </w:tc>
        <w:tc>
          <w:tcPr>
            <w:tcW w:w="1279" w:type="dxa"/>
            <w:tcBorders>
              <w:top w:val="single" w:color="auto" w:sz="4" w:space="0"/>
              <w:left w:val="single" w:color="auto" w:sz="4" w:space="0"/>
              <w:bottom w:val="single" w:color="auto" w:sz="4" w:space="0"/>
              <w:right w:val="single" w:color="auto" w:sz="4" w:space="0"/>
            </w:tcBorders>
            <w:vAlign w:val="center"/>
          </w:tcPr>
          <w:p w14:paraId="72DF0D5A">
            <w:pPr>
              <w:pStyle w:val="14"/>
              <w:tabs>
                <w:tab w:val="left" w:pos="993"/>
              </w:tabs>
              <w:ind w:firstLine="0" w:firstLineChars="0"/>
              <w:jc w:val="center"/>
              <w:rPr>
                <w:rFonts w:hint="eastAsia" w:ascii="仿宋" w:hAnsi="仿宋" w:eastAsia="仿宋" w:cs="仿宋_GB2312"/>
                <w:sz w:val="24"/>
                <w:szCs w:val="24"/>
              </w:rPr>
            </w:pPr>
            <w:r>
              <w:rPr>
                <w:rFonts w:hint="eastAsia" w:ascii="仿宋" w:hAnsi="仿宋" w:eastAsia="仿宋" w:cs="仿宋_GB2312"/>
                <w:sz w:val="24"/>
                <w:szCs w:val="24"/>
              </w:rPr>
              <w:t>陈红妙</w:t>
            </w:r>
          </w:p>
        </w:tc>
        <w:tc>
          <w:tcPr>
            <w:tcW w:w="3165" w:type="dxa"/>
            <w:tcBorders>
              <w:top w:val="single" w:color="auto" w:sz="4" w:space="0"/>
              <w:left w:val="single" w:color="auto" w:sz="4" w:space="0"/>
              <w:bottom w:val="single" w:color="auto" w:sz="4" w:space="0"/>
              <w:right w:val="single" w:color="auto" w:sz="4" w:space="0"/>
            </w:tcBorders>
            <w:vAlign w:val="center"/>
          </w:tcPr>
          <w:p w14:paraId="72103A17">
            <w:pPr>
              <w:jc w:val="center"/>
              <w:rPr>
                <w:rFonts w:hint="eastAsia" w:ascii="仿宋" w:hAnsi="仿宋" w:eastAsia="仿宋" w:cs="仿宋_GB2312"/>
                <w:sz w:val="24"/>
                <w:szCs w:val="24"/>
              </w:rPr>
            </w:pPr>
            <w:r>
              <w:rPr>
                <w:rFonts w:ascii="仿宋" w:hAnsi="仿宋" w:eastAsia="仿宋" w:cs="仿宋_GB2312"/>
                <w:sz w:val="24"/>
                <w:szCs w:val="24"/>
              </w:rPr>
              <w:t>海南省</w:t>
            </w:r>
            <w:r>
              <w:rPr>
                <w:rFonts w:ascii="仿宋" w:hAnsi="仿宋" w:eastAsia="仿宋" w:cs="微软雅黑"/>
                <w:sz w:val="24"/>
                <w:szCs w:val="24"/>
              </w:rPr>
              <w:t>血液中心</w:t>
            </w:r>
          </w:p>
        </w:tc>
        <w:tc>
          <w:tcPr>
            <w:tcW w:w="2189" w:type="dxa"/>
            <w:tcBorders>
              <w:top w:val="single" w:color="auto" w:sz="4" w:space="0"/>
              <w:left w:val="single" w:color="auto" w:sz="4" w:space="0"/>
              <w:bottom w:val="single" w:color="auto" w:sz="4" w:space="0"/>
              <w:right w:val="single" w:color="auto" w:sz="4" w:space="0"/>
            </w:tcBorders>
            <w:vAlign w:val="center"/>
          </w:tcPr>
          <w:p w14:paraId="7391830E">
            <w:pPr>
              <w:jc w:val="center"/>
              <w:rPr>
                <w:rFonts w:hint="eastAsia" w:ascii="仿宋" w:hAnsi="仿宋" w:eastAsia="仿宋" w:cs="仿宋_GB2312"/>
                <w:sz w:val="24"/>
                <w:szCs w:val="24"/>
              </w:rPr>
            </w:pPr>
            <w:r>
              <w:rPr>
                <w:rFonts w:hint="eastAsia" w:ascii="仿宋" w:hAnsi="仿宋" w:eastAsia="仿宋" w:cs="仿宋_GB2312"/>
                <w:sz w:val="24"/>
                <w:szCs w:val="24"/>
              </w:rPr>
              <w:t>机采科主管护师</w:t>
            </w:r>
          </w:p>
        </w:tc>
        <w:tc>
          <w:tcPr>
            <w:tcW w:w="2552" w:type="dxa"/>
            <w:tcBorders>
              <w:top w:val="single" w:color="auto" w:sz="4" w:space="0"/>
              <w:left w:val="single" w:color="auto" w:sz="4" w:space="0"/>
              <w:bottom w:val="single" w:color="auto" w:sz="4" w:space="0"/>
              <w:right w:val="single" w:color="auto" w:sz="4" w:space="0"/>
            </w:tcBorders>
            <w:vAlign w:val="center"/>
          </w:tcPr>
          <w:p w14:paraId="305DB649">
            <w:pPr>
              <w:jc w:val="center"/>
              <w:rPr>
                <w:rFonts w:hint="eastAsia" w:ascii="仿宋" w:hAnsi="仿宋" w:eastAsia="仿宋" w:cs="仿宋_GB2312"/>
                <w:sz w:val="24"/>
                <w:szCs w:val="24"/>
              </w:rPr>
            </w:pPr>
            <w:r>
              <w:rPr>
                <w:rFonts w:hint="eastAsia" w:ascii="仿宋" w:hAnsi="仿宋" w:eastAsia="仿宋" w:cs="仿宋_GB2312"/>
                <w:sz w:val="24"/>
                <w:szCs w:val="24"/>
              </w:rPr>
              <w:t>负责献血者满意度的材料收集、讨论和修改</w:t>
            </w:r>
          </w:p>
        </w:tc>
      </w:tr>
      <w:tr w14:paraId="2A015A7C">
        <w:tblPrEx>
          <w:tblCellMar>
            <w:top w:w="0" w:type="dxa"/>
            <w:left w:w="10" w:type="dxa"/>
            <w:bottom w:w="0" w:type="dxa"/>
            <w:right w:w="10" w:type="dxa"/>
          </w:tblCellMar>
        </w:tblPrEx>
        <w:trPr>
          <w:trHeight w:val="454" w:hRule="atLeast"/>
        </w:trPr>
        <w:tc>
          <w:tcPr>
            <w:tcW w:w="875" w:type="dxa"/>
            <w:tcBorders>
              <w:top w:val="single" w:color="auto" w:sz="4" w:space="0"/>
              <w:left w:val="single" w:color="auto" w:sz="4" w:space="0"/>
              <w:bottom w:val="single" w:color="auto" w:sz="4" w:space="0"/>
              <w:right w:val="single" w:color="auto" w:sz="4" w:space="0"/>
            </w:tcBorders>
            <w:vAlign w:val="center"/>
          </w:tcPr>
          <w:p w14:paraId="69C49019">
            <w:pPr>
              <w:pStyle w:val="14"/>
              <w:tabs>
                <w:tab w:val="left" w:pos="993"/>
              </w:tabs>
              <w:ind w:firstLine="0" w:firstLineChars="0"/>
              <w:jc w:val="center"/>
              <w:rPr>
                <w:rFonts w:hint="eastAsia" w:ascii="仿宋" w:hAnsi="仿宋" w:eastAsia="仿宋" w:cs="仿宋_GB2312"/>
                <w:sz w:val="24"/>
                <w:szCs w:val="24"/>
              </w:rPr>
            </w:pPr>
            <w:r>
              <w:rPr>
                <w:rFonts w:hint="eastAsia" w:ascii="仿宋" w:hAnsi="仿宋" w:eastAsia="仿宋" w:cs="仿宋_GB2312"/>
                <w:sz w:val="24"/>
                <w:szCs w:val="24"/>
              </w:rPr>
              <w:t>12</w:t>
            </w:r>
          </w:p>
        </w:tc>
        <w:tc>
          <w:tcPr>
            <w:tcW w:w="1279" w:type="dxa"/>
            <w:tcBorders>
              <w:top w:val="single" w:color="auto" w:sz="4" w:space="0"/>
              <w:left w:val="single" w:color="auto" w:sz="4" w:space="0"/>
              <w:bottom w:val="single" w:color="auto" w:sz="4" w:space="0"/>
              <w:right w:val="single" w:color="auto" w:sz="4" w:space="0"/>
            </w:tcBorders>
            <w:vAlign w:val="center"/>
          </w:tcPr>
          <w:p w14:paraId="34D8F729">
            <w:pPr>
              <w:pStyle w:val="14"/>
              <w:tabs>
                <w:tab w:val="left" w:pos="993"/>
              </w:tabs>
              <w:ind w:firstLine="0" w:firstLineChars="0"/>
              <w:jc w:val="center"/>
              <w:rPr>
                <w:rFonts w:hint="eastAsia" w:ascii="仿宋" w:hAnsi="仿宋" w:eastAsia="仿宋" w:cs="仿宋_GB2312"/>
                <w:sz w:val="24"/>
                <w:szCs w:val="24"/>
              </w:rPr>
            </w:pPr>
            <w:r>
              <w:rPr>
                <w:rFonts w:hint="eastAsia" w:ascii="仿宋" w:hAnsi="仿宋" w:eastAsia="仿宋" w:cs="仿宋_GB2312"/>
                <w:sz w:val="24"/>
                <w:szCs w:val="24"/>
              </w:rPr>
              <w:t>陈  红</w:t>
            </w:r>
          </w:p>
        </w:tc>
        <w:tc>
          <w:tcPr>
            <w:tcW w:w="3165" w:type="dxa"/>
            <w:tcBorders>
              <w:top w:val="single" w:color="auto" w:sz="4" w:space="0"/>
              <w:left w:val="single" w:color="auto" w:sz="4" w:space="0"/>
              <w:bottom w:val="single" w:color="auto" w:sz="4" w:space="0"/>
              <w:right w:val="single" w:color="auto" w:sz="4" w:space="0"/>
            </w:tcBorders>
            <w:vAlign w:val="center"/>
          </w:tcPr>
          <w:p w14:paraId="028E9ED7">
            <w:pPr>
              <w:jc w:val="center"/>
              <w:rPr>
                <w:rFonts w:hint="eastAsia" w:ascii="仿宋" w:hAnsi="仿宋" w:eastAsia="仿宋" w:cs="仿宋_GB2312"/>
                <w:sz w:val="24"/>
                <w:szCs w:val="24"/>
              </w:rPr>
            </w:pPr>
            <w:r>
              <w:rPr>
                <w:rFonts w:ascii="仿宋" w:hAnsi="仿宋" w:eastAsia="仿宋" w:cs="仿宋_GB2312"/>
                <w:sz w:val="24"/>
                <w:szCs w:val="24"/>
              </w:rPr>
              <w:t>海南省</w:t>
            </w:r>
            <w:r>
              <w:rPr>
                <w:rFonts w:ascii="仿宋" w:hAnsi="仿宋" w:eastAsia="仿宋" w:cs="微软雅黑"/>
                <w:sz w:val="24"/>
                <w:szCs w:val="24"/>
              </w:rPr>
              <w:t>血液中心</w:t>
            </w:r>
          </w:p>
        </w:tc>
        <w:tc>
          <w:tcPr>
            <w:tcW w:w="2189" w:type="dxa"/>
            <w:tcBorders>
              <w:top w:val="single" w:color="auto" w:sz="4" w:space="0"/>
              <w:left w:val="single" w:color="auto" w:sz="4" w:space="0"/>
              <w:bottom w:val="single" w:color="auto" w:sz="4" w:space="0"/>
              <w:right w:val="single" w:color="auto" w:sz="4" w:space="0"/>
            </w:tcBorders>
            <w:vAlign w:val="center"/>
          </w:tcPr>
          <w:p w14:paraId="34704166">
            <w:pPr>
              <w:jc w:val="center"/>
              <w:rPr>
                <w:rFonts w:hint="eastAsia" w:ascii="仿宋" w:hAnsi="仿宋" w:eastAsia="仿宋" w:cs="仿宋_GB2312"/>
                <w:sz w:val="24"/>
                <w:szCs w:val="24"/>
              </w:rPr>
            </w:pPr>
            <w:r>
              <w:rPr>
                <w:rFonts w:hint="eastAsia" w:ascii="仿宋" w:hAnsi="仿宋" w:eastAsia="仿宋" w:cs="仿宋_GB2312"/>
                <w:sz w:val="24"/>
                <w:szCs w:val="24"/>
              </w:rPr>
              <w:t>宣传招募科主管护师</w:t>
            </w:r>
          </w:p>
        </w:tc>
        <w:tc>
          <w:tcPr>
            <w:tcW w:w="2552" w:type="dxa"/>
            <w:tcBorders>
              <w:top w:val="single" w:color="auto" w:sz="4" w:space="0"/>
              <w:left w:val="single" w:color="auto" w:sz="4" w:space="0"/>
              <w:bottom w:val="single" w:color="auto" w:sz="4" w:space="0"/>
              <w:right w:val="single" w:color="auto" w:sz="4" w:space="0"/>
            </w:tcBorders>
            <w:vAlign w:val="center"/>
          </w:tcPr>
          <w:p w14:paraId="5189AEBD">
            <w:pPr>
              <w:jc w:val="center"/>
              <w:rPr>
                <w:rFonts w:hint="eastAsia" w:ascii="仿宋" w:hAnsi="仿宋" w:eastAsia="仿宋" w:cs="仿宋_GB2312"/>
                <w:sz w:val="24"/>
                <w:szCs w:val="24"/>
              </w:rPr>
            </w:pPr>
            <w:r>
              <w:rPr>
                <w:rFonts w:hint="eastAsia" w:ascii="仿宋" w:hAnsi="仿宋" w:eastAsia="仿宋" w:cs="仿宋_GB2312"/>
                <w:sz w:val="24"/>
                <w:szCs w:val="24"/>
              </w:rPr>
              <w:t>负责献血数据的整理材料收集、讨论和修改</w:t>
            </w:r>
          </w:p>
        </w:tc>
      </w:tr>
      <w:tr w14:paraId="50294DA3">
        <w:tblPrEx>
          <w:tblCellMar>
            <w:top w:w="0" w:type="dxa"/>
            <w:left w:w="10" w:type="dxa"/>
            <w:bottom w:w="0" w:type="dxa"/>
            <w:right w:w="10" w:type="dxa"/>
          </w:tblCellMar>
        </w:tblPrEx>
        <w:trPr>
          <w:trHeight w:val="454" w:hRule="atLeast"/>
        </w:trPr>
        <w:tc>
          <w:tcPr>
            <w:tcW w:w="875" w:type="dxa"/>
            <w:tcBorders>
              <w:top w:val="single" w:color="auto" w:sz="4" w:space="0"/>
              <w:left w:val="single" w:color="auto" w:sz="4" w:space="0"/>
              <w:bottom w:val="single" w:color="auto" w:sz="4" w:space="0"/>
              <w:right w:val="single" w:color="auto" w:sz="4" w:space="0"/>
            </w:tcBorders>
            <w:vAlign w:val="center"/>
          </w:tcPr>
          <w:p w14:paraId="19E57B49">
            <w:pPr>
              <w:pStyle w:val="14"/>
              <w:tabs>
                <w:tab w:val="left" w:pos="993"/>
              </w:tabs>
              <w:ind w:firstLine="0" w:firstLineChars="0"/>
              <w:jc w:val="center"/>
              <w:rPr>
                <w:rFonts w:hint="eastAsia" w:ascii="仿宋" w:hAnsi="仿宋" w:eastAsia="仿宋" w:cs="仿宋_GB2312"/>
                <w:sz w:val="24"/>
                <w:szCs w:val="24"/>
                <w:lang w:eastAsia="zh-CN"/>
              </w:rPr>
            </w:pPr>
            <w:r>
              <w:rPr>
                <w:rFonts w:hint="eastAsia" w:ascii="仿宋" w:hAnsi="仿宋" w:eastAsia="仿宋" w:cs="仿宋_GB2312"/>
                <w:sz w:val="24"/>
                <w:szCs w:val="24"/>
              </w:rPr>
              <w:t>1</w:t>
            </w:r>
            <w:r>
              <w:rPr>
                <w:rFonts w:hint="eastAsia" w:ascii="仿宋" w:hAnsi="仿宋" w:eastAsia="仿宋" w:cs="仿宋_GB2312"/>
                <w:sz w:val="24"/>
                <w:szCs w:val="24"/>
                <w:lang w:val="en-US" w:eastAsia="zh-CN"/>
              </w:rPr>
              <w:t>3</w:t>
            </w:r>
          </w:p>
        </w:tc>
        <w:tc>
          <w:tcPr>
            <w:tcW w:w="1279" w:type="dxa"/>
            <w:tcBorders>
              <w:top w:val="single" w:color="auto" w:sz="4" w:space="0"/>
              <w:left w:val="single" w:color="auto" w:sz="4" w:space="0"/>
              <w:bottom w:val="single" w:color="auto" w:sz="4" w:space="0"/>
              <w:right w:val="single" w:color="auto" w:sz="4" w:space="0"/>
            </w:tcBorders>
          </w:tcPr>
          <w:p w14:paraId="13B76A4D">
            <w:pPr>
              <w:pStyle w:val="14"/>
              <w:tabs>
                <w:tab w:val="left" w:pos="993"/>
              </w:tabs>
              <w:ind w:firstLine="0" w:firstLineChars="0"/>
              <w:jc w:val="center"/>
              <w:rPr>
                <w:rFonts w:hint="eastAsia" w:ascii="仿宋" w:hAnsi="仿宋" w:eastAsia="仿宋" w:cs="仿宋_GB2312"/>
                <w:sz w:val="24"/>
                <w:szCs w:val="24"/>
              </w:rPr>
            </w:pPr>
            <w:r>
              <w:rPr>
                <w:rFonts w:hint="eastAsia" w:ascii="仿宋" w:hAnsi="仿宋" w:eastAsia="仿宋" w:cs="仿宋_GB2312"/>
                <w:sz w:val="24"/>
                <w:szCs w:val="24"/>
              </w:rPr>
              <w:t>黄文菁</w:t>
            </w:r>
          </w:p>
        </w:tc>
        <w:tc>
          <w:tcPr>
            <w:tcW w:w="3165" w:type="dxa"/>
            <w:tcBorders>
              <w:top w:val="single" w:color="auto" w:sz="4" w:space="0"/>
              <w:left w:val="single" w:color="auto" w:sz="4" w:space="0"/>
              <w:bottom w:val="single" w:color="auto" w:sz="4" w:space="0"/>
              <w:right w:val="single" w:color="auto" w:sz="4" w:space="0"/>
            </w:tcBorders>
          </w:tcPr>
          <w:p w14:paraId="7E75CA16">
            <w:pPr>
              <w:pStyle w:val="14"/>
              <w:tabs>
                <w:tab w:val="left" w:pos="993"/>
              </w:tabs>
              <w:ind w:firstLine="0" w:firstLineChars="0"/>
              <w:jc w:val="center"/>
              <w:rPr>
                <w:rFonts w:hint="eastAsia" w:ascii="仿宋" w:hAnsi="仿宋" w:eastAsia="仿宋" w:cs="仿宋_GB2312"/>
                <w:sz w:val="24"/>
                <w:szCs w:val="24"/>
              </w:rPr>
            </w:pPr>
            <w:r>
              <w:rPr>
                <w:rFonts w:hint="eastAsia" w:ascii="仿宋" w:hAnsi="仿宋" w:eastAsia="仿宋" w:cs="仿宋_GB2312"/>
                <w:sz w:val="24"/>
                <w:szCs w:val="24"/>
              </w:rPr>
              <w:t>中国人民解放军联勤保障部队第九二八医院</w:t>
            </w:r>
          </w:p>
        </w:tc>
        <w:tc>
          <w:tcPr>
            <w:tcW w:w="2189" w:type="dxa"/>
            <w:tcBorders>
              <w:top w:val="single" w:color="auto" w:sz="4" w:space="0"/>
              <w:left w:val="single" w:color="auto" w:sz="4" w:space="0"/>
              <w:bottom w:val="single" w:color="auto" w:sz="4" w:space="0"/>
              <w:right w:val="single" w:color="auto" w:sz="4" w:space="0"/>
            </w:tcBorders>
          </w:tcPr>
          <w:p w14:paraId="07D69E17">
            <w:pPr>
              <w:pStyle w:val="14"/>
              <w:tabs>
                <w:tab w:val="left" w:pos="993"/>
              </w:tabs>
              <w:ind w:firstLine="0" w:firstLineChars="0"/>
              <w:jc w:val="center"/>
              <w:rPr>
                <w:rFonts w:hint="eastAsia" w:ascii="仿宋" w:hAnsi="仿宋" w:eastAsia="仿宋" w:cs="仿宋_GB2312"/>
                <w:sz w:val="24"/>
                <w:szCs w:val="24"/>
              </w:rPr>
            </w:pPr>
            <w:r>
              <w:rPr>
                <w:rFonts w:hint="eastAsia" w:ascii="仿宋" w:hAnsi="仿宋" w:eastAsia="仿宋" w:cs="仿宋_GB2312"/>
                <w:sz w:val="24"/>
                <w:szCs w:val="24"/>
              </w:rPr>
              <w:t>输血医学科主任</w:t>
            </w:r>
          </w:p>
        </w:tc>
        <w:tc>
          <w:tcPr>
            <w:tcW w:w="2552" w:type="dxa"/>
            <w:tcBorders>
              <w:top w:val="single" w:color="auto" w:sz="4" w:space="0"/>
              <w:left w:val="single" w:color="auto" w:sz="4" w:space="0"/>
              <w:bottom w:val="single" w:color="auto" w:sz="4" w:space="0"/>
              <w:right w:val="single" w:color="auto" w:sz="4" w:space="0"/>
            </w:tcBorders>
          </w:tcPr>
          <w:p w14:paraId="4F7B81A4">
            <w:pPr>
              <w:pStyle w:val="14"/>
              <w:tabs>
                <w:tab w:val="left" w:pos="993"/>
              </w:tabs>
              <w:ind w:firstLine="0" w:firstLineChars="0"/>
              <w:jc w:val="center"/>
              <w:rPr>
                <w:rFonts w:hint="eastAsia" w:ascii="仿宋" w:hAnsi="仿宋" w:eastAsia="仿宋" w:cs="仿宋_GB2312"/>
                <w:sz w:val="24"/>
                <w:szCs w:val="24"/>
              </w:rPr>
            </w:pPr>
            <w:r>
              <w:rPr>
                <w:rFonts w:hint="eastAsia" w:ascii="仿宋" w:hAnsi="仿宋" w:eastAsia="仿宋" w:cs="仿宋_GB2312"/>
                <w:sz w:val="24"/>
                <w:szCs w:val="24"/>
              </w:rPr>
              <w:t>负责用血机构材料收集、讨论和修改</w:t>
            </w:r>
          </w:p>
        </w:tc>
      </w:tr>
      <w:tr w14:paraId="26658357">
        <w:tblPrEx>
          <w:tblCellMar>
            <w:top w:w="0" w:type="dxa"/>
            <w:left w:w="10" w:type="dxa"/>
            <w:bottom w:w="0" w:type="dxa"/>
            <w:right w:w="10" w:type="dxa"/>
          </w:tblCellMar>
        </w:tblPrEx>
        <w:trPr>
          <w:trHeight w:val="454" w:hRule="atLeast"/>
        </w:trPr>
        <w:tc>
          <w:tcPr>
            <w:tcW w:w="875" w:type="dxa"/>
            <w:tcBorders>
              <w:top w:val="single" w:color="auto" w:sz="4" w:space="0"/>
              <w:left w:val="single" w:color="auto" w:sz="4" w:space="0"/>
              <w:bottom w:val="single" w:color="auto" w:sz="4" w:space="0"/>
              <w:right w:val="single" w:color="auto" w:sz="4" w:space="0"/>
            </w:tcBorders>
            <w:vAlign w:val="center"/>
          </w:tcPr>
          <w:p w14:paraId="5B9456FB">
            <w:pPr>
              <w:pStyle w:val="14"/>
              <w:tabs>
                <w:tab w:val="left" w:pos="993"/>
              </w:tabs>
              <w:ind w:firstLine="0" w:firstLineChars="0"/>
              <w:jc w:val="center"/>
              <w:rPr>
                <w:rFonts w:hint="eastAsia" w:ascii="仿宋" w:hAnsi="仿宋" w:eastAsia="仿宋" w:cs="仿宋_GB2312"/>
                <w:sz w:val="24"/>
                <w:szCs w:val="24"/>
                <w:lang w:eastAsia="zh-CN"/>
              </w:rPr>
            </w:pPr>
            <w:r>
              <w:rPr>
                <w:rFonts w:hint="eastAsia" w:ascii="仿宋" w:hAnsi="仿宋" w:eastAsia="仿宋" w:cs="仿宋_GB2312"/>
                <w:sz w:val="24"/>
                <w:szCs w:val="24"/>
              </w:rPr>
              <w:t>1</w:t>
            </w:r>
            <w:r>
              <w:rPr>
                <w:rFonts w:hint="eastAsia" w:ascii="仿宋" w:hAnsi="仿宋" w:eastAsia="仿宋" w:cs="仿宋_GB2312"/>
                <w:sz w:val="24"/>
                <w:szCs w:val="24"/>
                <w:lang w:val="en-US" w:eastAsia="zh-CN"/>
              </w:rPr>
              <w:t>4</w:t>
            </w:r>
          </w:p>
        </w:tc>
        <w:tc>
          <w:tcPr>
            <w:tcW w:w="1279" w:type="dxa"/>
            <w:tcBorders>
              <w:top w:val="single" w:color="auto" w:sz="4" w:space="0"/>
              <w:left w:val="single" w:color="auto" w:sz="4" w:space="0"/>
              <w:bottom w:val="single" w:color="auto" w:sz="4" w:space="0"/>
              <w:right w:val="single" w:color="auto" w:sz="4" w:space="0"/>
            </w:tcBorders>
            <w:vAlign w:val="center"/>
          </w:tcPr>
          <w:p w14:paraId="64D9C32F">
            <w:pPr>
              <w:jc w:val="center"/>
              <w:rPr>
                <w:rFonts w:hint="eastAsia" w:ascii="仿宋" w:hAnsi="仿宋" w:eastAsia="仿宋" w:cs="仿宋_GB2312"/>
                <w:sz w:val="24"/>
                <w:szCs w:val="24"/>
              </w:rPr>
            </w:pPr>
            <w:r>
              <w:rPr>
                <w:rFonts w:hint="eastAsia" w:ascii="仿宋" w:hAnsi="仿宋" w:eastAsia="仿宋" w:cs="仿宋_GB2312"/>
                <w:sz w:val="24"/>
                <w:szCs w:val="24"/>
              </w:rPr>
              <w:t>杜  磊</w:t>
            </w:r>
          </w:p>
        </w:tc>
        <w:tc>
          <w:tcPr>
            <w:tcW w:w="3165" w:type="dxa"/>
            <w:tcBorders>
              <w:top w:val="single" w:color="auto" w:sz="4" w:space="0"/>
              <w:left w:val="single" w:color="auto" w:sz="4" w:space="0"/>
              <w:bottom w:val="single" w:color="auto" w:sz="4" w:space="0"/>
              <w:right w:val="single" w:color="auto" w:sz="4" w:space="0"/>
            </w:tcBorders>
            <w:vAlign w:val="center"/>
          </w:tcPr>
          <w:p w14:paraId="1121C06A">
            <w:pPr>
              <w:jc w:val="center"/>
              <w:rPr>
                <w:rFonts w:hint="eastAsia" w:ascii="仿宋" w:hAnsi="仿宋" w:eastAsia="仿宋" w:cs="仿宋_GB2312"/>
                <w:sz w:val="24"/>
                <w:szCs w:val="24"/>
              </w:rPr>
            </w:pPr>
            <w:r>
              <w:rPr>
                <w:rFonts w:hint="eastAsia" w:ascii="仿宋" w:hAnsi="仿宋" w:eastAsia="仿宋" w:cs="仿宋_GB2312"/>
                <w:sz w:val="24"/>
                <w:szCs w:val="24"/>
              </w:rPr>
              <w:t>海南省标准化协会</w:t>
            </w:r>
          </w:p>
        </w:tc>
        <w:tc>
          <w:tcPr>
            <w:tcW w:w="2189" w:type="dxa"/>
            <w:tcBorders>
              <w:top w:val="single" w:color="auto" w:sz="4" w:space="0"/>
              <w:left w:val="single" w:color="auto" w:sz="4" w:space="0"/>
              <w:bottom w:val="single" w:color="auto" w:sz="4" w:space="0"/>
              <w:right w:val="single" w:color="auto" w:sz="4" w:space="0"/>
            </w:tcBorders>
            <w:vAlign w:val="center"/>
          </w:tcPr>
          <w:p w14:paraId="56DF49EB">
            <w:pPr>
              <w:jc w:val="center"/>
              <w:rPr>
                <w:rFonts w:hint="eastAsia" w:ascii="仿宋" w:hAnsi="仿宋" w:eastAsia="仿宋" w:cs="仿宋_GB2312"/>
                <w:sz w:val="24"/>
                <w:szCs w:val="24"/>
              </w:rPr>
            </w:pPr>
            <w:r>
              <w:rPr>
                <w:rFonts w:hint="eastAsia" w:ascii="仿宋" w:hAnsi="仿宋" w:eastAsia="仿宋" w:cs="仿宋_GB2312"/>
                <w:sz w:val="24"/>
                <w:szCs w:val="24"/>
              </w:rPr>
              <w:t>秘书长</w:t>
            </w:r>
          </w:p>
        </w:tc>
        <w:tc>
          <w:tcPr>
            <w:tcW w:w="2552" w:type="dxa"/>
            <w:tcBorders>
              <w:top w:val="single" w:color="auto" w:sz="4" w:space="0"/>
              <w:left w:val="single" w:color="auto" w:sz="4" w:space="0"/>
              <w:bottom w:val="single" w:color="auto" w:sz="4" w:space="0"/>
              <w:right w:val="single" w:color="auto" w:sz="4" w:space="0"/>
            </w:tcBorders>
            <w:vAlign w:val="center"/>
          </w:tcPr>
          <w:p w14:paraId="4F23AB0A">
            <w:pPr>
              <w:jc w:val="center"/>
              <w:rPr>
                <w:rFonts w:hint="eastAsia" w:ascii="仿宋" w:hAnsi="仿宋" w:eastAsia="仿宋" w:cs="仿宋_GB2312"/>
                <w:sz w:val="24"/>
                <w:szCs w:val="24"/>
              </w:rPr>
            </w:pPr>
            <w:r>
              <w:rPr>
                <w:rFonts w:hint="eastAsia" w:ascii="仿宋" w:hAnsi="仿宋" w:eastAsia="仿宋" w:cs="仿宋_GB2312"/>
                <w:sz w:val="24"/>
                <w:szCs w:val="24"/>
              </w:rPr>
              <w:t>业务协调、标准修改</w:t>
            </w:r>
          </w:p>
        </w:tc>
      </w:tr>
      <w:tr w14:paraId="173BF276">
        <w:tblPrEx>
          <w:tblCellMar>
            <w:top w:w="0" w:type="dxa"/>
            <w:left w:w="10" w:type="dxa"/>
            <w:bottom w:w="0" w:type="dxa"/>
            <w:right w:w="10" w:type="dxa"/>
          </w:tblCellMar>
        </w:tblPrEx>
        <w:trPr>
          <w:trHeight w:val="454" w:hRule="atLeast"/>
        </w:trPr>
        <w:tc>
          <w:tcPr>
            <w:tcW w:w="875" w:type="dxa"/>
            <w:tcBorders>
              <w:top w:val="single" w:color="auto" w:sz="4" w:space="0"/>
              <w:left w:val="single" w:color="auto" w:sz="4" w:space="0"/>
              <w:bottom w:val="single" w:color="auto" w:sz="4" w:space="0"/>
              <w:right w:val="single" w:color="auto" w:sz="4" w:space="0"/>
            </w:tcBorders>
            <w:vAlign w:val="center"/>
          </w:tcPr>
          <w:p w14:paraId="1F6C58E1">
            <w:pPr>
              <w:pStyle w:val="14"/>
              <w:tabs>
                <w:tab w:val="left" w:pos="993"/>
              </w:tabs>
              <w:ind w:firstLine="0" w:firstLineChars="0"/>
              <w:jc w:val="center"/>
              <w:rPr>
                <w:rFonts w:hint="eastAsia" w:ascii="仿宋" w:hAnsi="仿宋" w:eastAsia="仿宋" w:cs="仿宋_GB2312"/>
                <w:sz w:val="24"/>
                <w:szCs w:val="24"/>
                <w:lang w:eastAsia="zh-CN"/>
              </w:rPr>
            </w:pPr>
            <w:r>
              <w:rPr>
                <w:rFonts w:hint="eastAsia" w:ascii="仿宋" w:hAnsi="仿宋" w:eastAsia="仿宋" w:cs="仿宋_GB2312"/>
                <w:sz w:val="24"/>
                <w:szCs w:val="24"/>
              </w:rPr>
              <w:t>1</w:t>
            </w:r>
            <w:r>
              <w:rPr>
                <w:rFonts w:hint="eastAsia" w:ascii="仿宋" w:hAnsi="仿宋" w:eastAsia="仿宋" w:cs="仿宋_GB2312"/>
                <w:sz w:val="24"/>
                <w:szCs w:val="24"/>
                <w:lang w:val="en-US" w:eastAsia="zh-CN"/>
              </w:rPr>
              <w:t>5</w:t>
            </w:r>
          </w:p>
        </w:tc>
        <w:tc>
          <w:tcPr>
            <w:tcW w:w="1279" w:type="dxa"/>
            <w:tcBorders>
              <w:top w:val="single" w:color="auto" w:sz="4" w:space="0"/>
              <w:left w:val="single" w:color="auto" w:sz="4" w:space="0"/>
              <w:bottom w:val="single" w:color="auto" w:sz="4" w:space="0"/>
              <w:right w:val="single" w:color="auto" w:sz="4" w:space="0"/>
            </w:tcBorders>
            <w:vAlign w:val="center"/>
          </w:tcPr>
          <w:p w14:paraId="1A9A7307">
            <w:pPr>
              <w:pStyle w:val="14"/>
              <w:tabs>
                <w:tab w:val="left" w:pos="993"/>
              </w:tabs>
              <w:ind w:firstLine="0" w:firstLineChars="0"/>
              <w:jc w:val="center"/>
              <w:rPr>
                <w:rFonts w:hint="eastAsia" w:ascii="仿宋" w:hAnsi="仿宋" w:eastAsia="仿宋" w:cs="仿宋_GB2312"/>
                <w:sz w:val="24"/>
                <w:szCs w:val="24"/>
              </w:rPr>
            </w:pPr>
            <w:r>
              <w:rPr>
                <w:rFonts w:hint="eastAsia" w:ascii="仿宋" w:hAnsi="仿宋" w:eastAsia="仿宋" w:cs="仿宋_GB2312"/>
                <w:sz w:val="24"/>
                <w:szCs w:val="24"/>
              </w:rPr>
              <w:t>竺  沁</w:t>
            </w:r>
          </w:p>
        </w:tc>
        <w:tc>
          <w:tcPr>
            <w:tcW w:w="3165" w:type="dxa"/>
            <w:tcBorders>
              <w:top w:val="single" w:color="auto" w:sz="4" w:space="0"/>
              <w:left w:val="single" w:color="auto" w:sz="4" w:space="0"/>
              <w:bottom w:val="single" w:color="auto" w:sz="4" w:space="0"/>
              <w:right w:val="single" w:color="auto" w:sz="4" w:space="0"/>
            </w:tcBorders>
            <w:vAlign w:val="center"/>
          </w:tcPr>
          <w:p w14:paraId="323B8B5E">
            <w:pPr>
              <w:jc w:val="center"/>
              <w:rPr>
                <w:rFonts w:hint="eastAsia" w:ascii="仿宋" w:hAnsi="仿宋" w:eastAsia="仿宋" w:cs="仿宋_GB2312"/>
                <w:sz w:val="24"/>
                <w:szCs w:val="24"/>
              </w:rPr>
            </w:pPr>
            <w:r>
              <w:rPr>
                <w:rFonts w:hint="eastAsia" w:ascii="仿宋" w:hAnsi="仿宋" w:eastAsia="仿宋" w:cs="仿宋_GB2312"/>
                <w:sz w:val="24"/>
                <w:szCs w:val="24"/>
              </w:rPr>
              <w:t>海南省标准化协会</w:t>
            </w:r>
          </w:p>
        </w:tc>
        <w:tc>
          <w:tcPr>
            <w:tcW w:w="2189" w:type="dxa"/>
            <w:tcBorders>
              <w:top w:val="single" w:color="auto" w:sz="4" w:space="0"/>
              <w:left w:val="single" w:color="auto" w:sz="4" w:space="0"/>
              <w:bottom w:val="single" w:color="auto" w:sz="4" w:space="0"/>
              <w:right w:val="single" w:color="auto" w:sz="4" w:space="0"/>
            </w:tcBorders>
            <w:vAlign w:val="center"/>
          </w:tcPr>
          <w:p w14:paraId="315E54FD">
            <w:pPr>
              <w:jc w:val="center"/>
              <w:rPr>
                <w:rFonts w:hint="eastAsia" w:ascii="仿宋" w:hAnsi="仿宋" w:eastAsia="仿宋" w:cs="仿宋_GB2312"/>
                <w:sz w:val="24"/>
                <w:szCs w:val="24"/>
              </w:rPr>
            </w:pPr>
            <w:r>
              <w:rPr>
                <w:rFonts w:hint="eastAsia" w:ascii="仿宋" w:hAnsi="仿宋" w:eastAsia="仿宋" w:cs="仿宋_GB2312"/>
                <w:sz w:val="24"/>
                <w:szCs w:val="24"/>
              </w:rPr>
              <w:t>标准技术部副部长</w:t>
            </w:r>
          </w:p>
        </w:tc>
        <w:tc>
          <w:tcPr>
            <w:tcW w:w="2552" w:type="dxa"/>
            <w:tcBorders>
              <w:top w:val="single" w:color="auto" w:sz="4" w:space="0"/>
              <w:left w:val="single" w:color="auto" w:sz="4" w:space="0"/>
              <w:bottom w:val="single" w:color="auto" w:sz="4" w:space="0"/>
              <w:right w:val="single" w:color="auto" w:sz="4" w:space="0"/>
            </w:tcBorders>
            <w:vAlign w:val="center"/>
          </w:tcPr>
          <w:p w14:paraId="0AEF3E76">
            <w:pPr>
              <w:jc w:val="center"/>
              <w:rPr>
                <w:rFonts w:hint="eastAsia" w:ascii="仿宋" w:hAnsi="仿宋" w:eastAsia="仿宋" w:cs="仿宋_GB2312"/>
                <w:sz w:val="24"/>
                <w:szCs w:val="24"/>
              </w:rPr>
            </w:pPr>
            <w:r>
              <w:rPr>
                <w:rFonts w:hint="eastAsia" w:ascii="仿宋" w:hAnsi="仿宋" w:eastAsia="仿宋" w:cs="仿宋_GB2312"/>
                <w:sz w:val="24"/>
                <w:szCs w:val="24"/>
              </w:rPr>
              <w:t>业务协调、标准编制</w:t>
            </w:r>
          </w:p>
        </w:tc>
      </w:tr>
      <w:tr w14:paraId="5B234D6E">
        <w:tblPrEx>
          <w:tblCellMar>
            <w:top w:w="0" w:type="dxa"/>
            <w:left w:w="10" w:type="dxa"/>
            <w:bottom w:w="0" w:type="dxa"/>
            <w:right w:w="10" w:type="dxa"/>
          </w:tblCellMar>
        </w:tblPrEx>
        <w:trPr>
          <w:trHeight w:val="454" w:hRule="atLeast"/>
        </w:trPr>
        <w:tc>
          <w:tcPr>
            <w:tcW w:w="875" w:type="dxa"/>
            <w:tcBorders>
              <w:top w:val="single" w:color="auto" w:sz="4" w:space="0"/>
              <w:left w:val="single" w:color="auto" w:sz="4" w:space="0"/>
              <w:bottom w:val="single" w:color="auto" w:sz="4" w:space="0"/>
              <w:right w:val="single" w:color="auto" w:sz="4" w:space="0"/>
            </w:tcBorders>
            <w:vAlign w:val="center"/>
          </w:tcPr>
          <w:p w14:paraId="71D1582E">
            <w:pPr>
              <w:pStyle w:val="14"/>
              <w:tabs>
                <w:tab w:val="left" w:pos="993"/>
              </w:tabs>
              <w:ind w:firstLine="0" w:firstLineChars="0"/>
              <w:jc w:val="center"/>
              <w:rPr>
                <w:rFonts w:hint="eastAsia" w:ascii="仿宋" w:hAnsi="仿宋" w:eastAsia="仿宋" w:cs="仿宋_GB2312"/>
                <w:sz w:val="24"/>
                <w:szCs w:val="24"/>
                <w:lang w:eastAsia="zh-CN"/>
              </w:rPr>
            </w:pPr>
            <w:r>
              <w:rPr>
                <w:rFonts w:hint="eastAsia" w:ascii="仿宋" w:hAnsi="仿宋" w:eastAsia="仿宋" w:cs="仿宋_GB2312"/>
                <w:sz w:val="24"/>
                <w:szCs w:val="24"/>
              </w:rPr>
              <w:t>1</w:t>
            </w:r>
            <w:r>
              <w:rPr>
                <w:rFonts w:hint="eastAsia" w:ascii="仿宋" w:hAnsi="仿宋" w:eastAsia="仿宋" w:cs="仿宋_GB2312"/>
                <w:sz w:val="24"/>
                <w:szCs w:val="24"/>
                <w:lang w:val="en-US" w:eastAsia="zh-CN"/>
              </w:rPr>
              <w:t>6</w:t>
            </w:r>
          </w:p>
        </w:tc>
        <w:tc>
          <w:tcPr>
            <w:tcW w:w="1279" w:type="dxa"/>
            <w:tcBorders>
              <w:top w:val="single" w:color="auto" w:sz="4" w:space="0"/>
              <w:left w:val="single" w:color="auto" w:sz="4" w:space="0"/>
              <w:bottom w:val="single" w:color="auto" w:sz="4" w:space="0"/>
              <w:right w:val="single" w:color="auto" w:sz="4" w:space="0"/>
            </w:tcBorders>
            <w:vAlign w:val="center"/>
          </w:tcPr>
          <w:p w14:paraId="0730C936">
            <w:pPr>
              <w:pStyle w:val="14"/>
              <w:tabs>
                <w:tab w:val="left" w:pos="993"/>
              </w:tabs>
              <w:ind w:firstLine="0" w:firstLineChars="0"/>
              <w:jc w:val="center"/>
              <w:rPr>
                <w:rFonts w:hint="eastAsia" w:ascii="仿宋" w:hAnsi="仿宋" w:eastAsia="仿宋" w:cs="仿宋_GB2312"/>
                <w:sz w:val="24"/>
                <w:szCs w:val="24"/>
              </w:rPr>
            </w:pPr>
            <w:r>
              <w:rPr>
                <w:rFonts w:hint="eastAsia" w:ascii="仿宋" w:hAnsi="仿宋" w:eastAsia="仿宋" w:cs="仿宋_GB2312"/>
                <w:sz w:val="24"/>
                <w:szCs w:val="24"/>
              </w:rPr>
              <w:t>黄家将</w:t>
            </w:r>
          </w:p>
        </w:tc>
        <w:tc>
          <w:tcPr>
            <w:tcW w:w="3165" w:type="dxa"/>
            <w:tcBorders>
              <w:top w:val="single" w:color="auto" w:sz="4" w:space="0"/>
              <w:left w:val="single" w:color="auto" w:sz="4" w:space="0"/>
              <w:bottom w:val="single" w:color="auto" w:sz="4" w:space="0"/>
              <w:right w:val="single" w:color="auto" w:sz="4" w:space="0"/>
            </w:tcBorders>
            <w:vAlign w:val="center"/>
          </w:tcPr>
          <w:p w14:paraId="75A3D0B0">
            <w:pPr>
              <w:jc w:val="center"/>
              <w:rPr>
                <w:rFonts w:hint="eastAsia" w:ascii="仿宋" w:hAnsi="仿宋" w:eastAsia="仿宋" w:cs="仿宋_GB2312"/>
                <w:sz w:val="24"/>
                <w:szCs w:val="24"/>
              </w:rPr>
            </w:pPr>
            <w:r>
              <w:rPr>
                <w:rFonts w:hint="eastAsia" w:ascii="仿宋" w:hAnsi="仿宋" w:eastAsia="仿宋" w:cs="仿宋_GB2312"/>
                <w:sz w:val="24"/>
                <w:szCs w:val="24"/>
              </w:rPr>
              <w:t>海南省标准化协会</w:t>
            </w:r>
          </w:p>
        </w:tc>
        <w:tc>
          <w:tcPr>
            <w:tcW w:w="2189" w:type="dxa"/>
            <w:tcBorders>
              <w:top w:val="single" w:color="auto" w:sz="4" w:space="0"/>
              <w:left w:val="single" w:color="auto" w:sz="4" w:space="0"/>
              <w:bottom w:val="single" w:color="auto" w:sz="4" w:space="0"/>
              <w:right w:val="single" w:color="auto" w:sz="4" w:space="0"/>
            </w:tcBorders>
            <w:vAlign w:val="center"/>
          </w:tcPr>
          <w:p w14:paraId="2889F95C">
            <w:pPr>
              <w:jc w:val="center"/>
              <w:rPr>
                <w:rFonts w:hint="eastAsia" w:ascii="仿宋" w:hAnsi="仿宋" w:eastAsia="仿宋" w:cs="仿宋_GB2312"/>
                <w:sz w:val="24"/>
                <w:szCs w:val="24"/>
              </w:rPr>
            </w:pPr>
            <w:r>
              <w:rPr>
                <w:rFonts w:hint="eastAsia" w:ascii="仿宋" w:hAnsi="仿宋" w:eastAsia="仿宋" w:cs="仿宋_GB2312"/>
                <w:sz w:val="24"/>
                <w:szCs w:val="24"/>
              </w:rPr>
              <w:t>团标部部长</w:t>
            </w:r>
          </w:p>
        </w:tc>
        <w:tc>
          <w:tcPr>
            <w:tcW w:w="2552" w:type="dxa"/>
            <w:tcBorders>
              <w:top w:val="single" w:color="auto" w:sz="4" w:space="0"/>
              <w:left w:val="single" w:color="auto" w:sz="4" w:space="0"/>
              <w:bottom w:val="single" w:color="auto" w:sz="4" w:space="0"/>
              <w:right w:val="single" w:color="auto" w:sz="4" w:space="0"/>
            </w:tcBorders>
            <w:vAlign w:val="center"/>
          </w:tcPr>
          <w:p w14:paraId="502FF6FE">
            <w:pPr>
              <w:jc w:val="center"/>
              <w:rPr>
                <w:rFonts w:hint="eastAsia" w:ascii="仿宋" w:hAnsi="仿宋" w:eastAsia="仿宋" w:cs="仿宋_GB2312"/>
                <w:sz w:val="24"/>
                <w:szCs w:val="24"/>
                <w:lang w:eastAsia="zh-CN"/>
              </w:rPr>
            </w:pPr>
            <w:r>
              <w:rPr>
                <w:rFonts w:hint="eastAsia" w:ascii="仿宋" w:hAnsi="仿宋" w:eastAsia="仿宋" w:cs="仿宋_GB2312"/>
                <w:sz w:val="24"/>
                <w:szCs w:val="24"/>
              </w:rPr>
              <w:t>标准修改</w:t>
            </w:r>
            <w:r>
              <w:rPr>
                <w:rFonts w:hint="eastAsia" w:ascii="仿宋" w:hAnsi="仿宋" w:eastAsia="仿宋" w:cs="仿宋_GB2312"/>
                <w:sz w:val="24"/>
                <w:szCs w:val="24"/>
                <w:lang w:eastAsia="zh-CN"/>
              </w:rPr>
              <w:t>、</w:t>
            </w:r>
            <w:r>
              <w:rPr>
                <w:rFonts w:hint="eastAsia" w:ascii="仿宋" w:hAnsi="仿宋" w:eastAsia="仿宋" w:cs="仿宋_GB2312"/>
                <w:sz w:val="24"/>
                <w:szCs w:val="24"/>
              </w:rPr>
              <w:t>规范格式</w:t>
            </w:r>
          </w:p>
        </w:tc>
      </w:tr>
      <w:tr w14:paraId="72AEEE0B">
        <w:tblPrEx>
          <w:tblCellMar>
            <w:top w:w="0" w:type="dxa"/>
            <w:left w:w="10" w:type="dxa"/>
            <w:bottom w:w="0" w:type="dxa"/>
            <w:right w:w="10" w:type="dxa"/>
          </w:tblCellMar>
        </w:tblPrEx>
        <w:trPr>
          <w:trHeight w:val="454" w:hRule="atLeast"/>
        </w:trPr>
        <w:tc>
          <w:tcPr>
            <w:tcW w:w="875" w:type="dxa"/>
            <w:tcBorders>
              <w:top w:val="single" w:color="auto" w:sz="4" w:space="0"/>
              <w:left w:val="single" w:color="auto" w:sz="4" w:space="0"/>
              <w:bottom w:val="single" w:color="auto" w:sz="4" w:space="0"/>
              <w:right w:val="single" w:color="auto" w:sz="4" w:space="0"/>
            </w:tcBorders>
            <w:vAlign w:val="center"/>
          </w:tcPr>
          <w:p w14:paraId="745E6906">
            <w:pPr>
              <w:pStyle w:val="14"/>
              <w:tabs>
                <w:tab w:val="left" w:pos="993"/>
              </w:tabs>
              <w:ind w:firstLine="0" w:firstLineChars="0"/>
              <w:jc w:val="center"/>
              <w:rPr>
                <w:rFonts w:hint="eastAsia" w:ascii="仿宋" w:hAnsi="仿宋" w:eastAsia="仿宋" w:cs="仿宋_GB2312"/>
                <w:sz w:val="24"/>
                <w:szCs w:val="24"/>
                <w:lang w:eastAsia="zh-CN"/>
              </w:rPr>
            </w:pPr>
            <w:r>
              <w:rPr>
                <w:rFonts w:hint="eastAsia" w:ascii="仿宋" w:hAnsi="仿宋" w:eastAsia="仿宋" w:cs="仿宋_GB2312"/>
                <w:sz w:val="24"/>
                <w:szCs w:val="24"/>
              </w:rPr>
              <w:t>1</w:t>
            </w:r>
            <w:r>
              <w:rPr>
                <w:rFonts w:hint="eastAsia" w:ascii="仿宋" w:hAnsi="仿宋" w:eastAsia="仿宋" w:cs="仿宋_GB2312"/>
                <w:sz w:val="24"/>
                <w:szCs w:val="24"/>
                <w:lang w:val="en-US" w:eastAsia="zh-CN"/>
              </w:rPr>
              <w:t>7</w:t>
            </w:r>
          </w:p>
        </w:tc>
        <w:tc>
          <w:tcPr>
            <w:tcW w:w="1279" w:type="dxa"/>
            <w:tcBorders>
              <w:top w:val="single" w:color="auto" w:sz="4" w:space="0"/>
              <w:left w:val="single" w:color="auto" w:sz="4" w:space="0"/>
              <w:bottom w:val="single" w:color="auto" w:sz="4" w:space="0"/>
              <w:right w:val="single" w:color="auto" w:sz="4" w:space="0"/>
            </w:tcBorders>
            <w:vAlign w:val="center"/>
          </w:tcPr>
          <w:p w14:paraId="64EFF2E1">
            <w:pPr>
              <w:pStyle w:val="14"/>
              <w:tabs>
                <w:tab w:val="left" w:pos="993"/>
              </w:tabs>
              <w:ind w:firstLine="0" w:firstLineChars="0"/>
              <w:jc w:val="center"/>
              <w:rPr>
                <w:rFonts w:hint="eastAsia" w:ascii="仿宋" w:hAnsi="仿宋" w:eastAsia="仿宋" w:cs="仿宋_GB2312"/>
                <w:sz w:val="24"/>
                <w:szCs w:val="24"/>
              </w:rPr>
            </w:pPr>
            <w:r>
              <w:rPr>
                <w:rFonts w:hint="eastAsia" w:ascii="仿宋" w:hAnsi="仿宋" w:eastAsia="仿宋" w:cs="仿宋_GB2312"/>
                <w:sz w:val="24"/>
                <w:szCs w:val="24"/>
              </w:rPr>
              <w:t>芦  圆</w:t>
            </w:r>
          </w:p>
        </w:tc>
        <w:tc>
          <w:tcPr>
            <w:tcW w:w="3165" w:type="dxa"/>
            <w:tcBorders>
              <w:top w:val="single" w:color="auto" w:sz="4" w:space="0"/>
              <w:left w:val="single" w:color="auto" w:sz="4" w:space="0"/>
              <w:bottom w:val="single" w:color="auto" w:sz="4" w:space="0"/>
              <w:right w:val="single" w:color="auto" w:sz="4" w:space="0"/>
            </w:tcBorders>
            <w:vAlign w:val="center"/>
          </w:tcPr>
          <w:p w14:paraId="64458A90">
            <w:pPr>
              <w:jc w:val="center"/>
              <w:rPr>
                <w:rFonts w:hint="eastAsia" w:ascii="仿宋" w:hAnsi="仿宋" w:eastAsia="仿宋" w:cs="仿宋_GB2312"/>
                <w:sz w:val="24"/>
                <w:szCs w:val="24"/>
              </w:rPr>
            </w:pPr>
            <w:r>
              <w:rPr>
                <w:rFonts w:hint="eastAsia" w:ascii="仿宋" w:hAnsi="仿宋" w:eastAsia="仿宋" w:cs="仿宋_GB2312"/>
                <w:sz w:val="24"/>
                <w:szCs w:val="24"/>
              </w:rPr>
              <w:t>海南省标准化协会</w:t>
            </w:r>
          </w:p>
        </w:tc>
        <w:tc>
          <w:tcPr>
            <w:tcW w:w="2189" w:type="dxa"/>
            <w:tcBorders>
              <w:top w:val="single" w:color="auto" w:sz="4" w:space="0"/>
              <w:left w:val="single" w:color="auto" w:sz="4" w:space="0"/>
              <w:bottom w:val="single" w:color="auto" w:sz="4" w:space="0"/>
              <w:right w:val="single" w:color="auto" w:sz="4" w:space="0"/>
            </w:tcBorders>
            <w:vAlign w:val="center"/>
          </w:tcPr>
          <w:p w14:paraId="5AE19492">
            <w:pPr>
              <w:jc w:val="center"/>
              <w:rPr>
                <w:rFonts w:hint="eastAsia" w:ascii="仿宋" w:hAnsi="仿宋" w:eastAsia="仿宋" w:cs="仿宋_GB2312"/>
                <w:sz w:val="24"/>
                <w:szCs w:val="24"/>
              </w:rPr>
            </w:pPr>
            <w:r>
              <w:rPr>
                <w:rFonts w:hint="eastAsia" w:ascii="仿宋" w:hAnsi="仿宋" w:eastAsia="仿宋" w:cs="仿宋_GB2312"/>
                <w:sz w:val="24"/>
                <w:szCs w:val="24"/>
              </w:rPr>
              <w:t>会员服务部副部长</w:t>
            </w:r>
          </w:p>
        </w:tc>
        <w:tc>
          <w:tcPr>
            <w:tcW w:w="2552" w:type="dxa"/>
            <w:tcBorders>
              <w:top w:val="single" w:color="auto" w:sz="4" w:space="0"/>
              <w:left w:val="single" w:color="auto" w:sz="4" w:space="0"/>
              <w:bottom w:val="single" w:color="auto" w:sz="4" w:space="0"/>
              <w:right w:val="single" w:color="auto" w:sz="4" w:space="0"/>
            </w:tcBorders>
            <w:vAlign w:val="center"/>
          </w:tcPr>
          <w:p w14:paraId="1B0D9236">
            <w:pPr>
              <w:jc w:val="center"/>
              <w:rPr>
                <w:rFonts w:hint="eastAsia" w:ascii="仿宋" w:hAnsi="仿宋" w:eastAsia="仿宋" w:cs="仿宋_GB2312"/>
                <w:sz w:val="24"/>
                <w:szCs w:val="24"/>
              </w:rPr>
            </w:pPr>
            <w:r>
              <w:rPr>
                <w:rFonts w:hint="eastAsia" w:ascii="仿宋" w:hAnsi="仿宋" w:eastAsia="仿宋" w:cs="仿宋_GB2312"/>
                <w:sz w:val="24"/>
                <w:szCs w:val="24"/>
              </w:rPr>
              <w:t>标准修改</w:t>
            </w:r>
            <w:r>
              <w:rPr>
                <w:rFonts w:hint="eastAsia" w:ascii="仿宋" w:hAnsi="仿宋" w:eastAsia="仿宋" w:cs="仿宋_GB2312"/>
                <w:sz w:val="24"/>
                <w:szCs w:val="24"/>
                <w:lang w:eastAsia="zh-CN"/>
              </w:rPr>
              <w:t>、</w:t>
            </w:r>
            <w:r>
              <w:rPr>
                <w:rFonts w:hint="eastAsia" w:ascii="仿宋" w:hAnsi="仿宋" w:eastAsia="仿宋" w:cs="仿宋_GB2312"/>
                <w:sz w:val="24"/>
                <w:szCs w:val="24"/>
              </w:rPr>
              <w:t>规范格式</w:t>
            </w:r>
          </w:p>
        </w:tc>
      </w:tr>
      <w:tr w14:paraId="62202264">
        <w:tblPrEx>
          <w:tblCellMar>
            <w:top w:w="0" w:type="dxa"/>
            <w:left w:w="10" w:type="dxa"/>
            <w:bottom w:w="0" w:type="dxa"/>
            <w:right w:w="10" w:type="dxa"/>
          </w:tblCellMar>
        </w:tblPrEx>
        <w:trPr>
          <w:trHeight w:val="454" w:hRule="atLeast"/>
        </w:trPr>
        <w:tc>
          <w:tcPr>
            <w:tcW w:w="875" w:type="dxa"/>
            <w:tcBorders>
              <w:top w:val="single" w:color="auto" w:sz="4" w:space="0"/>
              <w:left w:val="single" w:color="auto" w:sz="4" w:space="0"/>
              <w:bottom w:val="single" w:color="auto" w:sz="4" w:space="0"/>
              <w:right w:val="single" w:color="auto" w:sz="4" w:space="0"/>
            </w:tcBorders>
            <w:vAlign w:val="center"/>
          </w:tcPr>
          <w:p w14:paraId="3BEF0053">
            <w:pPr>
              <w:pStyle w:val="14"/>
              <w:tabs>
                <w:tab w:val="left" w:pos="993"/>
              </w:tabs>
              <w:ind w:firstLine="0" w:firstLineChars="0"/>
              <w:jc w:val="center"/>
              <w:rPr>
                <w:rFonts w:hint="eastAsia" w:ascii="仿宋" w:hAnsi="仿宋" w:eastAsia="仿宋" w:cs="仿宋_GB2312"/>
                <w:sz w:val="24"/>
                <w:szCs w:val="24"/>
                <w:lang w:eastAsia="zh-CN"/>
              </w:rPr>
            </w:pPr>
            <w:r>
              <w:rPr>
                <w:rFonts w:hint="eastAsia" w:ascii="仿宋" w:hAnsi="仿宋" w:eastAsia="仿宋" w:cs="仿宋_GB2312"/>
                <w:sz w:val="24"/>
                <w:szCs w:val="24"/>
              </w:rPr>
              <w:t>1</w:t>
            </w:r>
            <w:r>
              <w:rPr>
                <w:rFonts w:hint="eastAsia" w:ascii="仿宋" w:hAnsi="仿宋" w:eastAsia="仿宋" w:cs="仿宋_GB2312"/>
                <w:sz w:val="24"/>
                <w:szCs w:val="24"/>
                <w:lang w:val="en-US" w:eastAsia="zh-CN"/>
              </w:rPr>
              <w:t>8</w:t>
            </w:r>
          </w:p>
        </w:tc>
        <w:tc>
          <w:tcPr>
            <w:tcW w:w="1279" w:type="dxa"/>
            <w:tcBorders>
              <w:top w:val="single" w:color="auto" w:sz="4" w:space="0"/>
              <w:left w:val="single" w:color="auto" w:sz="4" w:space="0"/>
              <w:bottom w:val="single" w:color="auto" w:sz="4" w:space="0"/>
              <w:right w:val="single" w:color="auto" w:sz="4" w:space="0"/>
            </w:tcBorders>
            <w:vAlign w:val="center"/>
          </w:tcPr>
          <w:p w14:paraId="5AEC5262">
            <w:pPr>
              <w:pStyle w:val="14"/>
              <w:tabs>
                <w:tab w:val="left" w:pos="993"/>
              </w:tabs>
              <w:ind w:firstLine="0" w:firstLineChars="0"/>
              <w:jc w:val="center"/>
              <w:rPr>
                <w:rFonts w:hint="eastAsia" w:ascii="仿宋" w:hAnsi="仿宋" w:eastAsia="仿宋" w:cs="仿宋_GB2312"/>
                <w:sz w:val="24"/>
                <w:szCs w:val="24"/>
              </w:rPr>
            </w:pPr>
            <w:r>
              <w:rPr>
                <w:rFonts w:hint="eastAsia" w:ascii="仿宋" w:hAnsi="仿宋" w:eastAsia="仿宋" w:cs="仿宋_GB2312"/>
                <w:sz w:val="24"/>
                <w:szCs w:val="24"/>
              </w:rPr>
              <w:t>黄宏毓</w:t>
            </w:r>
          </w:p>
        </w:tc>
        <w:tc>
          <w:tcPr>
            <w:tcW w:w="3165" w:type="dxa"/>
            <w:tcBorders>
              <w:top w:val="single" w:color="auto" w:sz="4" w:space="0"/>
              <w:left w:val="single" w:color="auto" w:sz="4" w:space="0"/>
              <w:bottom w:val="single" w:color="auto" w:sz="4" w:space="0"/>
              <w:right w:val="single" w:color="auto" w:sz="4" w:space="0"/>
            </w:tcBorders>
            <w:vAlign w:val="center"/>
          </w:tcPr>
          <w:p w14:paraId="37215876">
            <w:pPr>
              <w:jc w:val="center"/>
              <w:rPr>
                <w:rFonts w:hint="eastAsia" w:ascii="仿宋" w:hAnsi="仿宋" w:eastAsia="仿宋" w:cs="仿宋_GB2312"/>
                <w:sz w:val="24"/>
                <w:szCs w:val="24"/>
              </w:rPr>
            </w:pPr>
            <w:r>
              <w:rPr>
                <w:rFonts w:hint="eastAsia" w:ascii="仿宋" w:hAnsi="仿宋" w:eastAsia="仿宋" w:cs="仿宋_GB2312"/>
                <w:sz w:val="24"/>
                <w:szCs w:val="24"/>
              </w:rPr>
              <w:t>海南省标准化协会</w:t>
            </w:r>
          </w:p>
        </w:tc>
        <w:tc>
          <w:tcPr>
            <w:tcW w:w="2189" w:type="dxa"/>
            <w:tcBorders>
              <w:top w:val="single" w:color="auto" w:sz="4" w:space="0"/>
              <w:left w:val="single" w:color="auto" w:sz="4" w:space="0"/>
              <w:bottom w:val="single" w:color="auto" w:sz="4" w:space="0"/>
              <w:right w:val="single" w:color="auto" w:sz="4" w:space="0"/>
            </w:tcBorders>
            <w:vAlign w:val="center"/>
          </w:tcPr>
          <w:p w14:paraId="154B7F10">
            <w:pPr>
              <w:jc w:val="center"/>
              <w:rPr>
                <w:rFonts w:hint="eastAsia" w:ascii="仿宋" w:hAnsi="仿宋" w:eastAsia="仿宋" w:cs="仿宋_GB2312"/>
                <w:sz w:val="24"/>
                <w:szCs w:val="24"/>
              </w:rPr>
            </w:pPr>
            <w:r>
              <w:rPr>
                <w:rFonts w:hint="eastAsia" w:ascii="仿宋" w:hAnsi="仿宋" w:eastAsia="仿宋" w:cs="仿宋_GB2312"/>
                <w:sz w:val="24"/>
                <w:szCs w:val="24"/>
              </w:rPr>
              <w:t>会员服务部部长</w:t>
            </w:r>
          </w:p>
        </w:tc>
        <w:tc>
          <w:tcPr>
            <w:tcW w:w="2552" w:type="dxa"/>
            <w:tcBorders>
              <w:top w:val="single" w:color="auto" w:sz="4" w:space="0"/>
              <w:left w:val="single" w:color="auto" w:sz="4" w:space="0"/>
              <w:bottom w:val="single" w:color="auto" w:sz="4" w:space="0"/>
              <w:right w:val="single" w:color="auto" w:sz="4" w:space="0"/>
            </w:tcBorders>
            <w:vAlign w:val="center"/>
          </w:tcPr>
          <w:p w14:paraId="0C563446">
            <w:pPr>
              <w:jc w:val="center"/>
              <w:rPr>
                <w:rFonts w:hint="eastAsia" w:ascii="仿宋" w:hAnsi="仿宋" w:eastAsia="仿宋" w:cs="仿宋_GB2312"/>
                <w:sz w:val="24"/>
                <w:szCs w:val="24"/>
              </w:rPr>
            </w:pPr>
            <w:r>
              <w:rPr>
                <w:rFonts w:hint="eastAsia" w:ascii="仿宋" w:hAnsi="仿宋" w:eastAsia="仿宋" w:cs="仿宋_GB2312"/>
                <w:sz w:val="24"/>
                <w:szCs w:val="24"/>
              </w:rPr>
              <w:t>材料收集、标准修改</w:t>
            </w:r>
          </w:p>
        </w:tc>
      </w:tr>
      <w:tr w14:paraId="1910AEB5">
        <w:tblPrEx>
          <w:tblCellMar>
            <w:top w:w="0" w:type="dxa"/>
            <w:left w:w="10" w:type="dxa"/>
            <w:bottom w:w="0" w:type="dxa"/>
            <w:right w:w="10" w:type="dxa"/>
          </w:tblCellMar>
        </w:tblPrEx>
        <w:trPr>
          <w:trHeight w:val="454" w:hRule="atLeast"/>
        </w:trPr>
        <w:tc>
          <w:tcPr>
            <w:tcW w:w="875" w:type="dxa"/>
            <w:tcBorders>
              <w:top w:val="single" w:color="auto" w:sz="4" w:space="0"/>
              <w:left w:val="single" w:color="auto" w:sz="4" w:space="0"/>
              <w:bottom w:val="single" w:color="auto" w:sz="4" w:space="0"/>
              <w:right w:val="single" w:color="auto" w:sz="4" w:space="0"/>
            </w:tcBorders>
            <w:vAlign w:val="center"/>
          </w:tcPr>
          <w:p w14:paraId="05D442AE">
            <w:pPr>
              <w:pStyle w:val="14"/>
              <w:tabs>
                <w:tab w:val="left" w:pos="993"/>
              </w:tabs>
              <w:ind w:firstLine="0" w:firstLineChars="0"/>
              <w:jc w:val="center"/>
              <w:rPr>
                <w:rFonts w:hint="default" w:ascii="仿宋" w:hAnsi="仿宋" w:eastAsia="仿宋" w:cs="仿宋_GB2312"/>
                <w:sz w:val="24"/>
                <w:szCs w:val="24"/>
                <w:lang w:val="en-US" w:eastAsia="zh-CN"/>
              </w:rPr>
            </w:pPr>
            <w:r>
              <w:rPr>
                <w:rFonts w:hint="eastAsia" w:ascii="仿宋" w:hAnsi="仿宋" w:eastAsia="仿宋" w:cs="仿宋_GB2312"/>
                <w:sz w:val="24"/>
                <w:szCs w:val="24"/>
                <w:lang w:val="en-US" w:eastAsia="zh-CN"/>
              </w:rPr>
              <w:t>19</w:t>
            </w:r>
          </w:p>
        </w:tc>
        <w:tc>
          <w:tcPr>
            <w:tcW w:w="1279" w:type="dxa"/>
            <w:tcBorders>
              <w:top w:val="single" w:color="auto" w:sz="4" w:space="0"/>
              <w:left w:val="single" w:color="auto" w:sz="4" w:space="0"/>
              <w:bottom w:val="single" w:color="auto" w:sz="4" w:space="0"/>
              <w:right w:val="single" w:color="auto" w:sz="4" w:space="0"/>
            </w:tcBorders>
            <w:vAlign w:val="center"/>
          </w:tcPr>
          <w:p w14:paraId="3B0EB35A">
            <w:pPr>
              <w:pStyle w:val="14"/>
              <w:tabs>
                <w:tab w:val="left" w:pos="993"/>
              </w:tabs>
              <w:ind w:firstLine="0" w:firstLineChars="0"/>
              <w:jc w:val="center"/>
              <w:rPr>
                <w:rFonts w:hint="eastAsia" w:ascii="仿宋" w:hAnsi="仿宋" w:eastAsia="仿宋" w:cs="仿宋_GB2312"/>
                <w:sz w:val="24"/>
                <w:szCs w:val="24"/>
              </w:rPr>
            </w:pPr>
            <w:r>
              <w:rPr>
                <w:rFonts w:hint="eastAsia" w:ascii="仿宋" w:hAnsi="仿宋" w:eastAsia="仿宋" w:cs="仿宋_GB2312"/>
                <w:sz w:val="24"/>
                <w:szCs w:val="24"/>
              </w:rPr>
              <w:t>梅  姬</w:t>
            </w:r>
          </w:p>
        </w:tc>
        <w:tc>
          <w:tcPr>
            <w:tcW w:w="3165" w:type="dxa"/>
            <w:tcBorders>
              <w:top w:val="single" w:color="auto" w:sz="4" w:space="0"/>
              <w:left w:val="single" w:color="auto" w:sz="4" w:space="0"/>
              <w:bottom w:val="single" w:color="auto" w:sz="4" w:space="0"/>
              <w:right w:val="single" w:color="auto" w:sz="4" w:space="0"/>
            </w:tcBorders>
            <w:vAlign w:val="center"/>
          </w:tcPr>
          <w:p w14:paraId="3E0348A1">
            <w:pPr>
              <w:jc w:val="center"/>
              <w:rPr>
                <w:rFonts w:hint="eastAsia" w:ascii="仿宋" w:hAnsi="仿宋" w:eastAsia="仿宋" w:cs="仿宋_GB2312"/>
                <w:sz w:val="24"/>
                <w:szCs w:val="24"/>
              </w:rPr>
            </w:pPr>
            <w:r>
              <w:rPr>
                <w:rFonts w:hint="eastAsia" w:ascii="仿宋" w:hAnsi="仿宋" w:eastAsia="仿宋" w:cs="仿宋_GB2312"/>
                <w:sz w:val="24"/>
                <w:szCs w:val="24"/>
              </w:rPr>
              <w:t>海南省标准化协会</w:t>
            </w:r>
          </w:p>
        </w:tc>
        <w:tc>
          <w:tcPr>
            <w:tcW w:w="2189" w:type="dxa"/>
            <w:tcBorders>
              <w:top w:val="single" w:color="auto" w:sz="4" w:space="0"/>
              <w:left w:val="single" w:color="auto" w:sz="4" w:space="0"/>
              <w:bottom w:val="single" w:color="auto" w:sz="4" w:space="0"/>
              <w:right w:val="single" w:color="auto" w:sz="4" w:space="0"/>
            </w:tcBorders>
            <w:vAlign w:val="center"/>
          </w:tcPr>
          <w:p w14:paraId="1F062687">
            <w:pPr>
              <w:jc w:val="center"/>
              <w:rPr>
                <w:rFonts w:hint="eastAsia" w:ascii="仿宋" w:hAnsi="仿宋" w:eastAsia="仿宋" w:cs="仿宋_GB2312"/>
                <w:sz w:val="24"/>
                <w:szCs w:val="24"/>
              </w:rPr>
            </w:pPr>
            <w:r>
              <w:rPr>
                <w:rFonts w:hint="eastAsia" w:ascii="仿宋" w:hAnsi="仿宋" w:eastAsia="仿宋" w:cs="仿宋_GB2312"/>
                <w:sz w:val="24"/>
                <w:szCs w:val="24"/>
              </w:rPr>
              <w:t>团标部副部长</w:t>
            </w:r>
          </w:p>
        </w:tc>
        <w:tc>
          <w:tcPr>
            <w:tcW w:w="2552" w:type="dxa"/>
            <w:tcBorders>
              <w:top w:val="single" w:color="auto" w:sz="4" w:space="0"/>
              <w:left w:val="single" w:color="auto" w:sz="4" w:space="0"/>
              <w:bottom w:val="single" w:color="auto" w:sz="4" w:space="0"/>
              <w:right w:val="single" w:color="auto" w:sz="4" w:space="0"/>
            </w:tcBorders>
            <w:vAlign w:val="center"/>
          </w:tcPr>
          <w:p w14:paraId="4A00BAF2">
            <w:pPr>
              <w:jc w:val="center"/>
              <w:rPr>
                <w:rFonts w:hint="eastAsia" w:ascii="仿宋" w:hAnsi="仿宋" w:eastAsia="仿宋" w:cs="仿宋_GB2312"/>
                <w:sz w:val="24"/>
                <w:szCs w:val="24"/>
              </w:rPr>
            </w:pPr>
            <w:r>
              <w:rPr>
                <w:rFonts w:hint="eastAsia" w:ascii="仿宋" w:hAnsi="仿宋" w:eastAsia="仿宋" w:cs="仿宋_GB2312"/>
                <w:sz w:val="24"/>
                <w:szCs w:val="24"/>
              </w:rPr>
              <w:t>材料查新、查新</w:t>
            </w:r>
          </w:p>
        </w:tc>
      </w:tr>
      <w:tr w14:paraId="0D637FEF">
        <w:tblPrEx>
          <w:tblCellMar>
            <w:top w:w="0" w:type="dxa"/>
            <w:left w:w="10" w:type="dxa"/>
            <w:bottom w:w="0" w:type="dxa"/>
            <w:right w:w="10" w:type="dxa"/>
          </w:tblCellMar>
        </w:tblPrEx>
        <w:trPr>
          <w:trHeight w:val="454" w:hRule="atLeast"/>
        </w:trPr>
        <w:tc>
          <w:tcPr>
            <w:tcW w:w="875" w:type="dxa"/>
            <w:tcBorders>
              <w:top w:val="single" w:color="auto" w:sz="4" w:space="0"/>
              <w:left w:val="single" w:color="auto" w:sz="4" w:space="0"/>
              <w:bottom w:val="single" w:color="auto" w:sz="4" w:space="0"/>
              <w:right w:val="single" w:color="auto" w:sz="4" w:space="0"/>
            </w:tcBorders>
            <w:vAlign w:val="center"/>
          </w:tcPr>
          <w:p w14:paraId="300B1299">
            <w:pPr>
              <w:pStyle w:val="14"/>
              <w:tabs>
                <w:tab w:val="left" w:pos="993"/>
              </w:tabs>
              <w:ind w:firstLine="0" w:firstLineChars="0"/>
              <w:jc w:val="center"/>
              <w:rPr>
                <w:rFonts w:hint="eastAsia" w:ascii="仿宋" w:hAnsi="仿宋" w:eastAsia="仿宋" w:cs="仿宋_GB2312"/>
                <w:sz w:val="24"/>
                <w:szCs w:val="24"/>
                <w:lang w:eastAsia="zh-CN"/>
              </w:rPr>
            </w:pPr>
            <w:r>
              <w:rPr>
                <w:rFonts w:hint="eastAsia" w:ascii="仿宋" w:hAnsi="仿宋" w:eastAsia="仿宋" w:cs="仿宋_GB2312"/>
                <w:sz w:val="24"/>
                <w:szCs w:val="24"/>
              </w:rPr>
              <w:t>2</w:t>
            </w:r>
            <w:r>
              <w:rPr>
                <w:rFonts w:hint="eastAsia" w:ascii="仿宋" w:hAnsi="仿宋" w:eastAsia="仿宋" w:cs="仿宋_GB2312"/>
                <w:sz w:val="24"/>
                <w:szCs w:val="24"/>
                <w:lang w:val="en-US" w:eastAsia="zh-CN"/>
              </w:rPr>
              <w:t>0</w:t>
            </w:r>
          </w:p>
        </w:tc>
        <w:tc>
          <w:tcPr>
            <w:tcW w:w="1279" w:type="dxa"/>
            <w:tcBorders>
              <w:top w:val="single" w:color="auto" w:sz="4" w:space="0"/>
              <w:left w:val="single" w:color="auto" w:sz="4" w:space="0"/>
              <w:bottom w:val="single" w:color="auto" w:sz="4" w:space="0"/>
              <w:right w:val="single" w:color="auto" w:sz="4" w:space="0"/>
            </w:tcBorders>
            <w:vAlign w:val="center"/>
          </w:tcPr>
          <w:p w14:paraId="33D53DF1">
            <w:pPr>
              <w:pStyle w:val="14"/>
              <w:tabs>
                <w:tab w:val="left" w:pos="993"/>
              </w:tabs>
              <w:ind w:firstLine="0" w:firstLineChars="0"/>
              <w:jc w:val="center"/>
              <w:rPr>
                <w:rFonts w:hint="eastAsia" w:ascii="仿宋" w:hAnsi="仿宋" w:eastAsia="仿宋" w:cs="仿宋_GB2312"/>
                <w:sz w:val="24"/>
                <w:szCs w:val="24"/>
              </w:rPr>
            </w:pPr>
            <w:r>
              <w:rPr>
                <w:rFonts w:hint="eastAsia" w:ascii="仿宋" w:hAnsi="仿宋" w:eastAsia="仿宋" w:cs="仿宋_GB2312"/>
                <w:sz w:val="24"/>
                <w:szCs w:val="24"/>
              </w:rPr>
              <w:t>谢  巍</w:t>
            </w:r>
          </w:p>
        </w:tc>
        <w:tc>
          <w:tcPr>
            <w:tcW w:w="3165" w:type="dxa"/>
            <w:tcBorders>
              <w:top w:val="single" w:color="auto" w:sz="4" w:space="0"/>
              <w:left w:val="single" w:color="auto" w:sz="4" w:space="0"/>
              <w:bottom w:val="single" w:color="auto" w:sz="4" w:space="0"/>
              <w:right w:val="single" w:color="auto" w:sz="4" w:space="0"/>
            </w:tcBorders>
            <w:vAlign w:val="center"/>
          </w:tcPr>
          <w:p w14:paraId="16B60F89">
            <w:pPr>
              <w:jc w:val="center"/>
              <w:rPr>
                <w:rFonts w:hint="eastAsia" w:ascii="仿宋" w:hAnsi="仿宋" w:eastAsia="仿宋" w:cs="仿宋_GB2312"/>
                <w:sz w:val="24"/>
                <w:szCs w:val="24"/>
              </w:rPr>
            </w:pPr>
            <w:r>
              <w:rPr>
                <w:rFonts w:hint="eastAsia" w:ascii="仿宋" w:hAnsi="仿宋" w:eastAsia="仿宋" w:cs="仿宋_GB2312"/>
                <w:sz w:val="24"/>
                <w:szCs w:val="24"/>
              </w:rPr>
              <w:t>海南省标准化协会</w:t>
            </w:r>
          </w:p>
        </w:tc>
        <w:tc>
          <w:tcPr>
            <w:tcW w:w="2189" w:type="dxa"/>
            <w:tcBorders>
              <w:top w:val="single" w:color="auto" w:sz="4" w:space="0"/>
              <w:left w:val="single" w:color="auto" w:sz="4" w:space="0"/>
              <w:bottom w:val="single" w:color="auto" w:sz="4" w:space="0"/>
              <w:right w:val="single" w:color="auto" w:sz="4" w:space="0"/>
            </w:tcBorders>
            <w:vAlign w:val="center"/>
          </w:tcPr>
          <w:p w14:paraId="617EAB19">
            <w:pPr>
              <w:jc w:val="center"/>
              <w:rPr>
                <w:rFonts w:hint="eastAsia" w:ascii="仿宋" w:hAnsi="仿宋" w:eastAsia="仿宋" w:cs="仿宋_GB2312"/>
                <w:sz w:val="24"/>
                <w:szCs w:val="24"/>
              </w:rPr>
            </w:pPr>
            <w:r>
              <w:rPr>
                <w:rFonts w:hint="eastAsia" w:ascii="仿宋" w:hAnsi="仿宋" w:eastAsia="仿宋" w:cs="仿宋_GB2312"/>
                <w:sz w:val="24"/>
                <w:szCs w:val="24"/>
              </w:rPr>
              <w:t>标准技术部主任</w:t>
            </w:r>
          </w:p>
        </w:tc>
        <w:tc>
          <w:tcPr>
            <w:tcW w:w="2552" w:type="dxa"/>
            <w:tcBorders>
              <w:top w:val="single" w:color="auto" w:sz="4" w:space="0"/>
              <w:left w:val="single" w:color="auto" w:sz="4" w:space="0"/>
              <w:bottom w:val="single" w:color="auto" w:sz="4" w:space="0"/>
              <w:right w:val="single" w:color="auto" w:sz="4" w:space="0"/>
            </w:tcBorders>
            <w:vAlign w:val="center"/>
          </w:tcPr>
          <w:p w14:paraId="5376BDFD">
            <w:pPr>
              <w:jc w:val="center"/>
              <w:rPr>
                <w:rFonts w:hint="eastAsia" w:ascii="仿宋" w:hAnsi="仿宋" w:eastAsia="仿宋" w:cs="仿宋_GB2312"/>
                <w:sz w:val="24"/>
                <w:szCs w:val="24"/>
              </w:rPr>
            </w:pPr>
            <w:r>
              <w:rPr>
                <w:rFonts w:hint="eastAsia" w:ascii="仿宋" w:hAnsi="仿宋" w:eastAsia="仿宋" w:cs="仿宋_GB2312"/>
                <w:sz w:val="24"/>
                <w:szCs w:val="24"/>
              </w:rPr>
              <w:t>材料查新、查新</w:t>
            </w:r>
          </w:p>
        </w:tc>
      </w:tr>
    </w:tbl>
    <w:p w14:paraId="3D2FB251">
      <w:pPr>
        <w:spacing w:line="560" w:lineRule="exact"/>
        <w:rPr>
          <w:rFonts w:hint="eastAsia" w:ascii="楷体_GB2312" w:hAnsi="楷体_GB2312" w:eastAsia="楷体_GB2312" w:cs="楷体_GB2312"/>
          <w:sz w:val="32"/>
          <w:szCs w:val="32"/>
        </w:rPr>
      </w:pPr>
    </w:p>
    <w:p w14:paraId="69D893A2">
      <w:pPr>
        <w:numPr>
          <w:ilvl w:val="0"/>
          <w:numId w:val="4"/>
        </w:numPr>
        <w:spacing w:line="600" w:lineRule="exact"/>
        <w:ind w:firstLine="640" w:firstLineChars="200"/>
        <w:outlineLvl w:val="0"/>
        <w:rPr>
          <w:rFonts w:hint="eastAsia" w:ascii="黑体" w:hAnsi="黑体" w:eastAsia="黑体" w:cs="黑体"/>
          <w:sz w:val="32"/>
          <w:szCs w:val="32"/>
        </w:rPr>
      </w:pPr>
      <w:bookmarkStart w:id="1" w:name="_Toc2530"/>
      <w:r>
        <w:rPr>
          <w:rFonts w:hint="eastAsia" w:ascii="黑体" w:hAnsi="黑体" w:eastAsia="黑体" w:cs="黑体"/>
          <w:sz w:val="32"/>
          <w:szCs w:val="32"/>
        </w:rPr>
        <w:t>编制标准的必要性和意义及背景</w:t>
      </w:r>
      <w:bookmarkEnd w:id="1"/>
    </w:p>
    <w:p w14:paraId="33ECAF1B">
      <w:pPr>
        <w:ind w:firstLine="640" w:firstLineChars="200"/>
        <w:rPr>
          <w:rFonts w:hint="eastAsia" w:ascii="仿宋" w:hAnsi="仿宋" w:eastAsia="仿宋" w:cs="仿宋"/>
          <w:sz w:val="32"/>
          <w:szCs w:val="32"/>
        </w:rPr>
      </w:pPr>
      <w:bookmarkStart w:id="2" w:name="_Toc23972"/>
      <w:r>
        <w:rPr>
          <w:rFonts w:hint="eastAsia" w:ascii="楷体" w:hAnsi="楷体" w:eastAsia="楷体" w:cs="楷体"/>
          <w:sz w:val="32"/>
          <w:szCs w:val="32"/>
        </w:rPr>
        <w:t>（一）制定标准的必要性</w:t>
      </w:r>
    </w:p>
    <w:p w14:paraId="0DE0D041">
      <w:pPr>
        <w:numPr>
          <w:ilvl w:val="0"/>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无偿献血工作自1998年全面开展以来，已成为保障我国医疗临床用血安全与充足的重要基石。近年来，海南省无偿献血持续呈</w:t>
      </w:r>
      <w:r>
        <w:rPr>
          <w:rFonts w:hint="eastAsia" w:ascii="仿宋_GB2312" w:hAnsi="仿宋_GB2312" w:eastAsia="仿宋_GB2312" w:cs="仿宋_GB2312"/>
          <w:sz w:val="32"/>
          <w:szCs w:val="32"/>
          <w:lang w:val="en-US" w:eastAsia="zh-CN"/>
        </w:rPr>
        <w:t>紧</w:t>
      </w:r>
      <w:r>
        <w:rPr>
          <w:rFonts w:hint="eastAsia" w:ascii="仿宋_GB2312" w:hAnsi="仿宋_GB2312" w:eastAsia="仿宋_GB2312" w:cs="仿宋_GB2312"/>
          <w:sz w:val="32"/>
          <w:szCs w:val="32"/>
        </w:rPr>
        <w:t>平衡状态，202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年全省</w:t>
      </w:r>
      <w:r>
        <w:rPr>
          <w:rFonts w:hint="eastAsia" w:ascii="仿宋_GB2312" w:hAnsi="仿宋_GB2312" w:eastAsia="仿宋_GB2312" w:cs="仿宋_GB2312"/>
          <w:sz w:val="32"/>
          <w:szCs w:val="32"/>
          <w:lang w:val="en-US" w:eastAsia="zh-CN"/>
        </w:rPr>
        <w:t>千</w:t>
      </w:r>
      <w:r>
        <w:rPr>
          <w:rFonts w:hint="eastAsia" w:ascii="仿宋_GB2312" w:hAnsi="仿宋_GB2312" w:eastAsia="仿宋_GB2312" w:cs="仿宋_GB2312"/>
          <w:sz w:val="32"/>
          <w:szCs w:val="32"/>
        </w:rPr>
        <w:t>人口献血率仅为11.</w:t>
      </w:r>
      <w:r>
        <w:rPr>
          <w:rFonts w:hint="eastAsia" w:ascii="仿宋_GB2312" w:hAnsi="仿宋_GB2312" w:eastAsia="仿宋_GB2312" w:cs="仿宋_GB2312"/>
          <w:sz w:val="32"/>
          <w:szCs w:val="32"/>
          <w:lang w:val="en-US" w:eastAsia="zh-CN"/>
        </w:rPr>
        <w:t>69</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rPr>
        <w:t>。国家标准《献血者健康检查要求》（GB 18467-2011）</w:t>
      </w:r>
      <w:r>
        <w:rPr>
          <w:rFonts w:hint="eastAsia" w:ascii="仿宋_GB2312" w:hAnsi="仿宋_GB2312" w:eastAsia="仿宋_GB2312" w:cs="仿宋_GB2312"/>
          <w:color w:val="auto"/>
          <w:sz w:val="32"/>
          <w:szCs w:val="32"/>
          <w:lang w:val="en-US" w:eastAsia="zh-CN"/>
        </w:rPr>
        <w:t>第6章</w:t>
      </w:r>
      <w:r>
        <w:rPr>
          <w:rFonts w:hint="eastAsia" w:ascii="仿宋_GB2312" w:hAnsi="仿宋_GB2312" w:eastAsia="仿宋_GB2312" w:cs="仿宋_GB2312"/>
          <w:color w:val="auto"/>
          <w:sz w:val="32"/>
          <w:szCs w:val="32"/>
        </w:rPr>
        <w:t>为推荐性条款，为保障临床用血需求和安全及适应我省采供血事业发展的实际情况，亟需结合海南自由贸易港落地签和免签政策、蚊媒病毒和地中海贫血高发的地域特性，对献血者筛选全流程的技术要求进行细化与明确，填补国家标准在地方执行中的空白，实现全省采供血机构筛选标准的统一化、规范化和可操作性。</w:t>
      </w:r>
    </w:p>
    <w:p w14:paraId="7532E06E">
      <w:pPr>
        <w:numPr>
          <w:ilvl w:val="0"/>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1.应对境外人员流动量大和输入性传染病风险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海南自由贸易港建设以来，境外人员流动日益频繁，落地签和免签政策覆盖面不断扩大。做好境外人员的献血服务工作是促进自贸港发展建设的必要措施。通过规范境外人员双语健康征询、信息登记与核查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旅居史排查，防范输入性传染病风险是刚性前置条件。针对境外人员可能带来的突发输入性血液安全事件，需做好适配区域特点的样本把控与流程质量控制，实现闭环处置，同时保障境外人员的合法献血权益。</w:t>
      </w:r>
    </w:p>
    <w:p w14:paraId="61793879">
      <w:pPr>
        <w:numPr>
          <w:ilvl w:val="0"/>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2.应对热带地区蚊媒病毒传播性疾病高发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海南省是登革热、疟疾、寨卡病毒、基孔肯雅病毒等蚊媒病毒传播性疾病高发地区。按照疾病预防控制中心发布的相关防控要求，在高发期（5-11月）需做好相应蚊媒病毒传播性疾病的征询排查、相关病毒的血液检测和应急防控措施，杜绝此类人群在献血过程中造成传播风险。</w:t>
      </w:r>
    </w:p>
    <w:p w14:paraId="4A01F5E0">
      <w:pPr>
        <w:numPr>
          <w:ilvl w:val="0"/>
          <w:numId w:val="0"/>
        </w:numPr>
        <w:spacing w:line="560" w:lineRule="exact"/>
        <w:ind w:firstLine="640" w:firstLineChars="200"/>
        <w:rPr>
          <w:rFonts w:hint="eastAsia" w:ascii="仿宋" w:hAnsi="仿宋" w:eastAsia="仿宋" w:cs="微软雅黑"/>
          <w:sz w:val="32"/>
          <w:szCs w:val="32"/>
        </w:rPr>
      </w:pPr>
      <w:r>
        <w:rPr>
          <w:rFonts w:hint="eastAsia" w:ascii="仿宋_GB2312" w:hAnsi="仿宋_GB2312" w:eastAsia="仿宋_GB2312" w:cs="仿宋_GB2312"/>
          <w:sz w:val="32"/>
          <w:szCs w:val="32"/>
        </w:rPr>
        <w:t>3.应对地中海贫血高发的区域特点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地贫患儿需定期输血治疗，</w:t>
      </w:r>
      <w:r>
        <w:rPr>
          <w:rFonts w:hint="eastAsia" w:ascii="仿宋_GB2312" w:hAnsi="仿宋_GB2312" w:eastAsia="仿宋_GB2312" w:cs="仿宋_GB2312"/>
          <w:color w:val="auto"/>
          <w:sz w:val="32"/>
          <w:szCs w:val="32"/>
          <w:lang w:val="en-US" w:eastAsia="zh-CN"/>
        </w:rPr>
        <w:t>据统计，近3年我省地贫患者输血需求量高达全省用血量的10%，</w:t>
      </w:r>
      <w:r>
        <w:rPr>
          <w:rFonts w:hint="eastAsia" w:ascii="仿宋_GB2312" w:hAnsi="仿宋_GB2312" w:eastAsia="仿宋_GB2312" w:cs="仿宋_GB2312"/>
          <w:sz w:val="32"/>
          <w:szCs w:val="32"/>
        </w:rPr>
        <w:t>其家属已成为献血人群</w:t>
      </w:r>
      <w:r>
        <w:rPr>
          <w:rFonts w:hint="eastAsia" w:ascii="仿宋_GB2312" w:hAnsi="仿宋_GB2312" w:eastAsia="仿宋_GB2312" w:cs="仿宋_GB2312"/>
          <w:sz w:val="32"/>
          <w:szCs w:val="32"/>
          <w:lang w:val="en-US" w:eastAsia="zh-CN"/>
        </w:rPr>
        <w:t>不可忽视的一</w:t>
      </w:r>
      <w:r>
        <w:rPr>
          <w:rFonts w:hint="eastAsia" w:ascii="仿宋_GB2312" w:hAnsi="仿宋_GB2312" w:eastAsia="仿宋_GB2312" w:cs="仿宋_GB2312"/>
          <w:sz w:val="32"/>
          <w:szCs w:val="32"/>
        </w:rPr>
        <w:t>部分。为兼顾献血者健康保护与受血者血液安全，亟需结合本省地贫流行病学特征，科学制定地贫患者家属的献血筛选标准。通过细化征询、检测与评估要求，既有效筛除地贫基因携带者可能带来的输血风险，也避免因过度排除导致合格献血资源的流失，切实保障献血者权益与临床用血安全。</w:t>
      </w:r>
    </w:p>
    <w:p w14:paraId="6FCE9623">
      <w:pPr>
        <w:numPr>
          <w:ilvl w:val="0"/>
          <w:numId w:val="0"/>
        </w:numPr>
        <w:spacing w:line="560" w:lineRule="exact"/>
        <w:ind w:firstLine="640" w:firstLineChars="200"/>
        <w:rPr>
          <w:rFonts w:hint="eastAsia" w:ascii="仿宋" w:hAnsi="仿宋" w:eastAsia="仿宋" w:cs="仿宋"/>
          <w:sz w:val="32"/>
          <w:szCs w:val="32"/>
        </w:rPr>
      </w:pPr>
      <w:r>
        <w:rPr>
          <w:rFonts w:hint="eastAsia" w:ascii="仿宋_GB2312" w:hAnsi="仿宋_GB2312" w:eastAsia="仿宋_GB2312" w:cs="仿宋_GB2312"/>
          <w:sz w:val="32"/>
          <w:szCs w:val="32"/>
        </w:rPr>
        <w:t>4.统一多机构管理标准，实现血</w:t>
      </w:r>
      <w:r>
        <w:rPr>
          <w:rFonts w:hint="eastAsia" w:ascii="仿宋_GB2312" w:hAnsi="仿宋_GB2312" w:eastAsia="仿宋_GB2312" w:cs="仿宋_GB2312"/>
          <w:color w:val="auto"/>
          <w:sz w:val="32"/>
          <w:szCs w:val="32"/>
        </w:rPr>
        <w:t>液质量</w:t>
      </w:r>
      <w:r>
        <w:rPr>
          <w:rFonts w:hint="eastAsia" w:ascii="仿宋_GB2312" w:hAnsi="仿宋_GB2312" w:eastAsia="仿宋_GB2312" w:cs="仿宋_GB2312"/>
          <w:color w:val="auto"/>
          <w:sz w:val="32"/>
          <w:szCs w:val="32"/>
          <w:lang w:val="en-US" w:eastAsia="zh-CN"/>
        </w:rPr>
        <w:t>管理统一标准</w:t>
      </w:r>
      <w:r>
        <w:rPr>
          <w:rFonts w:hint="eastAsia" w:ascii="仿宋_GB2312" w:hAnsi="仿宋_GB2312" w:eastAsia="仿宋_GB2312" w:cs="仿宋_GB2312"/>
          <w:sz w:val="32"/>
          <w:szCs w:val="32"/>
        </w:rPr>
        <w:t>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目前，我省具有采血功能的机构有海南省血液中心、中国人民解放军总医院海南医院、中国人民解放军联勤保障部队第九二八医院以及覆盖全省各市县的18个献血屋。由于组织管理不一，采供血工作者对献血者筛选的标准、质量控制及培训难以到位，献血者筛选的质量控制存在一定风险。通过制定统一的地方标准，可为全省所有采供血机构提供统一、可操作的技术规范，确保对献血者的筛选作出科学的健康评估，从而保障全省临床用血安全。</w:t>
      </w:r>
    </w:p>
    <w:p w14:paraId="148CE2BB">
      <w:pPr>
        <w:numPr>
          <w:ilvl w:val="0"/>
          <w:numId w:val="0"/>
        </w:numPr>
        <w:spacing w:line="560" w:lineRule="exact"/>
        <w:ind w:firstLine="640" w:firstLineChars="200"/>
        <w:rPr>
          <w:rFonts w:hint="eastAsia" w:ascii="仿宋" w:hAnsi="仿宋" w:eastAsia="仿宋" w:cs="仿宋"/>
          <w:sz w:val="32"/>
          <w:szCs w:val="32"/>
        </w:rPr>
      </w:pPr>
      <w:r>
        <w:rPr>
          <w:rFonts w:hint="eastAsia" w:ascii="仿宋_GB2312" w:hAnsi="仿宋_GB2312" w:eastAsia="仿宋_GB2312" w:cs="仿宋_GB2312"/>
          <w:sz w:val="32"/>
          <w:szCs w:val="32"/>
        </w:rPr>
        <w:t>5.补充细化国家标准，避免合格献血者流失</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现行的国家标准《献血者健康检查要求》（GB 18467-2011）在实际执行中存在理解偏差与尺度差异</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经统计，海南省血液中心各采血点2024年、2025年2年间经献血前筛选淘汰献血者48582人次，占献血人数</w:t>
      </w:r>
      <w:r>
        <w:rPr>
          <w:rFonts w:hint="eastAsia" w:ascii="仿宋_GB2312" w:hAnsi="仿宋_GB2312" w:eastAsia="仿宋_GB2312" w:cs="仿宋_GB2312"/>
          <w:color w:val="auto"/>
          <w:sz w:val="32"/>
          <w:szCs w:val="32"/>
          <w:highlight w:val="none"/>
          <w:lang w:val="en-US" w:eastAsia="zh-CN"/>
        </w:rPr>
        <w:t>的16.57%。</w:t>
      </w:r>
      <w:r>
        <w:rPr>
          <w:rFonts w:hint="eastAsia" w:ascii="仿宋_GB2312" w:hAnsi="仿宋_GB2312" w:eastAsia="仿宋_GB2312" w:cs="仿宋_GB2312"/>
          <w:sz w:val="32"/>
          <w:szCs w:val="32"/>
        </w:rPr>
        <w:t>因此，需结合海南本地实际情况进行补充细化，对关键环节进行统一和明确，避免合格献血者的流</w:t>
      </w:r>
      <w:r>
        <w:rPr>
          <w:rFonts w:hint="eastAsia" w:ascii="仿宋_GB2312" w:hAnsi="仿宋_GB2312" w:eastAsia="仿宋_GB2312" w:cs="仿宋_GB2312"/>
          <w:color w:val="auto"/>
          <w:sz w:val="32"/>
          <w:szCs w:val="32"/>
        </w:rPr>
        <w:t>失</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减轻</w:t>
      </w:r>
      <w:r>
        <w:rPr>
          <w:rFonts w:hint="eastAsia" w:ascii="仿宋_GB2312" w:hAnsi="仿宋_GB2312" w:eastAsia="仿宋_GB2312" w:cs="仿宋_GB2312"/>
          <w:color w:val="auto"/>
          <w:sz w:val="32"/>
          <w:szCs w:val="32"/>
        </w:rPr>
        <w:t>血液供应压力。</w:t>
      </w:r>
      <w:r>
        <w:rPr>
          <w:rFonts w:hint="eastAsia" w:ascii="仿宋_GB2312" w:hAnsi="仿宋_GB2312" w:eastAsia="仿宋_GB2312" w:cs="仿宋_GB2312"/>
          <w:sz w:val="32"/>
          <w:szCs w:val="32"/>
        </w:rPr>
        <w:t>例如：依据《海南经济特区无偿献血条例》延长献血年龄和缩短献血间隔；对使用一次性器具进行纹身、纹眉、穿耳且伤口愈合者综合评估后可献血；内窥镜检查（无创伤或治疗用药）避开检查前后3天可献血等。</w:t>
      </w:r>
    </w:p>
    <w:p w14:paraId="25E349D2">
      <w:pPr>
        <w:ind w:firstLine="640" w:firstLineChars="200"/>
        <w:rPr>
          <w:rFonts w:hint="eastAsia" w:ascii="仿宋" w:hAnsi="仿宋" w:eastAsia="仿宋" w:cs="仿宋"/>
          <w:sz w:val="32"/>
          <w:szCs w:val="32"/>
        </w:rPr>
      </w:pPr>
      <w:r>
        <w:rPr>
          <w:rFonts w:hint="eastAsia" w:ascii="楷体" w:hAnsi="楷体" w:eastAsia="楷体" w:cs="楷体"/>
          <w:sz w:val="32"/>
          <w:szCs w:val="32"/>
        </w:rPr>
        <w:t>（二）制定标准的意义</w:t>
      </w:r>
    </w:p>
    <w:p w14:paraId="792844CC">
      <w:pPr>
        <w:numPr>
          <w:ilvl w:val="0"/>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文件</w:t>
      </w:r>
      <w:r>
        <w:rPr>
          <w:rFonts w:hint="eastAsia" w:ascii="仿宋_GB2312" w:hAnsi="仿宋_GB2312" w:eastAsia="仿宋_GB2312" w:cs="仿宋_GB2312"/>
          <w:sz w:val="32"/>
          <w:szCs w:val="32"/>
        </w:rPr>
        <w:t>制定和实施，具有以下作用：</w:t>
      </w:r>
    </w:p>
    <w:p w14:paraId="46D11314">
      <w:pPr>
        <w:numPr>
          <w:ilvl w:val="0"/>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为献血者筛选管理提供统一依据，能够规范全省各</w:t>
      </w:r>
      <w:r>
        <w:rPr>
          <w:rFonts w:hint="eastAsia" w:ascii="仿宋_GB2312" w:hAnsi="仿宋_GB2312" w:eastAsia="仿宋_GB2312" w:cs="仿宋_GB2312"/>
          <w:sz w:val="32"/>
          <w:szCs w:val="32"/>
          <w:lang w:val="en-US" w:eastAsia="zh-CN"/>
        </w:rPr>
        <w:t>类</w:t>
      </w:r>
      <w:r>
        <w:rPr>
          <w:rFonts w:hint="eastAsia" w:ascii="仿宋_GB2312" w:hAnsi="仿宋_GB2312" w:eastAsia="仿宋_GB2312" w:cs="仿宋_GB2312"/>
          <w:sz w:val="32"/>
          <w:szCs w:val="32"/>
        </w:rPr>
        <w:t>采供血机构的筛选流程，减少不同场所、不同人员执行标准的差异，提升筛选工作的规范化和同质化水平。</w:t>
      </w:r>
    </w:p>
    <w:p w14:paraId="31080B2D">
      <w:pPr>
        <w:numPr>
          <w:ilvl w:val="0"/>
          <w:numId w:val="0"/>
        </w:numPr>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强化血液安全风险防控，针对热带地区登革热、疟疾等传染病和全球新发突发传染病疫情，建立境外人员旅居史排查、流行病学史征询、暂缓献血管理等技术措施，有效降低经血传播疾病风险。</w:t>
      </w:r>
    </w:p>
    <w:p w14:paraId="39CEB592">
      <w:pPr>
        <w:numPr>
          <w:ilvl w:val="0"/>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保护献血者健康，通过科学规范的征询、体检、综合评估，避免不适宜献血者带病献血，保障献血者身体健康，体现“以人为本”的服务理念。</w:t>
      </w:r>
    </w:p>
    <w:p w14:paraId="1F4E72B2">
      <w:pPr>
        <w:numPr>
          <w:ilvl w:val="0"/>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提升献血服务体验，对暂缓献血者、永久不宜献血者建立解释、宣教、召回机制，既体现人文关怀，又维护献血者积极性，促进无偿献血事业可持续发展。</w:t>
      </w:r>
    </w:p>
    <w:p w14:paraId="3C534DC0">
      <w:pPr>
        <w:numPr>
          <w:ilvl w:val="0"/>
          <w:numId w:val="0"/>
        </w:numPr>
        <w:spacing w:line="560" w:lineRule="exact"/>
        <w:ind w:firstLine="640" w:firstLineChars="200"/>
        <w:rPr>
          <w:rFonts w:hint="eastAsia" w:ascii="仿宋" w:hAnsi="仿宋" w:eastAsia="仿宋" w:cs="仿宋"/>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助力海南自由贸易港建设，规范的献血筛选工作有助于树立海南公共卫生服务良好形象，提升境外人员献血服务的便捷性与规范性，为自贸港国际化医疗健康服务提供支撑</w:t>
      </w:r>
      <w:r>
        <w:rPr>
          <w:rFonts w:hint="eastAsia" w:ascii="仿宋" w:hAnsi="仿宋" w:eastAsia="仿宋" w:cs="仿宋"/>
          <w:sz w:val="32"/>
          <w:szCs w:val="32"/>
        </w:rPr>
        <w:t>。</w:t>
      </w:r>
    </w:p>
    <w:p w14:paraId="3FFE2729">
      <w:pPr>
        <w:spacing w:line="60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三、编制过程简介</w:t>
      </w:r>
      <w:bookmarkEnd w:id="2"/>
    </w:p>
    <w:p w14:paraId="14311C53">
      <w:pPr>
        <w:pStyle w:val="15"/>
        <w:spacing w:line="560" w:lineRule="exact"/>
        <w:ind w:firstLine="640"/>
        <w:outlineLvl w:val="1"/>
        <w:rPr>
          <w:rFonts w:hint="eastAsia" w:ascii="楷体_GB2312" w:hAnsi="楷体_GB2312" w:eastAsia="楷体_GB2312" w:cs="楷体_GB2312"/>
          <w:sz w:val="32"/>
          <w:szCs w:val="32"/>
        </w:rPr>
      </w:pPr>
      <w:bookmarkStart w:id="3" w:name="_Toc13338"/>
      <w:r>
        <w:rPr>
          <w:rFonts w:hint="eastAsia" w:ascii="楷体_GB2312" w:hAnsi="楷体_GB2312" w:eastAsia="楷体_GB2312" w:cs="楷体_GB2312"/>
          <w:sz w:val="32"/>
          <w:szCs w:val="32"/>
        </w:rPr>
        <w:t>（一）</w:t>
      </w:r>
      <w:r>
        <w:rPr>
          <w:rFonts w:ascii="楷体_GB2312" w:hAnsi="楷体_GB2312" w:eastAsia="楷体_GB2312" w:cs="楷体_GB2312"/>
          <w:sz w:val="32"/>
          <w:szCs w:val="32"/>
        </w:rPr>
        <w:t>成立标准起草组</w:t>
      </w:r>
      <w:bookmarkEnd w:id="3"/>
    </w:p>
    <w:p w14:paraId="3B185A1E">
      <w:pPr>
        <w:numPr>
          <w:ilvl w:val="0"/>
          <w:numId w:val="0"/>
        </w:numPr>
        <w:spacing w:line="560" w:lineRule="exact"/>
        <w:ind w:firstLine="640" w:firstLineChars="200"/>
        <w:rPr>
          <w:rFonts w:hint="eastAsia" w:ascii="仿宋" w:hAnsi="仿宋" w:eastAsia="仿宋" w:cs="仿宋_GB2312"/>
          <w:sz w:val="32"/>
          <w:szCs w:val="32"/>
        </w:rPr>
      </w:pPr>
      <w:r>
        <w:rPr>
          <w:rFonts w:hint="eastAsia" w:ascii="仿宋_GB2312" w:hAnsi="仿宋_GB2312" w:eastAsia="仿宋_GB2312" w:cs="仿宋_GB2312"/>
          <w:sz w:val="32"/>
          <w:szCs w:val="32"/>
        </w:rPr>
        <w:t>2025年6月，经海南省市场监督管理局批准，《献血者筛选技术规范》地方标准项目被列入海南省2025年度第一批地方标准制修订项目计划。为顺利完成该地方标准编制工作，海南省血液中心成立标准起草组，制订工作计划，明确任务分工，正式启动标准起草工作。</w:t>
      </w:r>
    </w:p>
    <w:p w14:paraId="3046130E">
      <w:pPr>
        <w:pStyle w:val="15"/>
        <w:spacing w:line="560" w:lineRule="exact"/>
        <w:ind w:firstLine="640"/>
        <w:outlineLvl w:val="1"/>
        <w:rPr>
          <w:rFonts w:hint="eastAsia" w:ascii="楷体_GB2312" w:hAnsi="楷体_GB2312" w:eastAsia="楷体_GB2312" w:cs="楷体_GB2312"/>
          <w:sz w:val="32"/>
          <w:szCs w:val="32"/>
        </w:rPr>
      </w:pPr>
      <w:bookmarkStart w:id="4" w:name="_Toc9782"/>
      <w:r>
        <w:rPr>
          <w:rFonts w:hint="eastAsia" w:ascii="楷体_GB2312" w:hAnsi="楷体_GB2312" w:eastAsia="楷体_GB2312" w:cs="楷体_GB2312"/>
          <w:sz w:val="32"/>
          <w:szCs w:val="32"/>
        </w:rPr>
        <w:t>（二）</w:t>
      </w:r>
      <w:r>
        <w:rPr>
          <w:rFonts w:ascii="楷体_GB2312" w:hAnsi="楷体_GB2312" w:eastAsia="楷体_GB2312" w:cs="楷体_GB2312"/>
          <w:sz w:val="32"/>
          <w:szCs w:val="32"/>
        </w:rPr>
        <w:t>标准起草过程</w:t>
      </w:r>
      <w:bookmarkEnd w:id="4"/>
    </w:p>
    <w:p w14:paraId="04E078FF">
      <w:pPr>
        <w:numPr>
          <w:ilvl w:val="0"/>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1.资料收集</w:t>
      </w:r>
    </w:p>
    <w:p w14:paraId="0B55D7FB">
      <w:pPr>
        <w:numPr>
          <w:ilvl w:val="0"/>
          <w:numId w:val="0"/>
        </w:numPr>
        <w:spacing w:line="560" w:lineRule="exact"/>
        <w:ind w:firstLine="640" w:firstLineChars="200"/>
        <w:rPr>
          <w:rFonts w:hint="eastAsia" w:ascii="仿宋" w:hAnsi="仿宋" w:eastAsia="仿宋" w:cs="仿宋_GB2312"/>
          <w:sz w:val="32"/>
          <w:szCs w:val="32"/>
        </w:rPr>
      </w:pPr>
      <w:r>
        <w:rPr>
          <w:rFonts w:hint="eastAsia" w:ascii="仿宋_GB2312" w:hAnsi="仿宋_GB2312" w:eastAsia="仿宋_GB2312" w:cs="仿宋_GB2312"/>
          <w:sz w:val="32"/>
          <w:szCs w:val="32"/>
        </w:rPr>
        <w:t>2025年8月至12月，起草组开展相关法律法规、政策制度文件及国家、行业和地方标准资料</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收集，并研读、分析、梳理和提炼，充分了解献血者筛选技术的工作现状。</w:t>
      </w:r>
    </w:p>
    <w:p w14:paraId="774B6E21">
      <w:pPr>
        <w:numPr>
          <w:ilvl w:val="0"/>
          <w:numId w:val="0"/>
        </w:numPr>
        <w:spacing w:line="560" w:lineRule="exact"/>
        <w:ind w:firstLine="640" w:firstLineChars="200"/>
        <w:rPr>
          <w:rFonts w:hint="eastAsia" w:ascii="仿宋" w:hAnsi="仿宋" w:eastAsia="仿宋" w:cs="仿宋_GB2312"/>
          <w:sz w:val="32"/>
          <w:szCs w:val="32"/>
        </w:rPr>
      </w:pPr>
      <w:r>
        <w:rPr>
          <w:rFonts w:hint="eastAsia" w:ascii="仿宋_GB2312" w:hAnsi="仿宋_GB2312" w:eastAsia="仿宋_GB2312" w:cs="仿宋_GB2312"/>
          <w:sz w:val="32"/>
          <w:szCs w:val="32"/>
        </w:rPr>
        <w:t>编制单位认真查阅标准制定的有关文件，严格遵循GB/T 1.1-2020《标准化工作导则</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第1部分：标准化文件的结构和起草规则》所规定的标准编写要求和格式，对标准的格式、内容、术语表达方式等进行了深入学习，在调查研究及大量试验工作的基础上将所有资料归类分析，结合工作实际情况，于2025年11月形成标准讨论稿。</w:t>
      </w:r>
    </w:p>
    <w:p w14:paraId="0F39092B">
      <w:pPr>
        <w:numPr>
          <w:ilvl w:val="0"/>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调研过程</w:t>
      </w:r>
    </w:p>
    <w:p w14:paraId="23CCDFCD">
      <w:pPr>
        <w:numPr>
          <w:ilvl w:val="0"/>
          <w:numId w:val="0"/>
        </w:numPr>
        <w:spacing w:line="560" w:lineRule="exact"/>
        <w:ind w:firstLine="640" w:firstLineChars="200"/>
        <w:rPr>
          <w:rFonts w:hint="eastAsia" w:ascii="仿宋" w:hAnsi="仿宋" w:eastAsia="仿宋" w:cs="仿宋"/>
          <w:sz w:val="32"/>
          <w:szCs w:val="32"/>
        </w:rPr>
      </w:pPr>
      <w:r>
        <w:rPr>
          <w:rFonts w:hint="eastAsia" w:ascii="仿宋_GB2312" w:hAnsi="仿宋_GB2312" w:eastAsia="仿宋_GB2312" w:cs="仿宋_GB2312"/>
          <w:sz w:val="32"/>
          <w:szCs w:val="32"/>
        </w:rPr>
        <w:t>2025年8</w:t>
      </w:r>
      <w:r>
        <w:rPr>
          <w:rFonts w:hint="eastAsia" w:ascii="仿宋_GB2312" w:hAnsi="仿宋_GB2312" w:eastAsia="仿宋_GB2312" w:cs="仿宋_GB2312"/>
          <w:sz w:val="32"/>
          <w:szCs w:val="32"/>
          <w:lang w:val="en-US" w:eastAsia="zh-CN"/>
        </w:rPr>
        <w:t>月</w:t>
      </w:r>
      <w:r>
        <w:rPr>
          <w:rFonts w:hint="eastAsia" w:ascii="仿宋_GB2312" w:hAnsi="仿宋_GB2312" w:eastAsia="仿宋_GB2312" w:cs="仿宋_GB2312"/>
          <w:sz w:val="32"/>
          <w:szCs w:val="32"/>
        </w:rPr>
        <w:t>至12月，起草组成员赴928医院、三亚、陵水、万宁、琼海、定安等地开展调研工作（见图1），收集征询登记表（全血）、征询登记表（单采）等材料，并与当地献血相关人员展开研讨，了解我省献血者筛选技术的实际情况，对标准讨论稿和编制说明进行修改完善。讨论稿形成后，编制人员根据讨论意见进行修改，形成了该标准文件及编制说明的征求意见稿。</w:t>
      </w:r>
    </w:p>
    <w:p w14:paraId="05B28009">
      <w:pPr>
        <w:ind w:right="-1153" w:rightChars="-549"/>
        <w:jc w:val="left"/>
        <w:rPr>
          <w:rFonts w:hint="eastAsia" w:ascii="仿宋" w:hAnsi="仿宋" w:eastAsia="仿宋" w:cs="仿宋"/>
          <w:sz w:val="32"/>
          <w:szCs w:val="32"/>
        </w:rPr>
      </w:pPr>
      <w:r>
        <w:rPr>
          <w:rFonts w:hint="eastAsia" w:ascii="仿宋" w:hAnsi="仿宋" w:eastAsia="仿宋" w:cs="仿宋"/>
          <w:sz w:val="32"/>
          <w:szCs w:val="32"/>
        </w:rPr>
        <w:drawing>
          <wp:inline distT="0" distB="0" distL="114300" distR="114300">
            <wp:extent cx="1904365" cy="1430020"/>
            <wp:effectExtent l="0" t="0" r="635" b="17780"/>
            <wp:docPr id="17" name="图片 17" descr="中国人民解放军总医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中国人民解放军总医院"/>
                    <pic:cNvPicPr>
                      <a:picLocks noChangeAspect="1"/>
                    </pic:cNvPicPr>
                  </pic:nvPicPr>
                  <pic:blipFill>
                    <a:blip r:embed="rId4"/>
                    <a:stretch>
                      <a:fillRect/>
                    </a:stretch>
                  </pic:blipFill>
                  <pic:spPr>
                    <a:xfrm>
                      <a:off x="0" y="0"/>
                      <a:ext cx="1904365" cy="1430020"/>
                    </a:xfrm>
                    <a:prstGeom prst="rect">
                      <a:avLst/>
                    </a:prstGeom>
                  </pic:spPr>
                </pic:pic>
              </a:graphicData>
            </a:graphic>
          </wp:inline>
        </w:drawing>
      </w:r>
      <w:r>
        <w:rPr>
          <w:rFonts w:hint="eastAsia" w:ascii="仿宋" w:hAnsi="仿宋" w:eastAsia="仿宋" w:cs="仿宋"/>
          <w:sz w:val="32"/>
          <w:szCs w:val="32"/>
        </w:rPr>
        <w:drawing>
          <wp:inline distT="0" distB="0" distL="114300" distR="114300">
            <wp:extent cx="1837055" cy="1433830"/>
            <wp:effectExtent l="0" t="0" r="10795" b="13970"/>
            <wp:docPr id="16" name="图片 16" descr="海南省血液中心三亚分中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海南省血液中心三亚分中心"/>
                    <pic:cNvPicPr>
                      <a:picLocks noChangeAspect="1"/>
                    </pic:cNvPicPr>
                  </pic:nvPicPr>
                  <pic:blipFill>
                    <a:blip r:embed="rId5"/>
                    <a:stretch>
                      <a:fillRect/>
                    </a:stretch>
                  </pic:blipFill>
                  <pic:spPr>
                    <a:xfrm>
                      <a:off x="0" y="0"/>
                      <a:ext cx="1837055" cy="1433830"/>
                    </a:xfrm>
                    <a:prstGeom prst="rect">
                      <a:avLst/>
                    </a:prstGeom>
                  </pic:spPr>
                </pic:pic>
              </a:graphicData>
            </a:graphic>
          </wp:inline>
        </w:drawing>
      </w:r>
      <w:r>
        <w:rPr>
          <w:rFonts w:hint="eastAsia" w:ascii="仿宋" w:hAnsi="仿宋" w:eastAsia="仿宋" w:cs="仿宋"/>
          <w:sz w:val="32"/>
          <w:szCs w:val="32"/>
        </w:rPr>
        <w:drawing>
          <wp:inline distT="0" distB="0" distL="114300" distR="114300">
            <wp:extent cx="1953260" cy="1464945"/>
            <wp:effectExtent l="0" t="0" r="8890" b="1905"/>
            <wp:docPr id="15" name="图片 15" descr="陵水献血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陵水献血屋"/>
                    <pic:cNvPicPr>
                      <a:picLocks noChangeAspect="1"/>
                    </pic:cNvPicPr>
                  </pic:nvPicPr>
                  <pic:blipFill>
                    <a:blip r:embed="rId6"/>
                    <a:stretch>
                      <a:fillRect/>
                    </a:stretch>
                  </pic:blipFill>
                  <pic:spPr>
                    <a:xfrm>
                      <a:off x="0" y="0"/>
                      <a:ext cx="1953260" cy="1464945"/>
                    </a:xfrm>
                    <a:prstGeom prst="rect">
                      <a:avLst/>
                    </a:prstGeom>
                  </pic:spPr>
                </pic:pic>
              </a:graphicData>
            </a:graphic>
          </wp:inline>
        </w:drawing>
      </w:r>
      <w:r>
        <w:rPr>
          <w:rFonts w:hint="eastAsia" w:ascii="仿宋" w:hAnsi="仿宋" w:eastAsia="仿宋" w:cs="仿宋"/>
          <w:sz w:val="32"/>
          <w:szCs w:val="32"/>
        </w:rPr>
        <w:t xml:space="preserve"> </w:t>
      </w:r>
      <w:r>
        <w:rPr>
          <w:rFonts w:hint="eastAsia" w:ascii="仿宋" w:hAnsi="仿宋" w:eastAsia="仿宋" w:cs="仿宋"/>
          <w:sz w:val="32"/>
          <w:szCs w:val="32"/>
        </w:rPr>
        <w:drawing>
          <wp:inline distT="0" distB="0" distL="114300" distR="114300">
            <wp:extent cx="1904365" cy="1464945"/>
            <wp:effectExtent l="0" t="0" r="635" b="1905"/>
            <wp:docPr id="19" name="图片 19" descr="万宁献血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万宁献血屋"/>
                    <pic:cNvPicPr>
                      <a:picLocks noChangeAspect="1"/>
                    </pic:cNvPicPr>
                  </pic:nvPicPr>
                  <pic:blipFill>
                    <a:blip r:embed="rId7"/>
                    <a:stretch>
                      <a:fillRect/>
                    </a:stretch>
                  </pic:blipFill>
                  <pic:spPr>
                    <a:xfrm>
                      <a:off x="0" y="0"/>
                      <a:ext cx="1904365" cy="1464945"/>
                    </a:xfrm>
                    <a:prstGeom prst="rect">
                      <a:avLst/>
                    </a:prstGeom>
                  </pic:spPr>
                </pic:pic>
              </a:graphicData>
            </a:graphic>
          </wp:inline>
        </w:drawing>
      </w:r>
      <w:r>
        <w:rPr>
          <w:rFonts w:hint="eastAsia" w:ascii="仿宋" w:hAnsi="仿宋" w:eastAsia="仿宋" w:cs="仿宋"/>
          <w:sz w:val="32"/>
          <w:szCs w:val="32"/>
        </w:rPr>
        <w:drawing>
          <wp:inline distT="0" distB="0" distL="114300" distR="114300">
            <wp:extent cx="1775460" cy="1424940"/>
            <wp:effectExtent l="0" t="0" r="15240" b="3810"/>
            <wp:docPr id="14" name="图片 14" descr="海南省血液中心琼海分中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海南省血液中心琼海分中心"/>
                    <pic:cNvPicPr>
                      <a:picLocks noChangeAspect="1"/>
                    </pic:cNvPicPr>
                  </pic:nvPicPr>
                  <pic:blipFill>
                    <a:blip r:embed="rId8"/>
                    <a:stretch>
                      <a:fillRect/>
                    </a:stretch>
                  </pic:blipFill>
                  <pic:spPr>
                    <a:xfrm>
                      <a:off x="0" y="0"/>
                      <a:ext cx="1775460" cy="1424940"/>
                    </a:xfrm>
                    <a:prstGeom prst="rect">
                      <a:avLst/>
                    </a:prstGeom>
                  </pic:spPr>
                </pic:pic>
              </a:graphicData>
            </a:graphic>
          </wp:inline>
        </w:drawing>
      </w:r>
      <w:r>
        <w:rPr>
          <w:rFonts w:hint="eastAsia" w:ascii="仿宋" w:hAnsi="仿宋" w:eastAsia="仿宋" w:cs="仿宋"/>
          <w:sz w:val="32"/>
          <w:szCs w:val="32"/>
        </w:rPr>
        <w:drawing>
          <wp:inline distT="0" distB="0" distL="114300" distR="114300">
            <wp:extent cx="1912620" cy="1431290"/>
            <wp:effectExtent l="0" t="0" r="11430" b="16510"/>
            <wp:docPr id="10" name="图片 10" descr="定安献血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定安献血屋"/>
                    <pic:cNvPicPr>
                      <a:picLocks noChangeAspect="1"/>
                    </pic:cNvPicPr>
                  </pic:nvPicPr>
                  <pic:blipFill>
                    <a:blip r:embed="rId9"/>
                    <a:stretch>
                      <a:fillRect/>
                    </a:stretch>
                  </pic:blipFill>
                  <pic:spPr>
                    <a:xfrm>
                      <a:off x="0" y="0"/>
                      <a:ext cx="1912620" cy="1431290"/>
                    </a:xfrm>
                    <a:prstGeom prst="rect">
                      <a:avLst/>
                    </a:prstGeom>
                  </pic:spPr>
                </pic:pic>
              </a:graphicData>
            </a:graphic>
          </wp:inline>
        </w:drawing>
      </w:r>
    </w:p>
    <w:p w14:paraId="2BE69477">
      <w:pPr>
        <w:jc w:val="center"/>
        <w:rPr>
          <w:rFonts w:hint="eastAsia" w:ascii="黑体" w:hAnsi="黑体" w:eastAsia="黑体" w:cs="黑体"/>
          <w:sz w:val="24"/>
          <w:szCs w:val="24"/>
        </w:rPr>
      </w:pPr>
      <w:r>
        <w:rPr>
          <w:rFonts w:hint="eastAsia" w:ascii="黑体" w:hAnsi="黑体" w:eastAsia="黑体" w:cs="黑体"/>
          <w:sz w:val="24"/>
          <w:szCs w:val="24"/>
        </w:rPr>
        <w:t>图1 赴三亚、陵水、万宁、琼海、定安等地开展调研工作</w:t>
      </w:r>
    </w:p>
    <w:p w14:paraId="47DA5FB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3.征求意见情况</w:t>
      </w:r>
    </w:p>
    <w:p w14:paraId="1F97AC94">
      <w:pPr>
        <w:spacing w:line="560" w:lineRule="exact"/>
        <w:ind w:firstLine="640" w:firstLineChars="200"/>
        <w:rPr>
          <w:rFonts w:hint="eastAsia" w:ascii="仿宋" w:hAnsi="仿宋" w:eastAsia="仿宋" w:cs="仿宋"/>
          <w:sz w:val="32"/>
          <w:szCs w:val="32"/>
        </w:rPr>
      </w:pPr>
      <w:r>
        <w:rPr>
          <w:rFonts w:hint="eastAsia" w:ascii="仿宋_GB2312" w:hAnsi="仿宋_GB2312" w:eastAsia="仿宋_GB2312" w:cs="仿宋_GB2312"/>
          <w:sz w:val="32"/>
          <w:szCs w:val="32"/>
        </w:rPr>
        <w:t>2026年3月4日在海南省血液中心召开《献血者筛选技术规范》地方标准征求意见会（见图2），邀请了来自中国热带农业科学院分析测试中心、海南医科大学第二附属医院、海南省人民医院、海南省第五人民医院、海南省妇女儿童医学中心等单位的5名专家。会议上共收到</w:t>
      </w:r>
      <w:r>
        <w:rPr>
          <w:rFonts w:hint="eastAsia" w:ascii="仿宋_GB2312" w:hAnsi="仿宋_GB2312" w:eastAsia="仿宋_GB2312" w:cs="仿宋_GB2312"/>
          <w:sz w:val="32"/>
          <w:szCs w:val="32"/>
          <w:lang w:val="en-US" w:eastAsia="zh-CN"/>
        </w:rPr>
        <w:t>32</w:t>
      </w:r>
      <w:r>
        <w:rPr>
          <w:rFonts w:hint="eastAsia" w:ascii="仿宋_GB2312" w:hAnsi="仿宋_GB2312" w:eastAsia="仿宋_GB2312" w:cs="仿宋_GB2312"/>
          <w:sz w:val="32"/>
          <w:szCs w:val="32"/>
        </w:rPr>
        <w:t>条建议，采纳</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eastAsia="zh-CN"/>
        </w:rPr>
        <w:t>部分采纳</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条。</w:t>
      </w:r>
    </w:p>
    <w:p w14:paraId="18C47838">
      <w:pPr>
        <w:ind w:left="420" w:leftChars="200"/>
        <w:jc w:val="left"/>
        <w:rPr>
          <w:rFonts w:hint="eastAsia" w:ascii="仿宋" w:hAnsi="仿宋" w:eastAsia="仿宋" w:cs="仿宋"/>
          <w:sz w:val="32"/>
          <w:szCs w:val="32"/>
        </w:rPr>
      </w:pPr>
      <w:r>
        <w:rPr>
          <w:rFonts w:ascii="仿宋" w:hAnsi="仿宋" w:eastAsia="仿宋" w:cs="仿宋"/>
          <w:sz w:val="32"/>
          <w:szCs w:val="32"/>
        </w:rPr>
        <w:drawing>
          <wp:inline distT="0" distB="0" distL="114300" distR="114300">
            <wp:extent cx="2348230" cy="1814195"/>
            <wp:effectExtent l="0" t="0" r="13970" b="14605"/>
            <wp:docPr id="1" name="图片 1" descr="7b8cbda54d39ded2911a3a50865df1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b8cbda54d39ded2911a3a50865df1f6"/>
                    <pic:cNvPicPr>
                      <a:picLocks noChangeAspect="1"/>
                    </pic:cNvPicPr>
                  </pic:nvPicPr>
                  <pic:blipFill>
                    <a:blip r:embed="rId10"/>
                    <a:stretch>
                      <a:fillRect/>
                    </a:stretch>
                  </pic:blipFill>
                  <pic:spPr>
                    <a:xfrm>
                      <a:off x="0" y="0"/>
                      <a:ext cx="2348230" cy="1814195"/>
                    </a:xfrm>
                    <a:prstGeom prst="rect">
                      <a:avLst/>
                    </a:prstGeom>
                  </pic:spPr>
                </pic:pic>
              </a:graphicData>
            </a:graphic>
          </wp:inline>
        </w:drawing>
      </w:r>
      <w:r>
        <w:rPr>
          <w:rFonts w:ascii="仿宋" w:hAnsi="仿宋" w:eastAsia="仿宋" w:cs="仿宋"/>
          <w:sz w:val="32"/>
          <w:szCs w:val="32"/>
        </w:rPr>
        <w:drawing>
          <wp:inline distT="0" distB="0" distL="114300" distR="114300">
            <wp:extent cx="2400300" cy="1799590"/>
            <wp:effectExtent l="0" t="0" r="0" b="10160"/>
            <wp:docPr id="2" name="图片 2" descr="3ac28f8906793b79f96e2688f1cc19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ac28f8906793b79f96e2688f1cc198a"/>
                    <pic:cNvPicPr>
                      <a:picLocks noChangeAspect="1"/>
                    </pic:cNvPicPr>
                  </pic:nvPicPr>
                  <pic:blipFill>
                    <a:blip r:embed="rId11"/>
                    <a:stretch>
                      <a:fillRect/>
                    </a:stretch>
                  </pic:blipFill>
                  <pic:spPr>
                    <a:xfrm>
                      <a:off x="0" y="0"/>
                      <a:ext cx="2400300" cy="1799590"/>
                    </a:xfrm>
                    <a:prstGeom prst="rect">
                      <a:avLst/>
                    </a:prstGeom>
                  </pic:spPr>
                </pic:pic>
              </a:graphicData>
            </a:graphic>
          </wp:inline>
        </w:drawing>
      </w:r>
    </w:p>
    <w:p w14:paraId="4444B6A3">
      <w:pPr>
        <w:jc w:val="center"/>
        <w:rPr>
          <w:rFonts w:hint="eastAsia" w:ascii="黑体" w:hAnsi="黑体" w:eastAsia="黑体" w:cs="黑体"/>
          <w:sz w:val="24"/>
          <w:szCs w:val="24"/>
        </w:rPr>
      </w:pPr>
      <w:r>
        <w:rPr>
          <w:rFonts w:hint="eastAsia" w:ascii="黑体" w:hAnsi="黑体" w:eastAsia="黑体" w:cs="黑体"/>
          <w:sz w:val="24"/>
          <w:szCs w:val="24"/>
        </w:rPr>
        <w:t>图2征求意见会</w:t>
      </w:r>
    </w:p>
    <w:p w14:paraId="1B1F7132">
      <w:pPr>
        <w:spacing w:line="600" w:lineRule="exact"/>
        <w:ind w:firstLine="640" w:firstLineChars="200"/>
        <w:outlineLvl w:val="0"/>
        <w:rPr>
          <w:rFonts w:hint="eastAsia" w:ascii="黑体" w:hAnsi="黑体" w:eastAsia="黑体" w:cs="黑体"/>
          <w:sz w:val="32"/>
          <w:szCs w:val="32"/>
        </w:rPr>
      </w:pPr>
      <w:bookmarkStart w:id="5" w:name="_Toc28501"/>
      <w:r>
        <w:rPr>
          <w:rFonts w:hint="eastAsia" w:ascii="黑体" w:hAnsi="黑体" w:eastAsia="黑体" w:cs="黑体"/>
          <w:sz w:val="32"/>
          <w:szCs w:val="32"/>
        </w:rPr>
        <w:t>四、制定标准的原则和依据，与现行法律法规、标准的关系</w:t>
      </w:r>
      <w:bookmarkEnd w:id="5"/>
    </w:p>
    <w:p w14:paraId="204646CF">
      <w:pPr>
        <w:spacing w:line="560" w:lineRule="exact"/>
        <w:ind w:firstLine="640" w:firstLineChars="200"/>
        <w:outlineLvl w:val="1"/>
        <w:rPr>
          <w:rFonts w:hint="eastAsia" w:ascii="仿宋_GB2312" w:hAnsi="仿宋_GB2312" w:eastAsia="仿宋_GB2312" w:cs="仿宋_GB2312"/>
          <w:sz w:val="32"/>
          <w:szCs w:val="32"/>
        </w:rPr>
      </w:pPr>
      <w:bookmarkStart w:id="6" w:name="_Toc30161"/>
      <w:r>
        <w:rPr>
          <w:rFonts w:hint="eastAsia" w:ascii="楷体_GB2312" w:hAnsi="楷体_GB2312" w:eastAsia="楷体_GB2312" w:cs="楷体_GB2312"/>
          <w:sz w:val="32"/>
          <w:szCs w:val="32"/>
        </w:rPr>
        <w:t>（一）制定标准的原则</w:t>
      </w:r>
      <w:bookmarkEnd w:id="6"/>
    </w:p>
    <w:p w14:paraId="43173D27">
      <w:pPr>
        <w:spacing w:line="56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科学性。本标准在编制过程中以相关法律法规、政策文件为主要依据，结合本省工作实际编写，标准技术内容符合客观实际且可验证。</w:t>
      </w:r>
    </w:p>
    <w:p w14:paraId="6D91E5B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2.统一性。本标准做到标准结构、文体、术语、形式的统一。</w:t>
      </w:r>
    </w:p>
    <w:p w14:paraId="1126BAE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3.适用性。献血者筛选技术目前相应的国家、地方标准有：</w:t>
      </w:r>
    </w:p>
    <w:p w14:paraId="15DD21E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（1）GB 18467 献血者健康检查要求</w:t>
      </w:r>
    </w:p>
    <w:p w14:paraId="5F69BF8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（2）DB32/T 4622.2-2023 采供血过程风险管理 第2部分：献血者健康检查和血液采集风险控制规范</w:t>
      </w:r>
    </w:p>
    <w:p w14:paraId="76E4A0F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献血者筛选技术目前尚无相应的行业标准。本标准在调研献血者筛选技术现状的基础上，根据本省献血者检查地域性等需求编写。标准文本结构清晰、易于理解、可操作性强，适用于全省献血者筛选工作。</w:t>
      </w:r>
    </w:p>
    <w:p w14:paraId="3C00DDA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4.规范性。本标准严格按照GB/T 1.1—2020《标准化工作导则 第1部分：标准化文件的结构和起草规则》给出的规则进行编写。</w:t>
      </w:r>
    </w:p>
    <w:p w14:paraId="0845390D">
      <w:pPr>
        <w:spacing w:line="560" w:lineRule="exact"/>
        <w:ind w:firstLine="640" w:firstLineChars="200"/>
        <w:outlineLvl w:val="1"/>
        <w:rPr>
          <w:rFonts w:hint="eastAsia" w:ascii="仿宋_GB2312" w:hAnsi="仿宋_GB2312" w:eastAsia="仿宋_GB2312" w:cs="仿宋_GB2312"/>
          <w:sz w:val="32"/>
          <w:szCs w:val="32"/>
        </w:rPr>
      </w:pPr>
      <w:bookmarkStart w:id="7" w:name="_Toc15426"/>
      <w:r>
        <w:rPr>
          <w:rFonts w:hint="eastAsia" w:ascii="楷体_GB2312" w:hAnsi="楷体_GB2312" w:eastAsia="楷体_GB2312" w:cs="楷体_GB2312"/>
          <w:sz w:val="32"/>
          <w:szCs w:val="32"/>
        </w:rPr>
        <w:t>（二）制定标准的主要依据</w:t>
      </w:r>
      <w:bookmarkEnd w:id="7"/>
    </w:p>
    <w:p w14:paraId="62AA5D38">
      <w:pPr>
        <w:spacing w:line="560" w:lineRule="exact"/>
        <w:ind w:firstLine="640" w:firstLineChars="200"/>
        <w:rPr>
          <w:rFonts w:hint="eastAsia" w:ascii="仿宋_GB2312" w:hAnsi="仿宋_GB2312" w:eastAsia="仿宋_GB2312" w:cs="仿宋_GB2312"/>
          <w:sz w:val="32"/>
          <w:szCs w:val="32"/>
        </w:rPr>
      </w:pPr>
      <w:bookmarkStart w:id="8" w:name="_Toc7410"/>
      <w:r>
        <w:rPr>
          <w:rFonts w:hint="eastAsia" w:ascii="仿宋_GB2312" w:hAnsi="仿宋_GB2312" w:eastAsia="仿宋_GB2312" w:cs="仿宋_GB2312"/>
          <w:sz w:val="32"/>
          <w:szCs w:val="32"/>
        </w:rPr>
        <w:t>1.法律法规及相关政策文件：</w:t>
      </w:r>
      <w:bookmarkEnd w:id="8"/>
    </w:p>
    <w:p w14:paraId="3CC721B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《中华人民共和国献血法》</w:t>
      </w:r>
    </w:p>
    <w:p w14:paraId="7510F11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《中华人民共和国传染病防治法》</w:t>
      </w:r>
    </w:p>
    <w:p w14:paraId="30A117E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《海南经济特区无偿献血条例》</w:t>
      </w:r>
    </w:p>
    <w:p w14:paraId="3E64F9F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《血站技术操作规程》</w:t>
      </w:r>
    </w:p>
    <w:p w14:paraId="38A8298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《血站质量管理规范》</w:t>
      </w:r>
    </w:p>
    <w:p w14:paraId="627EE5B1">
      <w:pPr>
        <w:spacing w:line="560" w:lineRule="exact"/>
        <w:ind w:firstLine="640" w:firstLineChars="200"/>
        <w:outlineLvl w:val="2"/>
        <w:rPr>
          <w:rFonts w:hint="eastAsia" w:ascii="仿宋_GB2312" w:hAnsi="仿宋_GB2312" w:eastAsia="仿宋_GB2312" w:cs="仿宋_GB2312"/>
          <w:sz w:val="32"/>
          <w:szCs w:val="32"/>
        </w:rPr>
      </w:pPr>
      <w:bookmarkStart w:id="9" w:name="_Toc22988"/>
      <w:r>
        <w:rPr>
          <w:rFonts w:hint="eastAsia" w:ascii="仿宋_GB2312" w:hAnsi="仿宋_GB2312" w:eastAsia="仿宋_GB2312" w:cs="仿宋_GB2312"/>
          <w:sz w:val="32"/>
          <w:szCs w:val="32"/>
        </w:rPr>
        <w:t>2.相关标准：</w:t>
      </w:r>
      <w:bookmarkEnd w:id="9"/>
    </w:p>
    <w:p w14:paraId="393EA46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GB/T 1.1—2020 标准化工作导则 第1部分：标准化文件的结构和起草规则</w:t>
      </w:r>
    </w:p>
    <w:p w14:paraId="3335A28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GB 18467 献血者健康检查要求</w:t>
      </w:r>
    </w:p>
    <w:p w14:paraId="2BA8640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GB/T 20001.5—2017 标准编写规则 第5部分：规范标准 </w:t>
      </w:r>
    </w:p>
    <w:p w14:paraId="7612B56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WS/T 203-2020《输血医学术语》</w:t>
      </w:r>
    </w:p>
    <w:p w14:paraId="46C67EE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DB46/T 74—2021  地方标准制修订工作规范</w:t>
      </w:r>
    </w:p>
    <w:p w14:paraId="47FFEE4A">
      <w:pPr>
        <w:spacing w:line="560" w:lineRule="exact"/>
        <w:ind w:firstLine="640" w:firstLineChars="200"/>
        <w:outlineLvl w:val="1"/>
        <w:rPr>
          <w:rFonts w:hint="eastAsia" w:ascii="仿宋_GB2312" w:hAnsi="仿宋_GB2312" w:eastAsia="仿宋_GB2312" w:cs="仿宋_GB2312"/>
          <w:sz w:val="32"/>
          <w:szCs w:val="32"/>
          <w:highlight w:val="red"/>
        </w:rPr>
      </w:pPr>
      <w:bookmarkStart w:id="10" w:name="_Toc21934"/>
      <w:r>
        <w:rPr>
          <w:rFonts w:hint="eastAsia" w:ascii="楷体_GB2312" w:hAnsi="楷体_GB2312" w:eastAsia="楷体_GB2312" w:cs="楷体_GB2312"/>
          <w:sz w:val="32"/>
          <w:szCs w:val="32"/>
        </w:rPr>
        <w:t>（三）与现行法律、法规标准的关系</w:t>
      </w:r>
      <w:bookmarkEnd w:id="10"/>
    </w:p>
    <w:p w14:paraId="40655C7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文件</w:t>
      </w:r>
      <w:r>
        <w:rPr>
          <w:rFonts w:hint="eastAsia" w:ascii="仿宋_GB2312" w:hAnsi="仿宋_GB2312" w:eastAsia="仿宋_GB2312" w:cs="仿宋_GB2312"/>
          <w:sz w:val="32"/>
          <w:szCs w:val="32"/>
        </w:rPr>
        <w:t>符合《中华人民共和国献血法》《中华人民共和国传染病防治法》《海南经济特区无偿献血条例》《血站技术操作规程》《血站质量管理规范》等的相关规定，且从适用性、可操作性方面补充细化标准内容。</w:t>
      </w:r>
    </w:p>
    <w:p w14:paraId="0B98CA9A">
      <w:pPr>
        <w:spacing w:line="600" w:lineRule="exact"/>
        <w:ind w:firstLine="640" w:firstLineChars="200"/>
        <w:outlineLvl w:val="0"/>
        <w:rPr>
          <w:rFonts w:hint="eastAsia" w:ascii="黑体" w:hAnsi="黑体" w:eastAsia="黑体" w:cs="黑体"/>
          <w:sz w:val="32"/>
          <w:szCs w:val="32"/>
        </w:rPr>
      </w:pPr>
      <w:bookmarkStart w:id="11" w:name="_Toc7460"/>
      <w:r>
        <w:rPr>
          <w:rFonts w:hint="eastAsia" w:ascii="黑体" w:hAnsi="黑体" w:eastAsia="黑体" w:cs="黑体"/>
          <w:sz w:val="32"/>
          <w:szCs w:val="32"/>
        </w:rPr>
        <w:t>五、主要条款的说明，主要技术指标、参数、试验验证的论述</w:t>
      </w:r>
      <w:bookmarkEnd w:id="11"/>
    </w:p>
    <w:p w14:paraId="7FA11E1A">
      <w:pPr>
        <w:spacing w:line="560" w:lineRule="exact"/>
        <w:ind w:firstLine="640" w:firstLineChars="200"/>
        <w:outlineLvl w:val="1"/>
        <w:rPr>
          <w:rFonts w:hint="eastAsia" w:ascii="仿宋_GB2312" w:hAnsi="仿宋_GB2312" w:eastAsia="楷体_GB2312" w:cs="仿宋_GB2312"/>
          <w:sz w:val="32"/>
          <w:szCs w:val="32"/>
        </w:rPr>
      </w:pPr>
      <w:bookmarkStart w:id="12" w:name="_Toc24097"/>
      <w:r>
        <w:rPr>
          <w:rFonts w:hint="eastAsia" w:ascii="楷体_GB2312" w:hAnsi="楷体_GB2312" w:eastAsia="楷体_GB2312" w:cs="楷体_GB2312"/>
          <w:sz w:val="32"/>
          <w:szCs w:val="32"/>
        </w:rPr>
        <w:t>（一）主要条款</w:t>
      </w:r>
      <w:bookmarkEnd w:id="12"/>
    </w:p>
    <w:p w14:paraId="630CD96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文件</w:t>
      </w:r>
      <w:r>
        <w:rPr>
          <w:rFonts w:hint="eastAsia" w:ascii="仿宋_GB2312" w:hAnsi="仿宋_GB2312" w:eastAsia="仿宋_GB2312" w:cs="仿宋_GB2312"/>
          <w:sz w:val="32"/>
          <w:szCs w:val="32"/>
        </w:rPr>
        <w:t>共分为</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rPr>
        <w:t>个章节，包括范围、规范性引用文件、术语和定义、基本原则、基本要求、技术要求、境外人员要求等内容。</w:t>
      </w:r>
    </w:p>
    <w:p w14:paraId="7EFE5941">
      <w:pPr>
        <w:spacing w:line="560" w:lineRule="exact"/>
        <w:ind w:firstLine="640" w:firstLineChars="200"/>
        <w:outlineLvl w:val="1"/>
        <w:rPr>
          <w:rFonts w:hint="eastAsia" w:ascii="楷体_GB2312" w:hAnsi="楷体_GB2312" w:eastAsia="楷体_GB2312" w:cs="楷体_GB2312"/>
          <w:sz w:val="32"/>
          <w:szCs w:val="32"/>
        </w:rPr>
      </w:pPr>
      <w:bookmarkStart w:id="13" w:name="_Toc15096"/>
      <w:r>
        <w:rPr>
          <w:rFonts w:hint="eastAsia" w:ascii="楷体_GB2312" w:hAnsi="楷体_GB2312" w:eastAsia="楷体_GB2312" w:cs="楷体_GB2312"/>
          <w:sz w:val="32"/>
          <w:szCs w:val="32"/>
        </w:rPr>
        <w:t>（二）主要技术条款说明</w:t>
      </w:r>
      <w:bookmarkEnd w:id="13"/>
    </w:p>
    <w:p w14:paraId="013AA59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1.术语与定义</w:t>
      </w:r>
    </w:p>
    <w:p w14:paraId="7EB2FBF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本章确定了该标准直接采用 WS/T 203-2020 卫生标准中已界定的相关术语和定义</w:t>
      </w:r>
      <w:r>
        <w:rPr>
          <w:rFonts w:hint="eastAsia" w:ascii="仿宋_GB2312" w:hAnsi="仿宋_GB2312" w:eastAsia="仿宋_GB2312" w:cs="仿宋_GB2312"/>
          <w:sz w:val="32"/>
          <w:szCs w:val="32"/>
          <w:lang w:eastAsia="zh-CN"/>
        </w:rPr>
        <w:t>，并增加地中海贫血定义</w:t>
      </w:r>
      <w:r>
        <w:rPr>
          <w:rFonts w:hint="eastAsia" w:ascii="仿宋_GB2312" w:hAnsi="仿宋_GB2312" w:eastAsia="仿宋_GB2312" w:cs="仿宋_GB2312"/>
          <w:sz w:val="32"/>
          <w:szCs w:val="32"/>
        </w:rPr>
        <w:t>。</w:t>
      </w:r>
    </w:p>
    <w:p w14:paraId="3378F53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2.基本原则</w:t>
      </w:r>
    </w:p>
    <w:p w14:paraId="59ECE0DE">
      <w:pPr>
        <w:spacing w:line="560" w:lineRule="exact"/>
        <w:ind w:firstLine="640" w:firstLineChars="200"/>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sz w:val="32"/>
          <w:szCs w:val="32"/>
          <w:lang w:val="en-US" w:eastAsia="zh-CN"/>
        </w:rPr>
        <w:t>遵从相关法律</w:t>
      </w:r>
      <w:r>
        <w:rPr>
          <w:rFonts w:hint="eastAsia" w:ascii="仿宋_GB2312" w:hAnsi="仿宋_GB2312" w:eastAsia="仿宋_GB2312" w:cs="仿宋_GB2312"/>
          <w:b w:val="0"/>
          <w:bCs/>
          <w:sz w:val="32"/>
          <w:szCs w:val="32"/>
          <w:lang w:val="en-US" w:eastAsia="zh-CN"/>
        </w:rPr>
        <w:t>法规，科学开展</w:t>
      </w:r>
      <w:r>
        <w:rPr>
          <w:rFonts w:hint="eastAsia" w:ascii="仿宋_GB2312" w:hAnsi="仿宋_GB2312" w:eastAsia="仿宋_GB2312" w:cs="仿宋_GB2312"/>
          <w:b w:val="0"/>
          <w:bCs/>
          <w:sz w:val="32"/>
          <w:szCs w:val="32"/>
        </w:rPr>
        <w:t>献血者筛选</w:t>
      </w:r>
      <w:r>
        <w:rPr>
          <w:rFonts w:hint="eastAsia" w:ascii="仿宋_GB2312" w:hAnsi="仿宋_GB2312" w:eastAsia="仿宋_GB2312" w:cs="仿宋_GB2312"/>
          <w:b w:val="0"/>
          <w:bCs/>
          <w:sz w:val="32"/>
          <w:szCs w:val="32"/>
          <w:lang w:val="en-US" w:eastAsia="zh-CN"/>
        </w:rPr>
        <w:t>全流程操作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坚持以血液安全为核心，保障献血者知情权、自主选择权</w:t>
      </w:r>
      <w:r>
        <w:rPr>
          <w:rFonts w:hint="eastAsia" w:ascii="仿宋_GB2312" w:hAnsi="仿宋_GB2312" w:eastAsia="仿宋_GB2312" w:cs="仿宋_GB2312"/>
          <w:b w:val="0"/>
          <w:bCs/>
          <w:sz w:val="32"/>
          <w:szCs w:val="32"/>
          <w:lang w:val="en-US" w:eastAsia="zh-CN"/>
        </w:rPr>
        <w:t>等权益，确保献血者与用血者的</w:t>
      </w:r>
      <w:r>
        <w:rPr>
          <w:rFonts w:hint="eastAsia" w:ascii="仿宋_GB2312" w:hAnsi="仿宋_GB2312" w:eastAsia="仿宋_GB2312" w:cs="仿宋_GB2312"/>
          <w:b w:val="0"/>
          <w:bCs/>
          <w:sz w:val="32"/>
          <w:szCs w:val="32"/>
        </w:rPr>
        <w:t>身体健康</w:t>
      </w:r>
      <w:r>
        <w:rPr>
          <w:rFonts w:hint="eastAsia" w:ascii="仿宋_GB2312" w:hAnsi="仿宋_GB2312" w:eastAsia="仿宋_GB2312" w:cs="仿宋_GB2312"/>
          <w:b w:val="0"/>
          <w:bCs/>
          <w:sz w:val="32"/>
          <w:szCs w:val="32"/>
          <w:lang w:eastAsia="zh-CN"/>
        </w:rPr>
        <w:t>。</w:t>
      </w:r>
    </w:p>
    <w:p w14:paraId="7347077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3.基本要求</w:t>
      </w:r>
    </w:p>
    <w:p w14:paraId="06F7351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本章规定了筛选技术的</w:t>
      </w:r>
      <w:r>
        <w:rPr>
          <w:rFonts w:hint="eastAsia" w:ascii="仿宋_GB2312" w:hAnsi="仿宋_GB2312" w:eastAsia="仿宋_GB2312" w:cs="仿宋_GB2312"/>
          <w:sz w:val="32"/>
          <w:szCs w:val="32"/>
          <w:lang w:val="en-US" w:eastAsia="zh-CN"/>
        </w:rPr>
        <w:t>人员资质</w:t>
      </w:r>
      <w:r>
        <w:rPr>
          <w:rFonts w:hint="eastAsia" w:ascii="仿宋_GB2312" w:hAnsi="仿宋_GB2312" w:eastAsia="仿宋_GB2312" w:cs="仿宋_GB2312"/>
          <w:sz w:val="32"/>
          <w:szCs w:val="32"/>
          <w:lang w:eastAsia="zh-CN"/>
        </w:rPr>
        <w:t>要求</w:t>
      </w:r>
      <w:r>
        <w:rPr>
          <w:rFonts w:hint="eastAsia" w:ascii="仿宋_GB2312" w:hAnsi="仿宋_GB2312" w:eastAsia="仿宋_GB2312" w:cs="仿宋_GB2312"/>
          <w:sz w:val="32"/>
          <w:szCs w:val="32"/>
        </w:rPr>
        <w:t>、环境与设施、信息管理相关内容。</w:t>
      </w:r>
    </w:p>
    <w:p w14:paraId="326F8521">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人员资质</w:t>
      </w:r>
      <w:r>
        <w:rPr>
          <w:rFonts w:hint="eastAsia" w:ascii="仿宋_GB2312" w:hAnsi="仿宋_GB2312" w:eastAsia="仿宋_GB2312" w:cs="仿宋_GB2312"/>
          <w:sz w:val="32"/>
          <w:szCs w:val="32"/>
          <w:lang w:eastAsia="zh-CN"/>
        </w:rPr>
        <w:t>要求</w:t>
      </w:r>
      <w:r>
        <w:rPr>
          <w:rFonts w:hint="eastAsia" w:ascii="仿宋_GB2312" w:hAnsi="仿宋_GB2312" w:eastAsia="仿宋_GB2312" w:cs="仿宋_GB2312"/>
          <w:sz w:val="32"/>
          <w:szCs w:val="32"/>
          <w:lang w:val="en-US" w:eastAsia="zh-CN"/>
        </w:rPr>
        <w:t>具有筛选技能的卫生技术人员，经培训考核通过可上岗，且定期检测排查</w:t>
      </w:r>
      <w:r>
        <w:rPr>
          <w:rFonts w:hint="eastAsia" w:ascii="仿宋_GB2312" w:hAnsi="仿宋_GB2312" w:eastAsia="仿宋_GB2312" w:cs="仿宋_GB2312"/>
          <w:sz w:val="32"/>
          <w:szCs w:val="32"/>
        </w:rPr>
        <w:t>经血传播病原体感染</w:t>
      </w:r>
      <w:r>
        <w:rPr>
          <w:rFonts w:hint="eastAsia" w:ascii="仿宋_GB2312" w:hAnsi="仿宋_GB2312" w:eastAsia="仿宋_GB2312" w:cs="仿宋_GB2312"/>
          <w:sz w:val="32"/>
          <w:szCs w:val="32"/>
          <w:lang w:val="en-US" w:eastAsia="zh-CN"/>
        </w:rPr>
        <w:t>。</w:t>
      </w:r>
    </w:p>
    <w:p w14:paraId="3D575CE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由于</w:t>
      </w:r>
      <w:r>
        <w:rPr>
          <w:rFonts w:hint="eastAsia" w:ascii="仿宋_GB2312" w:hAnsi="仿宋_GB2312" w:eastAsia="仿宋_GB2312" w:cs="仿宋_GB2312"/>
          <w:sz w:val="32"/>
          <w:szCs w:val="32"/>
        </w:rPr>
        <w:t>我省</w:t>
      </w:r>
      <w:r>
        <w:rPr>
          <w:rFonts w:hint="eastAsia" w:ascii="仿宋_GB2312" w:hAnsi="仿宋_GB2312" w:eastAsia="仿宋_GB2312" w:cs="仿宋_GB2312"/>
          <w:sz w:val="32"/>
          <w:szCs w:val="32"/>
          <w:lang w:val="en-US" w:eastAsia="zh-CN"/>
        </w:rPr>
        <w:t>为</w:t>
      </w:r>
      <w:r>
        <w:rPr>
          <w:rFonts w:hint="eastAsia" w:ascii="仿宋_GB2312" w:hAnsi="仿宋_GB2312" w:eastAsia="仿宋_GB2312" w:cs="仿宋_GB2312"/>
          <w:sz w:val="32"/>
          <w:szCs w:val="32"/>
        </w:rPr>
        <w:t>热带岛屿省份，</w:t>
      </w:r>
      <w:r>
        <w:rPr>
          <w:rFonts w:hint="eastAsia" w:ascii="仿宋_GB2312" w:hAnsi="仿宋_GB2312" w:eastAsia="仿宋_GB2312" w:cs="仿宋_GB2312"/>
          <w:sz w:val="32"/>
          <w:szCs w:val="32"/>
          <w:lang w:val="en-US" w:eastAsia="zh-CN"/>
        </w:rPr>
        <w:t>高温、</w:t>
      </w:r>
      <w:r>
        <w:rPr>
          <w:rFonts w:hint="eastAsia" w:ascii="仿宋_GB2312" w:hAnsi="仿宋_GB2312" w:eastAsia="仿宋_GB2312" w:cs="仿宋_GB2312"/>
          <w:sz w:val="32"/>
          <w:szCs w:val="32"/>
        </w:rPr>
        <w:t>台风、雷暴雨天气比较</w:t>
      </w:r>
      <w:r>
        <w:rPr>
          <w:rFonts w:hint="eastAsia" w:ascii="仿宋_GB2312" w:hAnsi="仿宋_GB2312" w:eastAsia="仿宋_GB2312" w:cs="仿宋_GB2312"/>
          <w:sz w:val="32"/>
          <w:szCs w:val="32"/>
          <w:lang w:val="en-US" w:eastAsia="zh-CN"/>
        </w:rPr>
        <w:t>多</w:t>
      </w:r>
      <w:r>
        <w:rPr>
          <w:rFonts w:hint="eastAsia" w:ascii="仿宋_GB2312" w:hAnsi="仿宋_GB2312" w:eastAsia="仿宋_GB2312" w:cs="仿宋_GB2312"/>
          <w:sz w:val="32"/>
          <w:szCs w:val="32"/>
        </w:rPr>
        <w:t>见，献血场所设置和管理</w:t>
      </w:r>
      <w:r>
        <w:rPr>
          <w:rFonts w:hint="eastAsia" w:ascii="仿宋_GB2312" w:hAnsi="仿宋_GB2312" w:eastAsia="仿宋_GB2312" w:cs="仿宋_GB2312"/>
          <w:sz w:val="32"/>
          <w:szCs w:val="32"/>
          <w:lang w:val="en-US" w:eastAsia="zh-CN"/>
        </w:rPr>
        <w:t>除</w:t>
      </w:r>
      <w:r>
        <w:rPr>
          <w:rFonts w:hint="eastAsia" w:ascii="仿宋_GB2312" w:hAnsi="仿宋_GB2312" w:eastAsia="仿宋_GB2312" w:cs="仿宋_GB2312"/>
          <w:sz w:val="32"/>
          <w:szCs w:val="32"/>
        </w:rPr>
        <w:t>参照WS/T 401-2023献血场所配置标准、T/CSBT 013—2025 血站业务场所建设指南</w:t>
      </w:r>
      <w:r>
        <w:rPr>
          <w:rFonts w:hint="eastAsia" w:ascii="仿宋_GB2312" w:hAnsi="仿宋_GB2312" w:eastAsia="仿宋_GB2312" w:cs="仿宋_GB2312"/>
          <w:sz w:val="32"/>
          <w:szCs w:val="32"/>
          <w:lang w:val="en-US" w:eastAsia="zh-CN"/>
        </w:rPr>
        <w:t>外</w:t>
      </w:r>
      <w:r>
        <w:rPr>
          <w:rFonts w:hint="eastAsia" w:ascii="仿宋_GB2312" w:hAnsi="仿宋_GB2312" w:eastAsia="仿宋_GB2312" w:cs="仿宋_GB2312"/>
          <w:sz w:val="32"/>
          <w:szCs w:val="32"/>
        </w:rPr>
        <w:t>，结合</w:t>
      </w:r>
      <w:r>
        <w:rPr>
          <w:rFonts w:hint="eastAsia" w:ascii="仿宋_GB2312" w:hAnsi="仿宋_GB2312" w:eastAsia="仿宋_GB2312" w:cs="仿宋_GB2312"/>
          <w:sz w:val="32"/>
          <w:szCs w:val="32"/>
          <w:lang w:val="en-US" w:eastAsia="zh-CN"/>
        </w:rPr>
        <w:t>我省的</w:t>
      </w:r>
      <w:r>
        <w:rPr>
          <w:rFonts w:hint="eastAsia" w:ascii="仿宋_GB2312" w:hAnsi="仿宋_GB2312" w:eastAsia="仿宋_GB2312" w:cs="仿宋_GB2312"/>
          <w:sz w:val="32"/>
          <w:szCs w:val="32"/>
        </w:rPr>
        <w:t>特殊气候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献血场所设置应具备防御高温、</w:t>
      </w:r>
      <w:r>
        <w:rPr>
          <w:rFonts w:hint="eastAsia" w:ascii="仿宋_GB2312" w:hAnsi="仿宋_GB2312" w:eastAsia="仿宋_GB2312" w:cs="仿宋_GB2312"/>
          <w:sz w:val="32"/>
          <w:szCs w:val="32"/>
        </w:rPr>
        <w:t>台风、雷暴雨</w:t>
      </w:r>
      <w:r>
        <w:rPr>
          <w:rFonts w:hint="eastAsia" w:ascii="仿宋_GB2312" w:hAnsi="仿宋_GB2312" w:eastAsia="仿宋_GB2312" w:cs="仿宋_GB2312"/>
          <w:sz w:val="32"/>
          <w:szCs w:val="32"/>
          <w:lang w:val="en-US" w:eastAsia="zh-CN"/>
        </w:rPr>
        <w:t>的安全措施</w:t>
      </w:r>
      <w:r>
        <w:rPr>
          <w:rFonts w:hint="eastAsia" w:ascii="仿宋_GB2312" w:hAnsi="仿宋_GB2312" w:eastAsia="仿宋_GB2312" w:cs="仿宋_GB2312"/>
          <w:sz w:val="32"/>
          <w:szCs w:val="32"/>
        </w:rPr>
        <w:t>。</w:t>
      </w:r>
    </w:p>
    <w:p w14:paraId="77AF9F0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血液管理信息系统（以下简称BMIS）覆盖献血服务全过程，</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rPr>
        <w:t>与疾病预防控制中心部门建立信息互通机制，及时获取传染病确诊信息，自动屏蔽经血传播病原体检测不合格的献血者，自动核查献血者年龄及献血间隔,提取特殊血型信息。</w:t>
      </w:r>
    </w:p>
    <w:p w14:paraId="50E5FC99">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4.技术要求</w:t>
      </w:r>
    </w:p>
    <w:p w14:paraId="2701140F">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本章节为献血者筛选核心技术环节，涵盖筛选工作全流程。</w:t>
      </w:r>
    </w:p>
    <w:p w14:paraId="7FCF6D7E">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4.1工作流程</w:t>
      </w:r>
    </w:p>
    <w:p w14:paraId="7B9E24D3">
      <w:pPr>
        <w:spacing w:line="560" w:lineRule="exact"/>
        <w:ind w:firstLine="640" w:firstLineChars="200"/>
        <w:rPr>
          <w:rFonts w:hint="eastAsia"/>
        </w:rPr>
      </w:pPr>
      <w:r>
        <w:rPr>
          <w:rFonts w:hint="eastAsia" w:ascii="仿宋_GB2312" w:hAnsi="仿宋_GB2312" w:eastAsia="仿宋_GB2312" w:cs="仿宋_GB2312"/>
          <w:sz w:val="32"/>
          <w:szCs w:val="32"/>
          <w:lang w:val="en-US" w:eastAsia="zh-CN"/>
        </w:rPr>
        <w:t>严格遵循献血者</w:t>
      </w:r>
      <w:r>
        <w:rPr>
          <w:rFonts w:hint="eastAsia" w:ascii="仿宋_GB2312" w:hAnsi="仿宋_GB2312" w:eastAsia="仿宋_GB2312" w:cs="仿宋_GB2312"/>
          <w:b w:val="0"/>
          <w:bCs w:val="0"/>
          <w:color w:val="000000"/>
          <w:kern w:val="0"/>
          <w:sz w:val="32"/>
          <w:szCs w:val="32"/>
          <w:lang w:val="en-US" w:eastAsia="zh-CN" w:bidi="ar"/>
        </w:rPr>
        <w:t>筛选标准化流程：献血者登记→完成献血者问卷→征询筛选→核查信息→健康检查→初筛检测→综合评估，各环节环环相扣，上一环节未通过者不得进入下一环节，全流程信息实时录入血液管理信息系统（BMIS），实现可追溯。</w:t>
      </w:r>
    </w:p>
    <w:p w14:paraId="13AD52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640" w:firstLineChars="200"/>
        <w:rPr>
          <w:rFonts w:hint="default"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4.2登记信息</w:t>
      </w:r>
    </w:p>
    <w:p w14:paraId="1F5EE1F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640" w:firstLineChars="200"/>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规定了献血者登记信息填写的方式及有效身份证件类别。</w:t>
      </w:r>
    </w:p>
    <w:p w14:paraId="2AFB02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640" w:firstLineChars="200"/>
        <w:rPr>
          <w:rFonts w:hint="eastAsia" w:ascii="宋体" w:hAnsi="宋体" w:eastAsia="宋体" w:cs="宋体"/>
          <w:b w:val="0"/>
          <w:bCs w:val="0"/>
          <w:color w:val="000000"/>
          <w:sz w:val="32"/>
          <w:szCs w:val="32"/>
        </w:rPr>
      </w:pPr>
      <w:r>
        <w:rPr>
          <w:rFonts w:hint="eastAsia" w:ascii="仿宋_GB2312" w:hAnsi="仿宋_GB2312" w:eastAsia="仿宋_GB2312" w:cs="仿宋_GB2312"/>
          <w:b w:val="0"/>
          <w:bCs w:val="0"/>
          <w:color w:val="000000"/>
          <w:kern w:val="0"/>
          <w:sz w:val="32"/>
          <w:szCs w:val="32"/>
          <w:lang w:val="en-US" w:eastAsia="zh-CN" w:bidi="ar"/>
        </w:rPr>
        <w:t>4.3征询筛选</w:t>
      </w:r>
    </w:p>
    <w:p w14:paraId="676211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640" w:firstLineChars="200"/>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4.3.1通用征询要求</w:t>
      </w:r>
    </w:p>
    <w:p w14:paraId="55207A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640" w:firstLineChars="20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kern w:val="0"/>
          <w:sz w:val="32"/>
          <w:szCs w:val="32"/>
          <w:lang w:val="en-US" w:eastAsia="zh-CN" w:bidi="ar"/>
        </w:rPr>
        <w:t>严格依据GB 18467开展健康征询，采用标准化征询表，对献血者的既往病史、旅居史、用药史、手术史、疫苗接种史等进行逐项核实，做到无遗漏、无错报。</w:t>
      </w:r>
    </w:p>
    <w:p w14:paraId="598D8C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640" w:firstLineChars="200"/>
        <w:rPr>
          <w:rFonts w:hint="eastAsia"/>
        </w:rPr>
      </w:pPr>
      <w:r>
        <w:rPr>
          <w:rFonts w:hint="eastAsia" w:ascii="仿宋_GB2312" w:hAnsi="仿宋_GB2312" w:eastAsia="仿宋_GB2312" w:cs="仿宋_GB2312"/>
          <w:b w:val="0"/>
          <w:bCs w:val="0"/>
          <w:color w:val="000000"/>
          <w:kern w:val="0"/>
          <w:sz w:val="32"/>
          <w:szCs w:val="32"/>
          <w:lang w:val="en-US" w:eastAsia="zh-CN" w:bidi="ar"/>
        </w:rPr>
        <w:t>将常见征询条款按疫苗接种献血间隔、传染病治愈后延缓献血、使用药物后献血间隔、手术类延缓献血四类汇总成表，便于工作人员快速查阅、精准执行，提升征询效率。</w:t>
      </w:r>
    </w:p>
    <w:p w14:paraId="09E4226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b w:val="0"/>
          <w:bCs w:val="0"/>
          <w:color w:val="000000"/>
          <w:kern w:val="0"/>
          <w:sz w:val="32"/>
          <w:szCs w:val="32"/>
          <w:lang w:val="en-US" w:eastAsia="zh-CN" w:bidi="ar"/>
        </w:rPr>
        <w:t>征询过程采用一对一沟通方式，保护献血者隐私，对模糊表述、存疑信息需进一步核实，确保征询信息真实有效。</w:t>
      </w:r>
    </w:p>
    <w:p w14:paraId="04379D8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rPr>
          <w:rFonts w:hint="eastAsia" w:ascii="宋体" w:hAnsi="宋体" w:eastAsia="宋体" w:cs="宋体"/>
          <w:b w:val="0"/>
          <w:bCs w:val="0"/>
          <w:color w:val="000000"/>
          <w:sz w:val="32"/>
          <w:szCs w:val="32"/>
        </w:rPr>
      </w:pPr>
      <w:r>
        <w:rPr>
          <w:rFonts w:hint="eastAsia" w:ascii="仿宋_GB2312" w:hAnsi="仿宋_GB2312" w:eastAsia="仿宋_GB2312" w:cs="仿宋_GB2312"/>
          <w:b w:val="0"/>
          <w:bCs w:val="0"/>
          <w:color w:val="000000"/>
          <w:kern w:val="0"/>
          <w:sz w:val="32"/>
          <w:szCs w:val="32"/>
          <w:lang w:val="en-US" w:eastAsia="zh-CN" w:bidi="ar"/>
        </w:rPr>
        <w:t>4.3.2</w:t>
      </w:r>
      <w:r>
        <w:rPr>
          <w:rFonts w:hint="eastAsia" w:ascii="仿宋_GB2312" w:hAnsi="仿宋_GB2312" w:eastAsia="仿宋_GB2312" w:cs="仿宋_GB2312"/>
          <w:b w:val="0"/>
          <w:bCs w:val="0"/>
          <w:color w:val="000000"/>
          <w:kern w:val="0"/>
          <w:sz w:val="32"/>
          <w:szCs w:val="32"/>
          <w:lang w:val="en-US" w:eastAsia="zh-CN" w:bidi="ar-SA"/>
        </w:rPr>
        <w:t>专项人群征询筛选</w:t>
      </w:r>
    </w:p>
    <w:p w14:paraId="76D611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val="0"/>
          <w:bCs w:val="0"/>
          <w:color w:val="000000"/>
          <w:kern w:val="0"/>
          <w:sz w:val="32"/>
          <w:szCs w:val="32"/>
          <w:lang w:val="en-US" w:eastAsia="zh-CN" w:bidi="ar"/>
        </w:rPr>
        <w:t>结合海南地域特点，对以下专项人群及特殊时期制定针对性征询要求，兼顾血液安全与献血资源保护：</w:t>
      </w:r>
    </w:p>
    <w:p w14:paraId="46183F6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Style w:val="12"/>
          <w:rFonts w:hint="eastAsia" w:ascii="仿宋_GB2312" w:hAnsi="仿宋_GB2312" w:eastAsia="仿宋_GB2312" w:cs="仿宋_GB2312"/>
          <w:b w:val="0"/>
          <w:bCs w:val="0"/>
          <w:color w:val="000000"/>
          <w:sz w:val="32"/>
          <w:szCs w:val="32"/>
        </w:rPr>
      </w:pPr>
      <w:r>
        <w:rPr>
          <w:rStyle w:val="12"/>
          <w:rFonts w:hint="eastAsia" w:ascii="仿宋_GB2312" w:hAnsi="仿宋_GB2312" w:eastAsia="仿宋_GB2312" w:cs="仿宋_GB2312"/>
          <w:b w:val="0"/>
          <w:bCs w:val="0"/>
          <w:color w:val="000000"/>
          <w:sz w:val="32"/>
          <w:szCs w:val="32"/>
          <w:lang w:val="en-US" w:eastAsia="zh-CN"/>
        </w:rPr>
        <w:t>4.3.2.1</w:t>
      </w:r>
      <w:r>
        <w:rPr>
          <w:rStyle w:val="12"/>
          <w:rFonts w:hint="eastAsia" w:ascii="仿宋_GB2312" w:hAnsi="仿宋_GB2312" w:eastAsia="仿宋_GB2312" w:cs="仿宋_GB2312"/>
          <w:b w:val="0"/>
          <w:bCs w:val="0"/>
          <w:color w:val="000000"/>
          <w:sz w:val="32"/>
          <w:szCs w:val="32"/>
        </w:rPr>
        <w:t>地中海贫血患者家属</w:t>
      </w:r>
    </w:p>
    <w:p w14:paraId="299E930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val="0"/>
          <w:bCs w:val="0"/>
          <w:color w:val="000000"/>
          <w:kern w:val="0"/>
          <w:sz w:val="32"/>
          <w:szCs w:val="32"/>
          <w:lang w:val="en-US" w:eastAsia="zh-CN" w:bidi="ar"/>
        </w:rPr>
        <w:t>海南省是我国地中海贫血（简称地贫）的高发区，据统计2020年全省地贫基因携带率高达21.37%，携带者接近200万人。依据《献血者健康检查》GB18467，对无症状或症状轻微的携带者难以识别，导致这类人群被误判为合格，影响血液疗效并增加受血者负担；另一方面，部分医务人员为规避风险，将所有地贫患者家属一概排除，使大量符合条件的健康人群无法献血。因目前没有统一筛选标准，对血液安全与供应保障构成了双重威胁。为此，项目组在广泛咨询专家和《地中海贫血携带者筛查及防控专家共识》等大量文献分析的基础上制定本标准。该标准通过严格的征询与多轮筛查，既能有效排除输血风险，又能保障临床用血的充足供应，实现了血液安全与供应保障的平衡。</w:t>
      </w:r>
    </w:p>
    <w:p w14:paraId="278E597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color w:val="auto"/>
          <w:sz w:val="32"/>
          <w:szCs w:val="32"/>
          <w:lang w:val="en-US" w:eastAsia="zh-CN"/>
        </w:rPr>
      </w:pPr>
      <w:bookmarkStart w:id="14" w:name="_Toc32379"/>
      <w:bookmarkStart w:id="15" w:name="_Toc21307"/>
      <w:r>
        <w:rPr>
          <w:rFonts w:hint="eastAsia" w:ascii="仿宋_GB2312" w:hAnsi="仿宋_GB2312" w:eastAsia="仿宋_GB2312" w:cs="仿宋_GB2312"/>
          <w:b w:val="0"/>
          <w:bCs w:val="0"/>
          <w:color w:val="000000"/>
          <w:kern w:val="0"/>
          <w:sz w:val="32"/>
          <w:szCs w:val="32"/>
          <w:lang w:val="en-US" w:eastAsia="zh-CN" w:bidi="ar"/>
        </w:rPr>
        <w:t>4.3.2.2境外人员</w:t>
      </w:r>
    </w:p>
    <w:p w14:paraId="7136012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640" w:firstLineChars="200"/>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4.3.2.2.1契合自贸港国际化发展需求，完善境外人员献血服务体系，提升公共卫生服务国际化水平。</w:t>
      </w:r>
    </w:p>
    <w:p w14:paraId="511A3A1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4.3.2.2.2全球传染病形势复杂，境外多地存在登革热、疟疾等经血传播传染病，需从献血源头防控输入性风险，符合《中华人民共和国传染病防治法》要求。 </w:t>
      </w:r>
    </w:p>
    <w:p w14:paraId="44F809E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4.3.2.2.3解决境外人员语言、登记习惯差异问题，保障献血征询与信息登记准确有效。</w:t>
      </w:r>
    </w:p>
    <w:p w14:paraId="42E1C4D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640" w:firstLineChars="200"/>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4.3.2.2.4是对现有献血管理规范的细化补充，与现行国标无冲突内容。</w:t>
      </w:r>
    </w:p>
    <w:p w14:paraId="6D97D43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640" w:firstLineChars="200"/>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4.3.2.2.5适用于海南省境内采供血机构境外人员无偿献血筛选工作，兼顾血液安全与国际献血服务，助力自贸港公共卫生建设。</w:t>
      </w:r>
    </w:p>
    <w:p w14:paraId="52FF053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000000"/>
          <w:kern w:val="0"/>
          <w:sz w:val="32"/>
          <w:szCs w:val="32"/>
          <w:lang w:val="en-US" w:eastAsia="zh-CN" w:bidi="ar"/>
        </w:rPr>
        <w:t>4.3.2.3</w:t>
      </w:r>
      <w:r>
        <w:rPr>
          <w:rFonts w:hint="eastAsia" w:ascii="仿宋_GB2312" w:hAnsi="仿宋_GB2312" w:eastAsia="仿宋_GB2312" w:cs="仿宋_GB2312"/>
          <w:color w:val="222222"/>
          <w:sz w:val="32"/>
          <w:szCs w:val="32"/>
        </w:rPr>
        <w:t>医美类</w:t>
      </w:r>
    </w:p>
    <w:p w14:paraId="17D032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rPr>
          <w:rFonts w:hint="eastAsia" w:ascii="仿宋_GB2312" w:hAnsi="仿宋_GB2312" w:eastAsia="仿宋_GB2312" w:cs="仿宋_GB2312"/>
          <w:color w:val="222222"/>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目前，国标对医美有创操作统一要求1年献血间隔，未区分操作机构资质和器械类型，医美操作人群基数大，统一长间隔导致大量正规操作的合格献血者流失，进一步加剧血液供应压力。同时，欠规范的医美机构坊器械重复使用、消毒不彻底，交叉感染经血传播疾病风险高，需严格防控。</w:t>
      </w:r>
    </w:p>
    <w:p w14:paraId="220BCA3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rPr>
          <w:rFonts w:hint="default" w:ascii="仿宋_GB2312" w:hAnsi="仿宋_GB2312" w:eastAsia="仿宋_GB2312" w:cs="仿宋_GB2312"/>
          <w:b w:val="0"/>
          <w:bCs w:val="0"/>
          <w:color w:val="222222"/>
          <w:sz w:val="32"/>
          <w:szCs w:val="32"/>
          <w:lang w:val="en-US"/>
        </w:rPr>
      </w:pPr>
      <w:r>
        <w:rPr>
          <w:rFonts w:hint="eastAsia" w:ascii="仿宋_GB2312" w:hAnsi="仿宋_GB2312" w:eastAsia="仿宋_GB2312" w:cs="仿宋_GB2312"/>
          <w:b w:val="0"/>
          <w:bCs w:val="0"/>
          <w:color w:val="000000"/>
          <w:kern w:val="0"/>
          <w:sz w:val="32"/>
          <w:szCs w:val="32"/>
          <w:lang w:val="en-US" w:eastAsia="zh-CN" w:bidi="ar"/>
        </w:rPr>
        <w:t>依据《医疗器械监督管理条例》第四十九条明确要求一次性医疗器械不得重复使用，正规医美机构持《医疗机构执业许可证》/ 诊所备案凭证，已普及一次性针具使用,WS/T 367-2012《医疗机构消毒技术规范》要求了正规医美机构的消毒清洁规范。传染病传播必须具备传染源、传染途径和易感人群三个条件，使用一次性针具杜绝了经血传播疾病风险。借鉴国际献血间隔管理逻辑一致——如美国部分地区血液中心规定，持牌机构使用无菌技术的纹身、穿耳操作，创口愈合后即可献血，实施差异化献血间隔。</w:t>
      </w:r>
    </w:p>
    <w:p w14:paraId="30D0613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4.3.2.4内窥镜检查类</w:t>
      </w:r>
    </w:p>
    <w:p w14:paraId="6487FA2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222222"/>
          <w:sz w:val="32"/>
          <w:szCs w:val="32"/>
        </w:rPr>
      </w:pPr>
      <w:r>
        <w:rPr>
          <w:rFonts w:hint="eastAsia" w:ascii="仿宋_GB2312" w:hAnsi="仿宋_GB2312" w:eastAsia="仿宋_GB2312" w:cs="仿宋_GB2312"/>
          <w:color w:val="222222"/>
          <w:kern w:val="0"/>
          <w:sz w:val="32"/>
          <w:szCs w:val="32"/>
          <w:lang w:val="en-US" w:eastAsia="zh-CN" w:bidi="ar"/>
        </w:rPr>
        <w:t>鉴于内窥镜检查已日益普及，献血征询中常遇到有此经历的潜在献血者。为确保血源招募的合理性，应避免因暂缓期规定“一刀切”而导致合格献血者流失，从而加剧血液供应紧张的局面。一般内窥镜常规体检属于无创性消化道/呼吸道检查，无手术创伤、无组织损伤，契合</w:t>
      </w:r>
      <w:r>
        <w:rPr>
          <w:rFonts w:hint="eastAsia" w:ascii="仿宋_GB2312" w:hAnsi="仿宋_GB2312" w:eastAsia="仿宋_GB2312" w:cs="仿宋_GB2312"/>
          <w:b w:val="0"/>
          <w:bCs w:val="0"/>
          <w:color w:val="000000"/>
          <w:kern w:val="0"/>
          <w:sz w:val="32"/>
          <w:szCs w:val="32"/>
          <w:lang w:val="en-US" w:eastAsia="zh-CN" w:bidi="ar"/>
        </w:rPr>
        <w:t>《献血者健康检查》GB 18467</w:t>
      </w:r>
      <w:r>
        <w:rPr>
          <w:rFonts w:hint="eastAsia" w:ascii="仿宋_GB2312" w:hAnsi="仿宋_GB2312" w:eastAsia="仿宋_GB2312" w:cs="仿宋_GB2312"/>
          <w:color w:val="222222"/>
          <w:kern w:val="0"/>
          <w:sz w:val="32"/>
          <w:szCs w:val="32"/>
          <w:lang w:val="en-US" w:eastAsia="zh-CN" w:bidi="ar"/>
        </w:rPr>
        <w:t>的通用操作间隔原则及临床献血筛选通用规范中，明确将口腔护理、小型无创检查等操作的献血暂缓期设定为3天，与上述小型操作风险等级一致，符合国家通用筛选逻辑，且3天时间可实现完全代谢清除检查相关药物的血液残留影响。</w:t>
      </w:r>
    </w:p>
    <w:p w14:paraId="366D3469">
      <w:pPr>
        <w:pStyle w:val="16"/>
        <w:numPr>
          <w:ilvl w:val="0"/>
          <w:numId w:val="0"/>
        </w:num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000000"/>
          <w:kern w:val="0"/>
          <w:sz w:val="32"/>
          <w:szCs w:val="32"/>
          <w:lang w:val="en-US" w:eastAsia="zh-CN" w:bidi="ar"/>
        </w:rPr>
        <w:t>4.3.2.5良性甲状腺疾病献血筛选技术要求</w:t>
      </w:r>
    </w:p>
    <w:p w14:paraId="48C94A2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222222"/>
          <w:kern w:val="0"/>
          <w:sz w:val="32"/>
          <w:szCs w:val="32"/>
          <w:lang w:val="en-US" w:eastAsia="zh-CN" w:bidi="ar"/>
        </w:rPr>
        <w:t>目前国标将甲状腺疾病整体列为不宜献血范畴，受限于早期诊疗技术，未对良恶性、病情状态分型，存在“一刀切” 排除问题。现代诊疗技术可实现良性甲状腺疾病临床治愈 / 病情稳定，甲功正常者身体状况满足献血要求，过度排除造成资源浪费。依据国内内分泌科、输血科权威专家共识和广东、浙江、四川等多地血液中心实操规范疾病类型和甲功指标精细化分型：甲功指标（TSH、T3、T4 等）正常的良性甲状腺疾病患者准予献血。对甲亢、甲减等疾病增设附加条件（甲亢病情稳定、甲减无贫血），保障献血者健康。剔除甲状腺癌等恶性病变，仅开放可治愈/可控的良性病变献血资格，贴合临床诊疗实际。</w:t>
      </w:r>
    </w:p>
    <w:p w14:paraId="6552F94F">
      <w:pPr>
        <w:pStyle w:val="16"/>
        <w:numPr>
          <w:ilvl w:val="0"/>
          <w:numId w:val="0"/>
        </w:num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000000"/>
          <w:kern w:val="0"/>
          <w:sz w:val="32"/>
          <w:szCs w:val="32"/>
          <w:lang w:val="en-US" w:eastAsia="zh-CN" w:bidi="ar"/>
        </w:rPr>
        <w:t>4.3.2.6</w:t>
      </w:r>
      <w:r>
        <w:rPr>
          <w:rFonts w:hint="eastAsia" w:ascii="仿宋_GB2312" w:hAnsi="仿宋_GB2312" w:eastAsia="仿宋_GB2312" w:cs="仿宋_GB2312"/>
          <w:color w:val="auto"/>
          <w:sz w:val="32"/>
          <w:szCs w:val="32"/>
          <w:lang w:val="en-US" w:eastAsia="zh-CN"/>
        </w:rPr>
        <w:t>慢性皮肤病类</w:t>
      </w:r>
    </w:p>
    <w:p w14:paraId="73CC75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default" w:ascii="仿宋_GB2312" w:hAnsi="仿宋_GB2312" w:eastAsia="仿宋_GB2312" w:cs="仿宋_GB2312"/>
          <w:color w:val="000000"/>
          <w:sz w:val="32"/>
          <w:szCs w:val="32"/>
          <w:lang w:val="en-US"/>
        </w:rPr>
      </w:pPr>
      <w:r>
        <w:rPr>
          <w:rFonts w:hint="eastAsia" w:ascii="仿宋_GB2312" w:hAnsi="仿宋_GB2312" w:eastAsia="仿宋_GB2312" w:cs="仿宋_GB2312"/>
          <w:b w:val="0"/>
          <w:bCs w:val="0"/>
          <w:color w:val="222222"/>
          <w:kern w:val="0"/>
          <w:sz w:val="32"/>
          <w:szCs w:val="32"/>
          <w:lang w:val="en-US" w:eastAsia="zh-CN" w:bidi="ar"/>
        </w:rPr>
        <w:t>目前国标仅对传染性皮肤病作笼统限制，未针对慢性非传染性皮肤病制定具体判定标准，绝大多数慢性皮肤病（如银屑病、湿疹、神经性皮炎等）无病原体经血传播的可能性，一概排除导致大量合格献血者流失。标准制定未突破国标核心防控原则仅对慢性皮肤病的筛选维度进行精细化拆解、具象化界定：明确传染性、皮肤破损、病情活动期为核心暂缓献血条件，同时明确银屑病静止期、湿疹痊愈期等无风险情况的献血资格，解决原国标“界定模糊、执行不一”的实操问题。</w:t>
      </w:r>
    </w:p>
    <w:p w14:paraId="56408325">
      <w:pPr>
        <w:pStyle w:val="16"/>
        <w:numPr>
          <w:ilvl w:val="0"/>
          <w:numId w:val="0"/>
        </w:num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000000"/>
          <w:kern w:val="0"/>
          <w:sz w:val="32"/>
          <w:szCs w:val="32"/>
          <w:lang w:val="en-US" w:eastAsia="zh-CN" w:bidi="ar"/>
        </w:rPr>
        <w:t>4.3.2.</w:t>
      </w:r>
      <w:r>
        <w:rPr>
          <w:rFonts w:hint="eastAsia" w:ascii="仿宋_GB2312" w:hAnsi="仿宋_GB2312" w:eastAsia="仿宋_GB2312" w:cs="仿宋_GB2312"/>
          <w:color w:val="auto"/>
          <w:sz w:val="32"/>
          <w:szCs w:val="32"/>
          <w:lang w:val="en-US" w:eastAsia="zh-CN"/>
        </w:rPr>
        <w:t>7特殊时期</w:t>
      </w:r>
    </w:p>
    <w:p w14:paraId="19D0B88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color w:val="000000"/>
          <w:sz w:val="32"/>
          <w:szCs w:val="32"/>
          <w:lang w:val="en-US" w:eastAsia="zh-CN"/>
        </w:rPr>
        <w:t>针对海南5-11月高温高湿、蚊虫密度达峰值的季节性特点，需制定适配本地规律的专项筛选规则，参照国家疾控中心《蚊媒传染病防控工作方案》，在蚊媒传染病高发期将其纳入常规健康征询。同时，鉴于全球疫情形势多变，需实时对接国家疾控中心及世卫组织动态，将新增风险地区与新发病种纳入筛查，重点排查旅居史、接触史及用药史，确保筛选标准的灵活性与前瞻性。</w:t>
      </w:r>
    </w:p>
    <w:p w14:paraId="0E138FD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4.4核查信息</w:t>
      </w:r>
    </w:p>
    <w:p w14:paraId="6B18813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该章节严格遵循《海南经济特区无偿献血条例》第四条和第八条的规定。</w:t>
      </w:r>
    </w:p>
    <w:p w14:paraId="52604F5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 xml:space="preserve"> 4.5健康检查</w:t>
      </w:r>
    </w:p>
    <w:p w14:paraId="609AAAD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健康检查项目按《献血者健康检查》GB 18467执行，包含一般体格检查、血压测量、体重等。健康检查中血压不合格淘汰率最高，依据《中国献血者人群献血前血压筛查策略调整的专家共识》，制定专项操作标准。</w:t>
      </w:r>
    </w:p>
    <w:p w14:paraId="6ED4875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4.6初筛检测</w:t>
      </w:r>
      <w:bookmarkEnd w:id="14"/>
      <w:bookmarkEnd w:id="15"/>
    </w:p>
    <w:p w14:paraId="61F70C1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lang w:val="en-US" w:eastAsia="zh-CN"/>
        </w:rPr>
        <w:t>针对海南乙</w:t>
      </w:r>
      <w:r>
        <w:rPr>
          <w:rFonts w:hint="eastAsia" w:ascii="仿宋_GB2312" w:hAnsi="仿宋_GB2312" w:eastAsia="仿宋_GB2312" w:cs="仿宋_GB2312"/>
          <w:b w:val="0"/>
          <w:bCs w:val="0"/>
          <w:color w:val="000000"/>
          <w:kern w:val="0"/>
          <w:sz w:val="32"/>
          <w:szCs w:val="32"/>
          <w:lang w:val="en-US" w:eastAsia="zh-CN" w:bidi="ar"/>
        </w:rPr>
        <w:t>肝病毒、梅毒不合格率较高的特点，为从源头减少血液报废，新增HBsAg、TP胶体金法联合检测及ALT干式化学法检测：一是适配本地流行病学特征，海南献血人群乙肝、梅毒及ALT指标不合格率显著高于全国平均水平，是血液报废的首要原因，新增初筛可提前筛除高风险人群，降低后续检测成本；二是实现防控关口前移，在国标基础初筛项目之上筑牢经血传播疾病防线，从源头杜绝不合格血液采集；三是通过统一全省检测方法与合格标准，推动初筛操作同质化，提升采供血质量管控水平。</w:t>
      </w:r>
    </w:p>
    <w:p w14:paraId="4ECCEBD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kern w:val="0"/>
          <w:sz w:val="32"/>
          <w:szCs w:val="32"/>
          <w:lang w:val="en-US" w:eastAsia="zh-CN" w:bidi="ar"/>
        </w:rPr>
        <w:t>地中海贫血患者家属，必须采用血红蛋白定量检测，替代硫酸铜定性检测，精准判定血红蛋白水平，排除地贫基因携带相关的血液指标异常者。</w:t>
      </w:r>
    </w:p>
    <w:p w14:paraId="3B0110A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宋体" w:hAnsi="宋体" w:eastAsia="宋体" w:cs="宋体"/>
          <w:sz w:val="32"/>
          <w:szCs w:val="32"/>
          <w:lang w:val="en-US" w:eastAsia="zh-CN"/>
        </w:rPr>
      </w:pPr>
      <w:r>
        <w:rPr>
          <w:rFonts w:hint="eastAsia" w:ascii="仿宋_GB2312" w:hAnsi="仿宋_GB2312" w:eastAsia="仿宋_GB2312" w:cs="仿宋_GB2312"/>
          <w:b w:val="0"/>
          <w:bCs w:val="0"/>
          <w:color w:val="000000"/>
          <w:sz w:val="32"/>
          <w:szCs w:val="32"/>
          <w:lang w:val="en-US" w:eastAsia="zh-CN"/>
        </w:rPr>
        <w:t>4.7综合评估</w:t>
      </w:r>
    </w:p>
    <w:p w14:paraId="611FC86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综合评估依据征询、核查、体检及初筛结果，出具合格、暂缓或永久不宜献血结论，并签字录入BMIS系统实现责任可追溯。合格者参照《献血量推算见全血献血量推算表》及《单采体外血容量限值范围（对应血小板采集量）》推荐相应献血量。</w:t>
      </w:r>
    </w:p>
    <w:p w14:paraId="265155E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val="0"/>
          <w:bCs w:val="0"/>
          <w:color w:val="000000"/>
          <w:kern w:val="0"/>
          <w:sz w:val="32"/>
          <w:szCs w:val="32"/>
          <w:lang w:val="en-US" w:eastAsia="zh-CN" w:bidi="ar"/>
        </w:rPr>
        <w:t>《献血量推算见全血献血量推算表》及《单采体外血容量限值范围（对应血小板采集量）》依据《献血相关血管迷走神经反应（DRVR）》制定，便于工作人员对献血者捐献血量的推荐指导，同时降低献血不良反应的发生。</w:t>
      </w:r>
    </w:p>
    <w:p w14:paraId="1504BB7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5.全流程质量控制</w:t>
      </w:r>
    </w:p>
    <w:p w14:paraId="472630E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（1）所有筛选操作由经培训考核合格的卫生技术人员完成，工作人员定期进行经血传播病原体感染排查，确保自身健康。</w:t>
      </w:r>
    </w:p>
    <w:p w14:paraId="3D58EF3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（2）献血场所需具备防御海南高温、台风、雷暴雨的安全措施，环境、设施符合 WS/T 401-2023、T/CSBT 013—2025 相关标准。</w:t>
      </w:r>
    </w:p>
    <w:p w14:paraId="4D13C31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（3）BMIS 系统全覆盖献血筛选全流程，与疾控部门建立信息互通机制，及时获取传染病确诊信息，自动更新献血者屏蔽/暂缓状态。</w:t>
      </w:r>
    </w:p>
    <w:p w14:paraId="11FE779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default"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（4）通过献血者满意度调查、不良反应发生率、投诉发生数、血液报废率（检测不合格除外）、非标量血液采集率等指标，持续验证筛选技术要求的可操作性与执行效果，动态优化调整。</w:t>
      </w:r>
    </w:p>
    <w:p w14:paraId="2DAACFA1">
      <w:pPr>
        <w:numPr>
          <w:ilvl w:val="0"/>
          <w:numId w:val="0"/>
        </w:numPr>
        <w:spacing w:line="560" w:lineRule="exact"/>
        <w:outlineLvl w:val="0"/>
        <w:rPr>
          <w:rFonts w:hint="eastAsia" w:ascii="黑体" w:hAnsi="黑体" w:eastAsia="黑体" w:cs="黑体"/>
          <w:sz w:val="32"/>
          <w:szCs w:val="32"/>
        </w:rPr>
      </w:pPr>
      <w:bookmarkStart w:id="16" w:name="_Toc5005"/>
      <w:r>
        <w:rPr>
          <w:rFonts w:hint="eastAsia" w:ascii="黑体" w:hAnsi="黑体" w:eastAsia="黑体" w:cs="黑体"/>
          <w:sz w:val="32"/>
          <w:szCs w:val="32"/>
          <w:lang w:val="en-US" w:eastAsia="zh-CN"/>
        </w:rPr>
        <w:t>七、</w:t>
      </w:r>
      <w:r>
        <w:rPr>
          <w:rFonts w:hint="eastAsia" w:ascii="黑体" w:hAnsi="黑体" w:eastAsia="黑体" w:cs="黑体"/>
          <w:sz w:val="32"/>
          <w:szCs w:val="32"/>
        </w:rPr>
        <w:t>标准中如果涉及专利，应有明确的知识产权说明</w:t>
      </w:r>
    </w:p>
    <w:p w14:paraId="6A3E379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宋体" w:hAnsi="宋体" w:eastAsia="宋体" w:cs="宋体"/>
          <w:sz w:val="32"/>
          <w:szCs w:val="32"/>
          <w:lang w:val="en-US" w:eastAsia="zh-CN"/>
        </w:rPr>
      </w:pPr>
      <w:r>
        <w:rPr>
          <w:rFonts w:hint="eastAsia" w:ascii="仿宋_GB2312" w:hAnsi="仿宋_GB2312" w:eastAsia="仿宋_GB2312" w:cs="仿宋_GB2312"/>
          <w:b w:val="0"/>
          <w:bCs w:val="0"/>
          <w:color w:val="000000"/>
          <w:kern w:val="0"/>
          <w:sz w:val="32"/>
          <w:szCs w:val="32"/>
          <w:lang w:val="en-US" w:eastAsia="zh-CN" w:bidi="ar"/>
        </w:rPr>
        <w:t>无。</w:t>
      </w:r>
      <w:bookmarkEnd w:id="16"/>
    </w:p>
    <w:p w14:paraId="6FE778FD">
      <w:pPr>
        <w:numPr>
          <w:ilvl w:val="0"/>
          <w:numId w:val="0"/>
        </w:numPr>
        <w:spacing w:line="560" w:lineRule="exact"/>
        <w:outlineLvl w:val="0"/>
        <w:rPr>
          <w:rFonts w:hint="eastAsia" w:ascii="黑体" w:hAnsi="黑体" w:eastAsia="黑体" w:cs="黑体"/>
          <w:sz w:val="32"/>
          <w:szCs w:val="32"/>
        </w:rPr>
      </w:pPr>
      <w:bookmarkStart w:id="17" w:name="_Toc14067"/>
      <w:r>
        <w:rPr>
          <w:rFonts w:hint="eastAsia" w:ascii="黑体" w:hAnsi="黑体" w:eastAsia="黑体" w:cs="黑体"/>
          <w:sz w:val="32"/>
          <w:szCs w:val="32"/>
          <w:lang w:val="en-US" w:eastAsia="zh-CN"/>
        </w:rPr>
        <w:t>八、</w:t>
      </w:r>
      <w:r>
        <w:rPr>
          <w:rFonts w:hint="eastAsia" w:ascii="黑体" w:hAnsi="黑体" w:eastAsia="黑体" w:cs="黑体"/>
          <w:sz w:val="32"/>
          <w:szCs w:val="32"/>
        </w:rPr>
        <w:t>标准公平性竞争审查</w:t>
      </w:r>
      <w:bookmarkEnd w:id="17"/>
    </w:p>
    <w:p w14:paraId="1E1979A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该标准按照《公平竞争审查条例》规定逐条进行审查，未含有限制或者变相限制市场准入和退出、限制或者变相限制商品要素自由流动、影响经营者生产经营成本、影响经营者生产经营行为等内容。已在起草阶段依法公开征求社会公众意见，有关方面未提出市场公平竞争影响的意见。我们认为，该标准不妨碍有关行业经营者依法平等进入市场或者公平参与市场竞争，符合《公平竞争审查条例》有关规定，可以出台。</w:t>
      </w:r>
    </w:p>
    <w:p w14:paraId="525C92F8">
      <w:pPr>
        <w:spacing w:line="600" w:lineRule="exact"/>
        <w:outlineLvl w:val="0"/>
        <w:rPr>
          <w:rFonts w:hint="eastAsia" w:ascii="黑体" w:hAnsi="黑体" w:eastAsia="黑体" w:cs="黑体"/>
          <w:sz w:val="32"/>
          <w:szCs w:val="32"/>
        </w:rPr>
      </w:pPr>
      <w:bookmarkStart w:id="18" w:name="_Toc24736"/>
      <w:r>
        <w:rPr>
          <w:rFonts w:hint="eastAsia" w:ascii="黑体" w:hAnsi="黑体" w:eastAsia="黑体" w:cs="黑体"/>
          <w:sz w:val="32"/>
          <w:szCs w:val="32"/>
          <w:lang w:val="en-US" w:eastAsia="zh-CN"/>
        </w:rPr>
        <w:t>九、</w:t>
      </w:r>
      <w:r>
        <w:rPr>
          <w:rFonts w:hint="eastAsia" w:ascii="黑体" w:hAnsi="黑体" w:eastAsia="黑体" w:cs="黑体"/>
          <w:sz w:val="32"/>
          <w:szCs w:val="32"/>
        </w:rPr>
        <w:t>采用国际标准或国外先进标准的，说明采标程度，以及国内外同类标准水平的对比情况。</w:t>
      </w:r>
      <w:bookmarkEnd w:id="18"/>
    </w:p>
    <w:p w14:paraId="447F20B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000000"/>
          <w:kern w:val="0"/>
          <w:sz w:val="32"/>
          <w:szCs w:val="32"/>
          <w:lang w:val="en-US" w:eastAsia="zh-CN" w:bidi="ar"/>
        </w:rPr>
        <w:t>无。</w:t>
      </w:r>
    </w:p>
    <w:p w14:paraId="5C17DB09">
      <w:pPr>
        <w:spacing w:line="600" w:lineRule="exact"/>
        <w:outlineLvl w:val="0"/>
        <w:rPr>
          <w:rFonts w:hint="eastAsia" w:ascii="黑体" w:hAnsi="黑体" w:eastAsia="黑体" w:cs="黑体"/>
          <w:sz w:val="32"/>
          <w:szCs w:val="32"/>
        </w:rPr>
      </w:pPr>
      <w:bookmarkStart w:id="19" w:name="_Toc9519"/>
      <w:r>
        <w:rPr>
          <w:rFonts w:hint="eastAsia" w:ascii="黑体" w:hAnsi="黑体" w:eastAsia="黑体" w:cs="黑体"/>
          <w:sz w:val="32"/>
          <w:szCs w:val="32"/>
          <w:lang w:val="en-US" w:eastAsia="zh-CN"/>
        </w:rPr>
        <w:t>十、</w:t>
      </w:r>
      <w:r>
        <w:rPr>
          <w:rFonts w:hint="eastAsia" w:ascii="黑体" w:hAnsi="黑体" w:eastAsia="黑体" w:cs="黑体"/>
          <w:sz w:val="32"/>
          <w:szCs w:val="32"/>
        </w:rPr>
        <w:t>重大分歧意见的处理依据和结果</w:t>
      </w:r>
      <w:bookmarkEnd w:id="19"/>
    </w:p>
    <w:p w14:paraId="1A3AC31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000000"/>
          <w:kern w:val="0"/>
          <w:sz w:val="32"/>
          <w:szCs w:val="32"/>
          <w:lang w:val="en-US" w:eastAsia="zh-CN" w:bidi="ar"/>
        </w:rPr>
        <w:t>无。</w:t>
      </w:r>
    </w:p>
    <w:p w14:paraId="5B5ADC29">
      <w:pPr>
        <w:spacing w:line="600" w:lineRule="exact"/>
        <w:outlineLvl w:val="0"/>
        <w:rPr>
          <w:rFonts w:hint="eastAsia" w:ascii="黑体" w:hAnsi="黑体" w:eastAsia="黑体" w:cs="黑体"/>
          <w:sz w:val="32"/>
          <w:szCs w:val="32"/>
        </w:rPr>
      </w:pPr>
      <w:bookmarkStart w:id="20" w:name="_Toc23340"/>
      <w:r>
        <w:rPr>
          <w:rFonts w:hint="eastAsia" w:ascii="黑体" w:hAnsi="黑体" w:eastAsia="黑体" w:cs="黑体"/>
          <w:sz w:val="32"/>
          <w:szCs w:val="32"/>
          <w:lang w:val="en-US" w:eastAsia="zh-CN"/>
        </w:rPr>
        <w:t>十一、</w:t>
      </w:r>
      <w:r>
        <w:rPr>
          <w:rFonts w:hint="eastAsia" w:ascii="黑体" w:hAnsi="黑体" w:eastAsia="黑体" w:cs="黑体"/>
          <w:sz w:val="32"/>
          <w:szCs w:val="32"/>
        </w:rPr>
        <w:t>实施标准的措施建议</w:t>
      </w:r>
      <w:bookmarkEnd w:id="20"/>
    </w:p>
    <w:p w14:paraId="47BD017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1.为确保海南省无偿献血者筛选技术规范的有效实施，海南省卫生健康委员会及其他相关政府部门应采取以下措施：</w:t>
      </w:r>
    </w:p>
    <w:p w14:paraId="38ECF8C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（1）政策支持：将标准纳入海南省卫生健康领域的重点工作，明确各级卫生行政部门的职责，确保标准在全省范围内得到贯彻落实。</w:t>
      </w:r>
    </w:p>
    <w:p w14:paraId="7610FB5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（2）宣传推广：通过媒体、官方网站、宣传手册等多种形式，向社会公众和医疗机构宣传标准的重要性和具体内容，提高社会认知度和参与度。</w:t>
      </w:r>
    </w:p>
    <w:p w14:paraId="04879EB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（3）海南省无偿献血者数据库和健康追踪系统的建设：建立无偿献血者电子档案，实时追踪屏蔽与延缓献血状态。</w:t>
      </w:r>
    </w:p>
    <w:p w14:paraId="61E07F1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2.培训计划（组织者，培训对象，培训方式，培训时间，培训频次）</w:t>
      </w:r>
    </w:p>
    <w:p w14:paraId="7C77659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为确保标准实施过程中相关人员能够准确理解和执行标准，制定以下培训计划：</w:t>
      </w:r>
    </w:p>
    <w:p w14:paraId="0B808D4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（1）组织者：由海南省卫生健康委员会牵头，血站所有医护人员、相关行业协会共同组织实施。</w:t>
      </w:r>
    </w:p>
    <w:p w14:paraId="5DB96EC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（2）培训对象：包括血站工作人员、卫生行政部门管理人员等。</w:t>
      </w:r>
    </w:p>
    <w:p w14:paraId="2DDCB8A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（3）培训方式：采用线上线下相结合的方式，包括集中授课、实操演练、案例分析、视频教学等。</w:t>
      </w:r>
    </w:p>
    <w:p w14:paraId="07A4435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（4）培训时间：标准发布后3个月内完成首轮全员培训，后续每年定期组织复训。</w:t>
      </w:r>
    </w:p>
    <w:p w14:paraId="43B76F2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（5）培训频次：每年至少组织1次全员培训，并根据实际需求增加专项培训。</w:t>
      </w:r>
    </w:p>
    <w:p w14:paraId="6F3077F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3.实施的技术指导措施</w:t>
      </w:r>
    </w:p>
    <w:p w14:paraId="3176690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为确保标准在实施过程中得到正确理解和应用，提供以下技术指导措施：</w:t>
      </w:r>
    </w:p>
    <w:p w14:paraId="26A779B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指导机构：由海南省卫生健康委员会和海南省血液中心及相关行业协会组成技术指导小组。</w:t>
      </w:r>
    </w:p>
    <w:p w14:paraId="01F57BB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指导方式：</w:t>
      </w:r>
    </w:p>
    <w:p w14:paraId="4196BB5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（1）现场巡查指导：每半年组织对海南省血液中心开展技术巡查，解决实验室检测遇到的难点问题，</w:t>
      </w:r>
    </w:p>
    <w:p w14:paraId="4E9EFA5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远程支持：建立标准实施技术咨询平台，通过电话、邮件、在线会议等方式提供实时技术支持。</w:t>
      </w:r>
    </w:p>
    <w:p w14:paraId="43F6A96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（2）技术手册：详细说明《献血者筛选技术规范》的具体要求和操作流程，供相关人员参考使用。</w:t>
      </w:r>
    </w:p>
    <w:p w14:paraId="68CCDCE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4.对实施情况的监督检查措施</w:t>
      </w:r>
    </w:p>
    <w:p w14:paraId="164394F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为确保标准实施效果，建立以下监督检查机制：</w:t>
      </w:r>
    </w:p>
    <w:p w14:paraId="39B7662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监督机构：由海南省卫生健康委员会、省血液中心及相关行业协会组成联合监督检查小组。</w:t>
      </w:r>
    </w:p>
    <w:p w14:paraId="4BD7DC5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监督方式：</w:t>
      </w:r>
    </w:p>
    <w:p w14:paraId="332D939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（1）定期检查：组织检查参与筛选的医护人员执业资质有效期、定期校准和检定设备并检查相关记录、检查流程与标准执行的一致性等。</w:t>
      </w:r>
    </w:p>
    <w:p w14:paraId="7684878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（2）随机抽查：不定期对筛选流程进行随机抽查，确保标准实施的持续性和有效性。</w:t>
      </w:r>
    </w:p>
    <w:p w14:paraId="554F7D2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（3）第三方评估：委托具有资质的第三方机构，对标准实施情况进行独立评估，提供客观、公正的评估报告。</w:t>
      </w:r>
    </w:p>
    <w:p w14:paraId="65808BB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（4）问题整改：对检查中发现的问题，要求限期整改，并对整改情况进行跟踪复查，确保问题得到彻底解决。</w:t>
      </w:r>
    </w:p>
    <w:p w14:paraId="0F7DE4A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（5）信息公开：将监督检查结果向社会公开，接受公众监督，增强标准实施的透明度和公信力。</w:t>
      </w:r>
    </w:p>
    <w:p w14:paraId="6BBA5C7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000000"/>
          <w:kern w:val="0"/>
          <w:sz w:val="32"/>
          <w:szCs w:val="32"/>
          <w:lang w:val="en-US" w:eastAsia="zh-CN" w:bidi="ar"/>
        </w:rPr>
        <w:t>通过以上措施，确保《献血者筛选技术规范》在全省范围内得到有效实施，进一步提升海南省献血服务的质量和水平，保障临床用血的安全和充足。</w:t>
      </w:r>
    </w:p>
    <w:p w14:paraId="677B4EF3">
      <w:pPr>
        <w:spacing w:line="600" w:lineRule="exact"/>
        <w:ind w:firstLine="640" w:firstLineChars="200"/>
        <w:outlineLvl w:val="0"/>
        <w:rPr>
          <w:rFonts w:hint="eastAsia" w:ascii="黑体" w:hAnsi="黑体" w:eastAsia="黑体" w:cs="黑体"/>
          <w:sz w:val="32"/>
          <w:szCs w:val="32"/>
        </w:rPr>
      </w:pPr>
      <w:bookmarkStart w:id="21" w:name="_Toc5353"/>
      <w:r>
        <w:rPr>
          <w:rFonts w:hint="eastAsia" w:ascii="黑体" w:hAnsi="黑体" w:eastAsia="黑体" w:cs="黑体"/>
          <w:sz w:val="32"/>
          <w:szCs w:val="32"/>
        </w:rPr>
        <w:t>十</w:t>
      </w:r>
      <w:r>
        <w:rPr>
          <w:rFonts w:hint="eastAsia" w:ascii="黑体" w:hAnsi="黑体" w:eastAsia="黑体" w:cs="黑体"/>
          <w:sz w:val="32"/>
          <w:szCs w:val="32"/>
          <w:lang w:val="en-US" w:eastAsia="zh-CN"/>
        </w:rPr>
        <w:t>二、</w:t>
      </w:r>
      <w:r>
        <w:rPr>
          <w:rFonts w:hint="eastAsia" w:ascii="黑体" w:hAnsi="黑体" w:eastAsia="黑体" w:cs="黑体"/>
          <w:sz w:val="32"/>
          <w:szCs w:val="32"/>
        </w:rPr>
        <w:t>预期效果</w:t>
      </w:r>
      <w:bookmarkEnd w:id="21"/>
    </w:p>
    <w:p w14:paraId="00909FD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本规范实施的预期核心效果是统一筛查标准、筑牢血液安全双屏障，并提升采供血体系效能。具体体现在：</w:t>
      </w:r>
    </w:p>
    <w:p w14:paraId="474FB8B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安全与质量：通过消除操作差异，从源头降低输血风险与血液报废率，保障献血者与用血者双方健康。</w:t>
      </w:r>
    </w:p>
    <w:p w14:paraId="586F241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效率与管理：优化对暂缓与永久不宜献血者的分类管理流程，加强献血者挑选的省内标准统一性，避免简单排除献血者，造成不必要的献血者流失，稳定献血者队伍。</w:t>
      </w:r>
    </w:p>
    <w:p w14:paraId="3AC9891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信任与延伸：以公开透明的操作增强社会信任，并通过健康征询履行早期健康提示的公共卫生职能。</w:t>
      </w:r>
    </w:p>
    <w:p w14:paraId="609BEF7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000000"/>
          <w:kern w:val="0"/>
          <w:sz w:val="32"/>
          <w:szCs w:val="32"/>
          <w:lang w:val="en-US" w:eastAsia="zh-CN" w:bidi="ar"/>
        </w:rPr>
        <w:t>区域适配：为应对海南人口流动大、热带传染病风险等区域特点，构建更具韧性的血液安全保障体系提供技术支撑。</w:t>
      </w:r>
    </w:p>
    <w:p w14:paraId="593DD0F0">
      <w:pPr>
        <w:spacing w:line="600" w:lineRule="exact"/>
        <w:ind w:firstLine="640" w:firstLineChars="200"/>
        <w:outlineLvl w:val="0"/>
        <w:rPr>
          <w:rFonts w:hint="eastAsia" w:ascii="黑体" w:hAnsi="黑体" w:eastAsia="黑体" w:cs="黑体"/>
          <w:sz w:val="32"/>
          <w:szCs w:val="32"/>
        </w:rPr>
      </w:pPr>
      <w:bookmarkStart w:id="22" w:name="_Toc24715"/>
      <w:r>
        <w:rPr>
          <w:rFonts w:hint="eastAsia" w:ascii="黑体" w:hAnsi="黑体" w:eastAsia="黑体" w:cs="黑体"/>
          <w:sz w:val="32"/>
          <w:szCs w:val="32"/>
        </w:rPr>
        <w:t>十</w:t>
      </w:r>
      <w:r>
        <w:rPr>
          <w:rFonts w:hint="eastAsia" w:ascii="黑体" w:hAnsi="黑体" w:eastAsia="黑体" w:cs="黑体"/>
          <w:sz w:val="32"/>
          <w:szCs w:val="32"/>
          <w:lang w:val="en-US" w:eastAsia="zh-CN"/>
        </w:rPr>
        <w:t>三、</w:t>
      </w:r>
      <w:r>
        <w:rPr>
          <w:rFonts w:hint="eastAsia" w:ascii="黑体" w:hAnsi="黑体" w:eastAsia="黑体" w:cs="黑体"/>
          <w:sz w:val="32"/>
          <w:szCs w:val="32"/>
        </w:rPr>
        <w:t>其他应予说明的事项</w:t>
      </w:r>
      <w:bookmarkEnd w:id="22"/>
    </w:p>
    <w:p w14:paraId="33856FF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w:t>
      </w:r>
    </w:p>
    <w:p w14:paraId="2124217B">
      <w:pPr>
        <w:spacing w:line="560" w:lineRule="exact"/>
        <w:ind w:firstLine="640" w:firstLineChars="200"/>
        <w:jc w:val="center"/>
        <w:rPr>
          <w:rFonts w:hint="eastAsia" w:ascii="黑体" w:hAnsi="黑体" w:eastAsia="黑体" w:cs="仿宋_GB2312"/>
          <w:sz w:val="32"/>
          <w:szCs w:val="32"/>
        </w:rPr>
      </w:pPr>
      <w:r>
        <w:rPr>
          <w:rFonts w:hint="eastAsia" w:ascii="黑体" w:hAnsi="黑体" w:eastAsia="黑体" w:cs="仿宋_GB2312"/>
          <w:sz w:val="32"/>
          <w:szCs w:val="32"/>
        </w:rPr>
        <w:t>参考文献</w:t>
      </w:r>
    </w:p>
    <w:p w14:paraId="0225369E">
      <w:pPr>
        <w:rPr>
          <w:rFonts w:hint="eastAsia" w:ascii="宋体" w:hAnsi="宋体" w:cs="宋体"/>
          <w:color w:val="000000"/>
          <w:sz w:val="28"/>
          <w:szCs w:val="28"/>
          <w:shd w:val="clear" w:color="auto" w:fill="FFFFFF"/>
        </w:rPr>
      </w:pPr>
      <w:r>
        <w:rPr>
          <w:rFonts w:hint="eastAsia" w:ascii="宋体" w:hAnsi="宋体" w:cs="宋体"/>
          <w:color w:val="000000"/>
          <w:sz w:val="28"/>
          <w:szCs w:val="28"/>
          <w:shd w:val="clear" w:color="auto" w:fill="FFFFFF"/>
        </w:rPr>
        <w:t>1.世界卫生组织（WHO）《献血者选择：献血适宜性评估指南》2012；</w:t>
      </w:r>
    </w:p>
    <w:p w14:paraId="68ACF116">
      <w:pPr>
        <w:rPr>
          <w:rFonts w:hint="eastAsia" w:ascii="宋体" w:hAnsi="宋体" w:cs="宋体"/>
          <w:color w:val="000000"/>
          <w:sz w:val="28"/>
          <w:szCs w:val="28"/>
          <w:shd w:val="clear" w:color="auto" w:fill="FFFFFF"/>
        </w:rPr>
      </w:pPr>
      <w:r>
        <w:rPr>
          <w:rFonts w:hint="eastAsia" w:ascii="宋体" w:hAnsi="宋体" w:cs="宋体"/>
          <w:color w:val="000000"/>
          <w:sz w:val="28"/>
          <w:szCs w:val="28"/>
          <w:shd w:val="clear" w:color="auto" w:fill="FFFFFF"/>
        </w:rPr>
        <w:t>2.杜海伟 揭秘甲状腺结节 家庭科学，2026（03）</w:t>
      </w:r>
    </w:p>
    <w:p w14:paraId="4DA9C0D8">
      <w:pPr>
        <w:rPr>
          <w:rFonts w:hint="eastAsia" w:ascii="宋体" w:hAnsi="宋体" w:cs="宋体"/>
          <w:color w:val="000000"/>
          <w:kern w:val="2"/>
          <w:sz w:val="28"/>
          <w:szCs w:val="28"/>
          <w:shd w:val="clear" w:color="auto" w:fill="FFFFFF"/>
        </w:rPr>
      </w:pPr>
      <w:r>
        <w:rPr>
          <w:rFonts w:hint="eastAsia" w:ascii="宋体" w:hAnsi="宋体" w:cs="宋体"/>
          <w:color w:val="000000"/>
          <w:sz w:val="28"/>
          <w:szCs w:val="28"/>
          <w:shd w:val="clear" w:color="auto" w:fill="FFFFFF"/>
        </w:rPr>
        <w:t xml:space="preserve">3.齐明宇 刘权祥 </w:t>
      </w:r>
      <w:r>
        <w:rPr>
          <w:rFonts w:hint="eastAsia" w:ascii="宋体" w:hAnsi="宋体" w:cs="宋体"/>
          <w:color w:val="000000"/>
          <w:kern w:val="2"/>
          <w:sz w:val="28"/>
          <w:szCs w:val="28"/>
          <w:shd w:val="clear" w:color="auto" w:fill="FFFFFF"/>
        </w:rPr>
        <w:t>碘131和抗甲状腺药物治疗甲亢的效果、复发率及并发症分析 全科口腔医学电子杂志 2024（06）</w:t>
      </w:r>
    </w:p>
    <w:p w14:paraId="045805E0">
      <w:pPr>
        <w:rPr>
          <w:rFonts w:hint="eastAsia" w:ascii="宋体" w:hAnsi="宋体" w:cs="宋体"/>
          <w:color w:val="000000"/>
          <w:kern w:val="2"/>
          <w:sz w:val="28"/>
          <w:szCs w:val="28"/>
          <w:shd w:val="clear" w:color="auto" w:fill="FFFFFF"/>
        </w:rPr>
      </w:pPr>
      <w:r>
        <w:rPr>
          <w:rFonts w:hint="eastAsia" w:ascii="宋体" w:hAnsi="宋体" w:cs="宋体"/>
          <w:color w:val="000000"/>
          <w:kern w:val="2"/>
          <w:sz w:val="28"/>
          <w:szCs w:val="28"/>
          <w:shd w:val="clear" w:color="auto" w:fill="FFFFFF"/>
        </w:rPr>
        <w:t>4.</w:t>
      </w:r>
      <w:r>
        <w:rPr>
          <w:rFonts w:hint="eastAsia" w:ascii="宋体" w:hAnsi="宋体" w:cs="宋体"/>
          <w:color w:val="000000"/>
          <w:spacing w:val="-6"/>
          <w:kern w:val="2"/>
          <w:sz w:val="28"/>
          <w:szCs w:val="28"/>
          <w:shd w:val="clear" w:color="auto" w:fill="FFFFFF"/>
        </w:rPr>
        <w:t>GB 18467-2011献血者健康检查要求,国家标准</w:t>
      </w:r>
      <w:r>
        <w:rPr>
          <w:rFonts w:hint="eastAsia" w:ascii="宋体" w:hAnsi="宋体" w:cs="宋体"/>
          <w:color w:val="000000"/>
          <w:spacing w:val="-6"/>
          <w:kern w:val="2"/>
          <w:sz w:val="28"/>
          <w:szCs w:val="28"/>
          <w:shd w:val="clear" w:color="auto" w:fill="FFFFFF"/>
          <w:lang w:val="en-US" w:eastAsia="zh-CN"/>
        </w:rPr>
        <w:t>化</w:t>
      </w:r>
      <w:r>
        <w:rPr>
          <w:rFonts w:hint="eastAsia" w:ascii="宋体" w:hAnsi="宋体" w:cs="宋体"/>
          <w:color w:val="000000"/>
          <w:spacing w:val="-6"/>
          <w:kern w:val="2"/>
          <w:sz w:val="28"/>
          <w:szCs w:val="28"/>
          <w:shd w:val="clear" w:color="auto" w:fill="FFFFFF"/>
        </w:rPr>
        <w:t>管理委员会卫生部</w:t>
      </w:r>
    </w:p>
    <w:p w14:paraId="3FE608F7">
      <w:pPr>
        <w:widowControl/>
        <w:jc w:val="left"/>
        <w:rPr>
          <w:rFonts w:hint="eastAsia" w:ascii="宋体" w:hAnsi="宋体" w:cs="宋体"/>
          <w:sz w:val="28"/>
          <w:szCs w:val="28"/>
        </w:rPr>
      </w:pPr>
      <w:r>
        <w:rPr>
          <w:rFonts w:hint="eastAsia" w:ascii="宋体" w:hAnsi="宋体" w:cs="宋体"/>
          <w:sz w:val="28"/>
          <w:szCs w:val="28"/>
        </w:rPr>
        <w:t>5.陶方超.中国海南省地中海贫血的分子流行病学调查[D].广州：南方医科大学，2024.</w:t>
      </w:r>
      <w:bookmarkStart w:id="23" w:name="_GoBack"/>
      <w:bookmarkEnd w:id="23"/>
    </w:p>
    <w:p w14:paraId="76F2B41C">
      <w:pPr>
        <w:widowControl/>
        <w:jc w:val="left"/>
        <w:rPr>
          <w:rFonts w:hint="eastAsia" w:ascii="宋体" w:hAnsi="宋体" w:cs="宋体"/>
          <w:sz w:val="28"/>
          <w:szCs w:val="28"/>
        </w:rPr>
      </w:pPr>
      <w:r>
        <w:rPr>
          <w:rFonts w:hint="eastAsia" w:ascii="宋体" w:hAnsi="宋体" w:cs="宋体"/>
          <w:sz w:val="28"/>
          <w:szCs w:val="28"/>
        </w:rPr>
        <w:t>6.窦倩如,曹霞,黄翠敏,等.海南省孕前及孕期地中海贫血筛查方案评价及优化研究[J].中国热带医学,2023,（23）10：1088-1093.</w:t>
      </w:r>
    </w:p>
    <w:p w14:paraId="57F481D8">
      <w:pPr>
        <w:widowControl/>
        <w:jc w:val="left"/>
        <w:rPr>
          <w:rFonts w:hint="eastAsia" w:ascii="宋体" w:hAnsi="宋体" w:cs="宋体"/>
          <w:sz w:val="28"/>
          <w:szCs w:val="28"/>
        </w:rPr>
      </w:pPr>
      <w:r>
        <w:rPr>
          <w:rFonts w:hint="eastAsia" w:ascii="宋体" w:hAnsi="宋体" w:cs="宋体"/>
          <w:sz w:val="28"/>
          <w:szCs w:val="28"/>
        </w:rPr>
        <w:t>7.陈亦明,杨图深,王长金,等.应用红细胞平均体积筛查无偿献血者携带地</w:t>
      </w:r>
      <w:r>
        <w:rPr>
          <w:rFonts w:hint="eastAsia" w:ascii="宋体" w:hAnsi="宋体" w:cs="宋体"/>
          <w:color w:val="000000"/>
          <w:sz w:val="28"/>
          <w:szCs w:val="28"/>
        </w:rPr>
        <w:t>贫基因的价值[J].</w:t>
      </w:r>
      <w:r>
        <w:rPr>
          <w:rFonts w:hint="eastAsia" w:ascii="宋体" w:hAnsi="宋体" w:cs="宋体"/>
          <w:sz w:val="28"/>
          <w:szCs w:val="28"/>
        </w:rPr>
        <w:t>现代医院,2012,(12)2：60-61.</w:t>
      </w:r>
    </w:p>
    <w:p w14:paraId="5A26160E">
      <w:pPr>
        <w:widowControl/>
        <w:jc w:val="left"/>
        <w:rPr>
          <w:rFonts w:hint="eastAsia" w:ascii="宋体" w:hAnsi="宋体" w:cs="宋体"/>
          <w:sz w:val="28"/>
          <w:szCs w:val="28"/>
        </w:rPr>
      </w:pPr>
      <w:r>
        <w:rPr>
          <w:rFonts w:hint="eastAsia" w:ascii="宋体" w:hAnsi="宋体" w:cs="宋体"/>
          <w:sz w:val="28"/>
          <w:szCs w:val="28"/>
        </w:rPr>
        <w:t>8.桑国鑫,易薇,杨必清,等.云南省德宏地区成人地中海贫血筛查中MCV和MCH截断值分析[J].检验医学,2021,36(12):1206-1209.</w:t>
      </w:r>
    </w:p>
    <w:p w14:paraId="02290815">
      <w:pPr>
        <w:widowControl/>
        <w:jc w:val="left"/>
        <w:rPr>
          <w:rFonts w:hint="eastAsia" w:ascii="宋体" w:hAnsi="宋体" w:cs="宋体"/>
          <w:sz w:val="28"/>
          <w:szCs w:val="28"/>
        </w:rPr>
      </w:pPr>
      <w:r>
        <w:rPr>
          <w:rFonts w:hint="eastAsia" w:ascii="宋体" w:hAnsi="宋体" w:cs="宋体"/>
          <w:sz w:val="28"/>
          <w:szCs w:val="28"/>
        </w:rPr>
        <w:t>9.蒋函,张益多,岳新爱,等.血常规红细胞指标在贫血鉴别诊断中的应用价值体会[J].中国全科医学,2021,24(S1):131-133.</w:t>
      </w:r>
    </w:p>
    <w:p w14:paraId="7B27BDCE">
      <w:pPr>
        <w:widowControl/>
        <w:jc w:val="left"/>
        <w:rPr>
          <w:rFonts w:hint="eastAsia" w:ascii="宋体" w:hAnsi="宋体" w:cs="宋体"/>
          <w:sz w:val="28"/>
          <w:szCs w:val="28"/>
        </w:rPr>
      </w:pPr>
      <w:r>
        <w:rPr>
          <w:rFonts w:hint="eastAsia" w:ascii="宋体" w:hAnsi="宋体" w:cs="宋体"/>
          <w:sz w:val="28"/>
          <w:szCs w:val="28"/>
        </w:rPr>
        <w:t>10.曹佳淋,崔琼,王健,等.血常规联合血红蛋白电泳检测与地中海贫血基因分型的关联及诊断价值[J].实用医技杂志,2021,28(2):141-143.</w:t>
      </w:r>
    </w:p>
    <w:p w14:paraId="3EA9802C">
      <w:pPr>
        <w:widowControl/>
        <w:rPr>
          <w:rFonts w:hint="eastAsia" w:ascii="宋体" w:hAnsi="宋体" w:cs="宋体"/>
          <w:sz w:val="28"/>
          <w:szCs w:val="28"/>
        </w:rPr>
      </w:pPr>
      <w:r>
        <w:rPr>
          <w:rFonts w:hint="eastAsia" w:ascii="宋体" w:hAnsi="宋体" w:cs="宋体"/>
          <w:sz w:val="28"/>
          <w:szCs w:val="28"/>
        </w:rPr>
        <w:t>11.陈雅斌,蒋燕成,陈紫萱,等.HbA2筛查地中海贫血诊断界值的建立及其与MCV、MCH联合筛查的价值[J].检验医学,2019, 34(4):318-321.</w:t>
      </w:r>
    </w:p>
    <w:p w14:paraId="07A6FDF7">
      <w:pPr>
        <w:widowControl/>
        <w:rPr>
          <w:rFonts w:hint="eastAsia" w:ascii="宋体" w:hAnsi="宋体" w:cs="宋体"/>
          <w:sz w:val="28"/>
          <w:szCs w:val="28"/>
        </w:rPr>
      </w:pPr>
      <w:r>
        <w:rPr>
          <w:rFonts w:hint="eastAsia" w:ascii="宋体" w:hAnsi="宋体" w:cs="宋体"/>
          <w:sz w:val="28"/>
          <w:szCs w:val="28"/>
        </w:rPr>
        <w:t>12.《地中海贫血携带者筛查及防控专家共识》制订组.地中海贫血携带者筛查及防控专家共识[J]国际神经病学神经外科学杂志,2024,51(5):43-50</w:t>
      </w:r>
    </w:p>
    <w:p w14:paraId="2C69A860">
      <w:pPr>
        <w:widowControl/>
        <w:rPr>
          <w:rFonts w:hint="eastAsia" w:ascii="宋体" w:hAnsi="宋体" w:cs="宋体"/>
          <w:sz w:val="28"/>
          <w:szCs w:val="28"/>
        </w:rPr>
      </w:pPr>
      <w:r>
        <w:rPr>
          <w:rFonts w:hint="eastAsia" w:ascii="宋体" w:hAnsi="宋体" w:cs="宋体"/>
          <w:sz w:val="28"/>
          <w:szCs w:val="28"/>
        </w:rPr>
        <w:t>13.刘勇,林晓英,黄燕,等.MCV、MCH、RBC脆性和HbA2在广东地区α-地中海贫血筛查中的价值[J].中国实验血液学杂志,2020,28(5):1679-1682.</w:t>
      </w:r>
    </w:p>
    <w:p w14:paraId="6C6D34D4">
      <w:pPr>
        <w:widowControl/>
        <w:jc w:val="left"/>
        <w:rPr>
          <w:rFonts w:hint="eastAsia" w:ascii="宋体" w:hAnsi="宋体" w:cs="宋体"/>
          <w:sz w:val="28"/>
          <w:szCs w:val="28"/>
        </w:rPr>
      </w:pPr>
      <w:r>
        <w:rPr>
          <w:rFonts w:hint="eastAsia" w:ascii="宋体" w:hAnsi="宋体" w:cs="宋体"/>
          <w:sz w:val="28"/>
          <w:szCs w:val="28"/>
        </w:rPr>
        <w:t>14.任俊香.地中海贫血疾病筛查方案的Meta分析[D].昆明:昆明理工大学,2016.</w:t>
      </w:r>
    </w:p>
    <w:p w14:paraId="34908D92">
      <w:pPr>
        <w:widowControl/>
        <w:jc w:val="left"/>
        <w:rPr>
          <w:rFonts w:hint="eastAsia" w:ascii="宋体" w:hAnsi="宋体" w:cs="宋体"/>
          <w:sz w:val="28"/>
          <w:szCs w:val="28"/>
        </w:rPr>
      </w:pPr>
      <w:r>
        <w:rPr>
          <w:rFonts w:hint="eastAsia" w:ascii="宋体" w:hAnsi="宋体" w:cs="宋体"/>
          <w:sz w:val="28"/>
          <w:szCs w:val="28"/>
        </w:rPr>
        <w:t>15.何思华.《红细胞渗透脆性（散射比浊法）参考区间的建立及临床应用研究》[D].广州：南方医科大学，2022.</w:t>
      </w:r>
    </w:p>
    <w:p w14:paraId="2423A05B">
      <w:pPr>
        <w:rPr>
          <w:rFonts w:hint="eastAsia"/>
          <w:b w:val="0"/>
          <w:bCs w:val="0"/>
          <w:sz w:val="28"/>
          <w:szCs w:val="28"/>
          <w:lang w:eastAsia="zh-CN"/>
        </w:rPr>
      </w:pPr>
      <w:r>
        <w:rPr>
          <w:rFonts w:hint="eastAsia" w:ascii="宋体" w:hAnsi="宋体" w:eastAsia="宋体" w:cs="宋体"/>
          <w:sz w:val="28"/>
          <w:szCs w:val="28"/>
          <w:lang w:val="en-US" w:eastAsia="zh-CN"/>
        </w:rPr>
        <w:t>16.</w:t>
      </w:r>
      <w:r>
        <w:rPr>
          <w:rFonts w:hint="default" w:ascii="宋体" w:hAnsi="宋体" w:eastAsia="宋体" w:cs="宋体"/>
          <w:b w:val="0"/>
          <w:bCs w:val="0"/>
          <w:i w:val="0"/>
          <w:iCs w:val="0"/>
          <w:caps w:val="0"/>
          <w:color w:val="333333"/>
          <w:spacing w:val="0"/>
          <w:sz w:val="28"/>
          <w:szCs w:val="28"/>
          <w:shd w:val="clear" w:fill="FFFFFF"/>
        </w:rPr>
        <w:fldChar w:fldCharType="begin"/>
      </w:r>
      <w:r>
        <w:rPr>
          <w:rFonts w:hint="default" w:ascii="宋体" w:hAnsi="宋体" w:eastAsia="宋体" w:cs="宋体"/>
          <w:b w:val="0"/>
          <w:bCs w:val="0"/>
          <w:i w:val="0"/>
          <w:iCs w:val="0"/>
          <w:caps w:val="0"/>
          <w:color w:val="333333"/>
          <w:spacing w:val="0"/>
          <w:sz w:val="28"/>
          <w:szCs w:val="28"/>
          <w:shd w:val="clear" w:fill="FFFFFF"/>
        </w:rPr>
        <w:instrText xml:space="preserve"> HYPERLINK "javascript:void(0);" </w:instrText>
      </w:r>
      <w:r>
        <w:rPr>
          <w:rFonts w:hint="default" w:ascii="宋体" w:hAnsi="宋体" w:eastAsia="宋体" w:cs="宋体"/>
          <w:b w:val="0"/>
          <w:bCs w:val="0"/>
          <w:i w:val="0"/>
          <w:iCs w:val="0"/>
          <w:caps w:val="0"/>
          <w:color w:val="333333"/>
          <w:spacing w:val="0"/>
          <w:sz w:val="28"/>
          <w:szCs w:val="28"/>
          <w:shd w:val="clear" w:fill="FFFFFF"/>
        </w:rPr>
        <w:fldChar w:fldCharType="separate"/>
      </w:r>
      <w:r>
        <w:rPr>
          <w:rFonts w:hint="default" w:ascii="宋体" w:hAnsi="宋体" w:eastAsia="宋体" w:cs="宋体"/>
          <w:b w:val="0"/>
          <w:bCs w:val="0"/>
          <w:i w:val="0"/>
          <w:iCs w:val="0"/>
          <w:caps w:val="0"/>
          <w:color w:val="333333"/>
          <w:spacing w:val="0"/>
          <w:sz w:val="28"/>
          <w:szCs w:val="28"/>
          <w:shd w:val="clear" w:fill="FFFFFF"/>
        </w:rPr>
        <w:t>张丽</w:t>
      </w:r>
      <w:r>
        <w:rPr>
          <w:rFonts w:hint="default" w:ascii="宋体" w:hAnsi="宋体" w:eastAsia="宋体" w:cs="宋体"/>
          <w:b w:val="0"/>
          <w:bCs w:val="0"/>
          <w:i w:val="0"/>
          <w:iCs w:val="0"/>
          <w:caps w:val="0"/>
          <w:color w:val="333333"/>
          <w:spacing w:val="0"/>
          <w:sz w:val="28"/>
          <w:szCs w:val="28"/>
          <w:shd w:val="clear" w:fill="FFFFFF"/>
        </w:rPr>
        <w:fldChar w:fldCharType="end"/>
      </w:r>
      <w:r>
        <w:rPr>
          <w:rFonts w:hint="default" w:ascii="宋体" w:hAnsi="宋体" w:eastAsia="宋体" w:cs="宋体"/>
          <w:b w:val="0"/>
          <w:bCs w:val="0"/>
          <w:i w:val="0"/>
          <w:iCs w:val="0"/>
          <w:caps w:val="0"/>
          <w:color w:val="333333"/>
          <w:spacing w:val="0"/>
          <w:sz w:val="28"/>
          <w:szCs w:val="28"/>
          <w:shd w:val="clear" w:fill="FFFFFF"/>
        </w:rPr>
        <w:t>,</w:t>
      </w:r>
      <w:r>
        <w:rPr>
          <w:rFonts w:hint="default" w:ascii="宋体" w:hAnsi="宋体" w:eastAsia="宋体" w:cs="宋体"/>
          <w:b w:val="0"/>
          <w:bCs w:val="0"/>
          <w:i w:val="0"/>
          <w:iCs w:val="0"/>
          <w:caps w:val="0"/>
          <w:color w:val="333333"/>
          <w:spacing w:val="0"/>
          <w:sz w:val="28"/>
          <w:szCs w:val="28"/>
          <w:shd w:val="clear" w:fill="FFFFFF"/>
        </w:rPr>
        <w:fldChar w:fldCharType="begin"/>
      </w:r>
      <w:r>
        <w:rPr>
          <w:rFonts w:hint="default" w:ascii="宋体" w:hAnsi="宋体" w:eastAsia="宋体" w:cs="宋体"/>
          <w:b w:val="0"/>
          <w:bCs w:val="0"/>
          <w:i w:val="0"/>
          <w:iCs w:val="0"/>
          <w:caps w:val="0"/>
          <w:color w:val="333333"/>
          <w:spacing w:val="0"/>
          <w:sz w:val="28"/>
          <w:szCs w:val="28"/>
          <w:shd w:val="clear" w:fill="FFFFFF"/>
        </w:rPr>
        <w:instrText xml:space="preserve"> HYPERLINK "javascript:void(0);" </w:instrText>
      </w:r>
      <w:r>
        <w:rPr>
          <w:rFonts w:hint="default" w:ascii="宋体" w:hAnsi="宋体" w:eastAsia="宋体" w:cs="宋体"/>
          <w:b w:val="0"/>
          <w:bCs w:val="0"/>
          <w:i w:val="0"/>
          <w:iCs w:val="0"/>
          <w:caps w:val="0"/>
          <w:color w:val="333333"/>
          <w:spacing w:val="0"/>
          <w:sz w:val="28"/>
          <w:szCs w:val="28"/>
          <w:shd w:val="clear" w:fill="FFFFFF"/>
        </w:rPr>
        <w:fldChar w:fldCharType="separate"/>
      </w:r>
      <w:r>
        <w:rPr>
          <w:rFonts w:hint="default" w:ascii="宋体" w:hAnsi="宋体" w:eastAsia="宋体" w:cs="宋体"/>
          <w:b w:val="0"/>
          <w:bCs w:val="0"/>
          <w:i w:val="0"/>
          <w:iCs w:val="0"/>
          <w:caps w:val="0"/>
          <w:color w:val="333333"/>
          <w:spacing w:val="0"/>
          <w:sz w:val="28"/>
          <w:szCs w:val="28"/>
          <w:shd w:val="clear" w:fill="FFFFFF"/>
        </w:rPr>
        <w:t>宋文倩</w:t>
      </w:r>
      <w:r>
        <w:rPr>
          <w:rFonts w:hint="default" w:ascii="宋体" w:hAnsi="宋体" w:eastAsia="宋体" w:cs="宋体"/>
          <w:b w:val="0"/>
          <w:bCs w:val="0"/>
          <w:i w:val="0"/>
          <w:iCs w:val="0"/>
          <w:caps w:val="0"/>
          <w:color w:val="333333"/>
          <w:spacing w:val="0"/>
          <w:sz w:val="28"/>
          <w:szCs w:val="28"/>
          <w:shd w:val="clear" w:fill="FFFFFF"/>
        </w:rPr>
        <w:fldChar w:fldCharType="end"/>
      </w:r>
      <w:r>
        <w:rPr>
          <w:rFonts w:hint="default" w:ascii="宋体" w:hAnsi="宋体" w:eastAsia="宋体" w:cs="宋体"/>
          <w:b w:val="0"/>
          <w:bCs w:val="0"/>
          <w:i w:val="0"/>
          <w:iCs w:val="0"/>
          <w:caps w:val="0"/>
          <w:color w:val="333333"/>
          <w:spacing w:val="0"/>
          <w:sz w:val="28"/>
          <w:szCs w:val="28"/>
          <w:shd w:val="clear" w:fill="FFFFFF"/>
        </w:rPr>
        <w:t>,</w:t>
      </w:r>
      <w:r>
        <w:rPr>
          <w:rFonts w:hint="default" w:ascii="宋体" w:hAnsi="宋体" w:eastAsia="宋体" w:cs="宋体"/>
          <w:b w:val="0"/>
          <w:bCs w:val="0"/>
          <w:i w:val="0"/>
          <w:iCs w:val="0"/>
          <w:caps w:val="0"/>
          <w:color w:val="333333"/>
          <w:spacing w:val="0"/>
          <w:sz w:val="28"/>
          <w:szCs w:val="28"/>
          <w:shd w:val="clear" w:fill="FFFFFF"/>
        </w:rPr>
        <w:fldChar w:fldCharType="begin"/>
      </w:r>
      <w:r>
        <w:rPr>
          <w:rFonts w:hint="default" w:ascii="宋体" w:hAnsi="宋体" w:eastAsia="宋体" w:cs="宋体"/>
          <w:b w:val="0"/>
          <w:bCs w:val="0"/>
          <w:i w:val="0"/>
          <w:iCs w:val="0"/>
          <w:caps w:val="0"/>
          <w:color w:val="333333"/>
          <w:spacing w:val="0"/>
          <w:sz w:val="28"/>
          <w:szCs w:val="28"/>
          <w:shd w:val="clear" w:fill="FFFFFF"/>
        </w:rPr>
        <w:instrText xml:space="preserve"> HYPERLINK "javascript:void(0);" </w:instrText>
      </w:r>
      <w:r>
        <w:rPr>
          <w:rFonts w:hint="default" w:ascii="宋体" w:hAnsi="宋体" w:eastAsia="宋体" w:cs="宋体"/>
          <w:b w:val="0"/>
          <w:bCs w:val="0"/>
          <w:i w:val="0"/>
          <w:iCs w:val="0"/>
          <w:caps w:val="0"/>
          <w:color w:val="333333"/>
          <w:spacing w:val="0"/>
          <w:sz w:val="28"/>
          <w:szCs w:val="28"/>
          <w:shd w:val="clear" w:fill="FFFFFF"/>
        </w:rPr>
        <w:fldChar w:fldCharType="separate"/>
      </w:r>
      <w:r>
        <w:rPr>
          <w:rFonts w:hint="default" w:ascii="宋体" w:hAnsi="宋体" w:eastAsia="宋体" w:cs="宋体"/>
          <w:b w:val="0"/>
          <w:bCs w:val="0"/>
          <w:i w:val="0"/>
          <w:iCs w:val="0"/>
          <w:caps w:val="0"/>
          <w:color w:val="333333"/>
          <w:spacing w:val="0"/>
          <w:sz w:val="28"/>
          <w:szCs w:val="28"/>
          <w:shd w:val="clear" w:fill="FFFFFF"/>
        </w:rPr>
        <w:t>高勇</w:t>
      </w:r>
      <w:r>
        <w:rPr>
          <w:rFonts w:hint="default" w:ascii="宋体" w:hAnsi="宋体" w:eastAsia="宋体" w:cs="宋体"/>
          <w:b w:val="0"/>
          <w:bCs w:val="0"/>
          <w:i w:val="0"/>
          <w:iCs w:val="0"/>
          <w:caps w:val="0"/>
          <w:color w:val="333333"/>
          <w:spacing w:val="0"/>
          <w:sz w:val="28"/>
          <w:szCs w:val="28"/>
          <w:shd w:val="clear" w:fill="FFFFFF"/>
        </w:rPr>
        <w:fldChar w:fldCharType="end"/>
      </w:r>
      <w:r>
        <w:rPr>
          <w:rFonts w:hint="default" w:ascii="宋体" w:hAnsi="宋体" w:eastAsia="宋体" w:cs="宋体"/>
          <w:b w:val="0"/>
          <w:bCs w:val="0"/>
          <w:i w:val="0"/>
          <w:iCs w:val="0"/>
          <w:caps w:val="0"/>
          <w:color w:val="333333"/>
          <w:spacing w:val="0"/>
          <w:sz w:val="28"/>
          <w:szCs w:val="28"/>
          <w:shd w:val="clear" w:fill="FFFFFF"/>
        </w:rPr>
        <w:t>,</w:t>
      </w:r>
      <w:r>
        <w:rPr>
          <w:rFonts w:hint="default" w:ascii="宋体" w:hAnsi="宋体" w:eastAsia="宋体" w:cs="宋体"/>
          <w:b w:val="0"/>
          <w:bCs w:val="0"/>
          <w:i w:val="0"/>
          <w:iCs w:val="0"/>
          <w:caps w:val="0"/>
          <w:color w:val="333333"/>
          <w:spacing w:val="0"/>
          <w:sz w:val="28"/>
          <w:szCs w:val="28"/>
          <w:shd w:val="clear" w:fill="FFFFFF"/>
        </w:rPr>
        <w:fldChar w:fldCharType="begin"/>
      </w:r>
      <w:r>
        <w:rPr>
          <w:rFonts w:hint="default" w:ascii="宋体" w:hAnsi="宋体" w:eastAsia="宋体" w:cs="宋体"/>
          <w:b w:val="0"/>
          <w:bCs w:val="0"/>
          <w:i w:val="0"/>
          <w:iCs w:val="0"/>
          <w:caps w:val="0"/>
          <w:color w:val="333333"/>
          <w:spacing w:val="0"/>
          <w:sz w:val="28"/>
          <w:szCs w:val="28"/>
          <w:shd w:val="clear" w:fill="FFFFFF"/>
        </w:rPr>
        <w:instrText xml:space="preserve"> HYPERLINK "javascript:void(0);" </w:instrText>
      </w:r>
      <w:r>
        <w:rPr>
          <w:rFonts w:hint="default" w:ascii="宋体" w:hAnsi="宋体" w:eastAsia="宋体" w:cs="宋体"/>
          <w:b w:val="0"/>
          <w:bCs w:val="0"/>
          <w:i w:val="0"/>
          <w:iCs w:val="0"/>
          <w:caps w:val="0"/>
          <w:color w:val="333333"/>
          <w:spacing w:val="0"/>
          <w:sz w:val="28"/>
          <w:szCs w:val="28"/>
          <w:shd w:val="clear" w:fill="FFFFFF"/>
        </w:rPr>
        <w:fldChar w:fldCharType="separate"/>
      </w:r>
      <w:r>
        <w:rPr>
          <w:rFonts w:hint="default" w:ascii="宋体" w:hAnsi="宋体" w:eastAsia="宋体" w:cs="宋体"/>
          <w:b w:val="0"/>
          <w:bCs w:val="0"/>
          <w:i w:val="0"/>
          <w:iCs w:val="0"/>
          <w:caps w:val="0"/>
          <w:color w:val="333333"/>
          <w:spacing w:val="0"/>
          <w:sz w:val="28"/>
          <w:szCs w:val="28"/>
          <w:shd w:val="clear" w:fill="FFFFFF"/>
        </w:rPr>
        <w:t>梁晓华</w:t>
      </w:r>
      <w:r>
        <w:rPr>
          <w:rFonts w:hint="default" w:ascii="宋体" w:hAnsi="宋体" w:eastAsia="宋体" w:cs="宋体"/>
          <w:b w:val="0"/>
          <w:bCs w:val="0"/>
          <w:i w:val="0"/>
          <w:iCs w:val="0"/>
          <w:caps w:val="0"/>
          <w:color w:val="333333"/>
          <w:spacing w:val="0"/>
          <w:sz w:val="28"/>
          <w:szCs w:val="28"/>
          <w:shd w:val="clear" w:fill="FFFFFF"/>
        </w:rPr>
        <w:fldChar w:fldCharType="end"/>
      </w:r>
      <w:r>
        <w:rPr>
          <w:rFonts w:hint="eastAsia" w:ascii="宋体" w:hAnsi="宋体" w:eastAsia="宋体" w:cs="宋体"/>
          <w:b w:val="0"/>
          <w:bCs w:val="0"/>
          <w:i w:val="0"/>
          <w:iCs w:val="0"/>
          <w:caps w:val="0"/>
          <w:color w:val="333333"/>
          <w:spacing w:val="0"/>
          <w:sz w:val="28"/>
          <w:szCs w:val="28"/>
          <w:shd w:val="clear" w:fill="FFFFFF"/>
          <w:lang w:val="en-US" w:eastAsia="zh-CN"/>
        </w:rPr>
        <w:t>等</w:t>
      </w:r>
      <w:r>
        <w:rPr>
          <w:rFonts w:hint="default" w:ascii="宋体" w:hAnsi="宋体" w:eastAsia="宋体" w:cs="宋体"/>
          <w:b w:val="0"/>
          <w:bCs w:val="0"/>
          <w:i w:val="0"/>
          <w:iCs w:val="0"/>
          <w:caps w:val="0"/>
          <w:color w:val="333333"/>
          <w:spacing w:val="0"/>
          <w:sz w:val="28"/>
          <w:szCs w:val="28"/>
          <w:shd w:val="clear" w:fill="FFFFFF"/>
        </w:rPr>
        <w:t>,</w:t>
      </w:r>
      <w:r>
        <w:rPr>
          <w:rFonts w:hint="eastAsia" w:ascii="宋体" w:hAnsi="宋体" w:eastAsia="宋体" w:cs="宋体"/>
          <w:b w:val="0"/>
          <w:bCs w:val="0"/>
          <w:i w:val="0"/>
          <w:iCs w:val="0"/>
          <w:caps w:val="0"/>
          <w:color w:val="333333"/>
          <w:spacing w:val="0"/>
          <w:sz w:val="28"/>
          <w:szCs w:val="28"/>
          <w:shd w:val="clear" w:fill="FFFFFF"/>
          <w:lang w:eastAsia="zh-CN"/>
        </w:rPr>
        <w:t>《</w:t>
      </w:r>
      <w:r>
        <w:rPr>
          <w:rFonts w:hint="eastAsia" w:ascii="宋体" w:hAnsi="宋体" w:eastAsia="宋体" w:cs="宋体"/>
          <w:b w:val="0"/>
          <w:bCs w:val="0"/>
          <w:i w:val="0"/>
          <w:iCs w:val="0"/>
          <w:caps w:val="0"/>
          <w:color w:val="333333"/>
          <w:spacing w:val="0"/>
          <w:sz w:val="28"/>
          <w:szCs w:val="28"/>
          <w:shd w:val="clear" w:fill="FFFFFF"/>
        </w:rPr>
        <w:t>全国32个地区献血人群血液筛查结果回顾性分析</w:t>
      </w:r>
      <w:r>
        <w:rPr>
          <w:rFonts w:hint="eastAsia" w:ascii="宋体" w:hAnsi="宋体" w:cs="宋体"/>
          <w:b w:val="0"/>
          <w:bCs w:val="0"/>
          <w:i w:val="0"/>
          <w:iCs w:val="0"/>
          <w:caps w:val="0"/>
          <w:color w:val="333333"/>
          <w:spacing w:val="0"/>
          <w:sz w:val="28"/>
          <w:szCs w:val="28"/>
          <w:shd w:val="clear" w:fill="FFFFFF"/>
          <w:lang w:eastAsia="zh-CN"/>
        </w:rPr>
        <w:t>》</w:t>
      </w:r>
      <w:r>
        <w:rPr>
          <w:rFonts w:hint="eastAsia" w:ascii="宋体" w:hAnsi="宋体" w:cs="宋体"/>
          <w:b w:val="0"/>
          <w:bCs w:val="0"/>
          <w:sz w:val="28"/>
          <w:szCs w:val="28"/>
        </w:rPr>
        <w:t>[J].</w:t>
      </w:r>
      <w:r>
        <w:rPr>
          <w:rFonts w:hint="eastAsia"/>
          <w:b w:val="0"/>
          <w:bCs w:val="0"/>
          <w:sz w:val="28"/>
          <w:szCs w:val="28"/>
          <w:lang w:eastAsia="zh-CN"/>
        </w:rPr>
        <w:t>（</w:t>
      </w:r>
      <w:r>
        <w:rPr>
          <w:rFonts w:hint="eastAsia"/>
          <w:b w:val="0"/>
          <w:bCs w:val="0"/>
          <w:sz w:val="28"/>
          <w:szCs w:val="28"/>
          <w:lang w:val="en-US" w:eastAsia="zh-CN"/>
        </w:rPr>
        <w:t>临床血液学杂志</w:t>
      </w:r>
      <w:r>
        <w:rPr>
          <w:rFonts w:hint="eastAsia"/>
          <w:b w:val="0"/>
          <w:bCs w:val="0"/>
          <w:sz w:val="28"/>
          <w:szCs w:val="28"/>
          <w:lang w:eastAsia="zh-CN"/>
        </w:rPr>
        <w:t>）</w:t>
      </w:r>
    </w:p>
    <w:p w14:paraId="580413F3">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rPr>
          <w:rFonts w:hint="eastAsia" w:ascii="宋体" w:hAnsi="宋体" w:eastAsia="宋体" w:cs="宋体"/>
          <w:b/>
          <w:bCs/>
          <w:i w:val="0"/>
          <w:iCs w:val="0"/>
          <w:caps w:val="0"/>
          <w:color w:val="333333"/>
          <w:spacing w:val="0"/>
          <w:sz w:val="28"/>
          <w:szCs w:val="28"/>
          <w:lang w:eastAsia="zh-CN"/>
        </w:rPr>
      </w:pPr>
      <w:r>
        <w:rPr>
          <w:rFonts w:hint="eastAsia" w:ascii="宋体" w:hAnsi="宋体" w:cs="宋体"/>
          <w:sz w:val="28"/>
          <w:szCs w:val="28"/>
          <w:lang w:val="en-US" w:eastAsia="zh-CN"/>
        </w:rPr>
        <w:t xml:space="preserve"> </w:t>
      </w:r>
    </w:p>
    <w:p w14:paraId="4272DD66">
      <w:pPr>
        <w:widowControl/>
        <w:jc w:val="left"/>
        <w:rPr>
          <w:rFonts w:hint="default" w:ascii="宋体" w:hAnsi="宋体" w:eastAsia="宋体" w:cs="宋体"/>
          <w:sz w:val="28"/>
          <w:szCs w:val="28"/>
          <w:lang w:val="en-US" w:eastAsia="zh-CN"/>
        </w:rPr>
      </w:pPr>
    </w:p>
    <w:p w14:paraId="77274E02"/>
    <w:sectPr>
      <w:pgSz w:w="11906" w:h="16838"/>
      <w:pgMar w:top="1440" w:right="1800" w:bottom="131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231A9EC-C4E4-4202-BBB0-204E888C6C0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9ECACC5E-A576-4F63-9AB6-BB30F920DE5A}"/>
  </w:font>
  <w:font w:name="Calibri Light">
    <w:panose1 w:val="020F0302020204030204"/>
    <w:charset w:val="00"/>
    <w:family w:val="auto"/>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embedRegular r:id="rId3" w:fontKey="{2AA1D1E3-D7BB-4448-95BE-7CEF5F38E413}"/>
  </w:font>
  <w:font w:name="方正公文小标宋">
    <w:panose1 w:val="02000500000000000000"/>
    <w:charset w:val="86"/>
    <w:family w:val="auto"/>
    <w:pitch w:val="default"/>
    <w:sig w:usb0="A00002BF" w:usb1="38CF7CFA" w:usb2="00000016" w:usb3="00000000" w:csb0="00040001" w:csb1="00000000"/>
    <w:embedRegular r:id="rId4" w:fontKey="{59727508-30A5-485D-9846-EC71CA8A1D72}"/>
  </w:font>
  <w:font w:name="楷体_GB2312">
    <w:panose1 w:val="02010609030101010101"/>
    <w:charset w:val="86"/>
    <w:family w:val="modern"/>
    <w:pitch w:val="default"/>
    <w:sig w:usb0="00000001" w:usb1="080E0000" w:usb2="00000000" w:usb3="00000000" w:csb0="00040000" w:csb1="00000000"/>
    <w:embedRegular r:id="rId5" w:fontKey="{C576D727-FBEF-4B07-9180-C06D726D4594}"/>
  </w:font>
  <w:font w:name="仿宋_GB2312">
    <w:panose1 w:val="02010609030101010101"/>
    <w:charset w:val="86"/>
    <w:family w:val="auto"/>
    <w:pitch w:val="default"/>
    <w:sig w:usb0="00000001" w:usb1="080E0000" w:usb2="00000000" w:usb3="00000000" w:csb0="00040000" w:csb1="00000000"/>
    <w:embedRegular r:id="rId6" w:fontKey="{A4CDB072-F6E4-4937-9E9C-2B09553EE315}"/>
  </w:font>
  <w:font w:name="仿宋">
    <w:panose1 w:val="02010609060101010101"/>
    <w:charset w:val="86"/>
    <w:family w:val="modern"/>
    <w:pitch w:val="default"/>
    <w:sig w:usb0="800002BF" w:usb1="38CF7CFA" w:usb2="00000016" w:usb3="00000000" w:csb0="00040001" w:csb1="00000000"/>
    <w:embedRegular r:id="rId7" w:fontKey="{7409ECFD-2C78-4E64-BD63-0EDECFD3FBF4}"/>
  </w:font>
  <w:font w:name="微软雅黑">
    <w:panose1 w:val="020B0503020204020204"/>
    <w:charset w:val="86"/>
    <w:family w:val="swiss"/>
    <w:pitch w:val="default"/>
    <w:sig w:usb0="80000287" w:usb1="2ACF3C50" w:usb2="00000016" w:usb3="00000000" w:csb0="0004001F" w:csb1="00000000"/>
    <w:embedRegular r:id="rId8" w:fontKey="{257F6EC1-0E88-417A-884C-77B8E46BF41B}"/>
  </w:font>
  <w:font w:name="楷体">
    <w:panose1 w:val="02010609060101010101"/>
    <w:charset w:val="86"/>
    <w:family w:val="auto"/>
    <w:pitch w:val="default"/>
    <w:sig w:usb0="800002BF" w:usb1="38CF7CFA" w:usb2="00000016" w:usb3="00000000" w:csb0="00040001" w:csb1="00000000"/>
    <w:embedRegular r:id="rId9" w:fontKey="{71E983C5-9B20-4CF9-92C1-94D7DF2CAD49}"/>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22F7BA"/>
    <w:multiLevelType w:val="multilevel"/>
    <w:tmpl w:val="8A22F7BA"/>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2B7CFD19"/>
    <w:multiLevelType w:val="singleLevel"/>
    <w:tmpl w:val="2B7CFD19"/>
    <w:lvl w:ilvl="0" w:tentative="0">
      <w:start w:val="2"/>
      <w:numFmt w:val="chineseCounting"/>
      <w:suff w:val="nothing"/>
      <w:lvlText w:val="%1、"/>
      <w:lvlJc w:val="left"/>
      <w:rPr>
        <w:rFonts w:hint="eastAsia"/>
      </w:rPr>
    </w:lvl>
  </w:abstractNum>
  <w:abstractNum w:abstractNumId="2">
    <w:nsid w:val="44C50F90"/>
    <w:multiLevelType w:val="multilevel"/>
    <w:tmpl w:val="44C50F90"/>
    <w:lvl w:ilvl="0" w:tentative="0">
      <w:start w:val="1"/>
      <w:numFmt w:val="decimal"/>
      <w:pStyle w:val="16"/>
      <w:lvlText w:val="%1"/>
      <w:lvlJc w:val="left"/>
      <w:pPr>
        <w:tabs>
          <w:tab w:val="left" w:pos="851"/>
        </w:tabs>
        <w:ind w:left="851" w:hanging="426"/>
      </w:pPr>
      <w:rPr>
        <w:rFonts w:ascii="宋体" w:hAnsi="Times New Roman" w:eastAsia="宋体" w:cs="Times New Roman"/>
        <w:sz w:val="21"/>
      </w:rPr>
    </w:lvl>
    <w:lvl w:ilvl="1" w:tentative="0">
      <w:start w:val="1"/>
      <w:numFmt w:val="decimal"/>
      <w:lvlText w:val="%2"/>
      <w:lvlJc w:val="left"/>
      <w:pPr>
        <w:tabs>
          <w:tab w:val="left" w:pos="1276"/>
        </w:tabs>
        <w:ind w:left="1276" w:hanging="425"/>
      </w:pPr>
      <w:rPr>
        <w:rFonts w:ascii="宋体" w:hAnsi="Times New Roman" w:eastAsia="宋体" w:cs="Times New Roman"/>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
    <w:nsid w:val="646260FA"/>
    <w:multiLevelType w:val="multilevel"/>
    <w:tmpl w:val="646260FA"/>
    <w:lvl w:ilvl="0" w:tentative="0">
      <w:start w:val="1"/>
      <w:numFmt w:val="decimal"/>
      <w:pStyle w:val="19"/>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4">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suff w:val="nothing"/>
      <w:lvlText w:val="%1%2　"/>
      <w:lvlJc w:val="left"/>
      <w:pPr>
        <w:ind w:left="568" w:firstLine="0"/>
      </w:pPr>
      <w:rPr>
        <w:rFonts w:hint="eastAsia" w:ascii="黑体" w:eastAsia="黑体"/>
        <w:b w:val="0"/>
        <w:i w:val="0"/>
        <w:color w:val="000000" w:themeColor="text1"/>
        <w:sz w:val="21"/>
        <w14:textFill>
          <w14:solidFill>
            <w14:schemeClr w14:val="tx1"/>
          </w14:solidFill>
        </w14:textFill>
      </w:rPr>
    </w:lvl>
    <w:lvl w:ilvl="2" w:tentative="0">
      <w:start w:val="1"/>
      <w:numFmt w:val="decimal"/>
      <w:suff w:val="nothing"/>
      <w:lvlText w:val="%1%2.%3　"/>
      <w:lvlJc w:val="left"/>
      <w:pPr>
        <w:ind w:left="852"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17"/>
      <w:suff w:val="nothing"/>
      <w:lvlText w:val="%1%2.%3.%4　"/>
      <w:lvlJc w:val="left"/>
      <w:pPr>
        <w:ind w:left="0" w:firstLine="0"/>
      </w:pPr>
      <w:rPr>
        <w:rFonts w:hint="eastAsia" w:ascii="黑体" w:eastAsia="黑体"/>
        <w:b w:val="0"/>
        <w:i w:val="0"/>
        <w:color w:val="auto"/>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72B04"/>
    <w:rsid w:val="055943D7"/>
    <w:rsid w:val="076653B1"/>
    <w:rsid w:val="09685DFB"/>
    <w:rsid w:val="096A4B81"/>
    <w:rsid w:val="0C0B3E50"/>
    <w:rsid w:val="0DEE1FB4"/>
    <w:rsid w:val="0EAD4424"/>
    <w:rsid w:val="10FA1391"/>
    <w:rsid w:val="127E7668"/>
    <w:rsid w:val="12BA61C8"/>
    <w:rsid w:val="18DF672E"/>
    <w:rsid w:val="1B5622E9"/>
    <w:rsid w:val="1BA2374D"/>
    <w:rsid w:val="1BB2137E"/>
    <w:rsid w:val="1EB55657"/>
    <w:rsid w:val="20CA48D9"/>
    <w:rsid w:val="21D6045B"/>
    <w:rsid w:val="29365CAD"/>
    <w:rsid w:val="2CAE7E10"/>
    <w:rsid w:val="2F5C22BF"/>
    <w:rsid w:val="2F875074"/>
    <w:rsid w:val="2FD91648"/>
    <w:rsid w:val="32771258"/>
    <w:rsid w:val="32E72810"/>
    <w:rsid w:val="332116F0"/>
    <w:rsid w:val="37D3697D"/>
    <w:rsid w:val="386C1D14"/>
    <w:rsid w:val="38E85911"/>
    <w:rsid w:val="3AD14CBD"/>
    <w:rsid w:val="3D43210E"/>
    <w:rsid w:val="3D461E16"/>
    <w:rsid w:val="3EA451FF"/>
    <w:rsid w:val="3FB63F8D"/>
    <w:rsid w:val="423563AB"/>
    <w:rsid w:val="46C80FE4"/>
    <w:rsid w:val="486139CD"/>
    <w:rsid w:val="494F6AD9"/>
    <w:rsid w:val="4A03113E"/>
    <w:rsid w:val="4BE425B6"/>
    <w:rsid w:val="4C174D62"/>
    <w:rsid w:val="4C393A63"/>
    <w:rsid w:val="4C721BF8"/>
    <w:rsid w:val="4CE9093D"/>
    <w:rsid w:val="4D842D3A"/>
    <w:rsid w:val="4DF420F5"/>
    <w:rsid w:val="527C06D9"/>
    <w:rsid w:val="538E4924"/>
    <w:rsid w:val="53ED2E8C"/>
    <w:rsid w:val="54F74195"/>
    <w:rsid w:val="56933917"/>
    <w:rsid w:val="5CDA3CE1"/>
    <w:rsid w:val="5DDC5E8E"/>
    <w:rsid w:val="5F114C06"/>
    <w:rsid w:val="61C60D23"/>
    <w:rsid w:val="634B00DE"/>
    <w:rsid w:val="64AA5237"/>
    <w:rsid w:val="684B1EAA"/>
    <w:rsid w:val="697D3521"/>
    <w:rsid w:val="6ABC2BAC"/>
    <w:rsid w:val="6E51148A"/>
    <w:rsid w:val="6F0270B0"/>
    <w:rsid w:val="70A7195F"/>
    <w:rsid w:val="736F3422"/>
    <w:rsid w:val="73F039C5"/>
    <w:rsid w:val="75733B41"/>
    <w:rsid w:val="78482365"/>
    <w:rsid w:val="78FE6611"/>
    <w:rsid w:val="7C58728C"/>
    <w:rsid w:val="7D260DD3"/>
    <w:rsid w:val="7F1E0D19"/>
    <w:rsid w:val="7F993E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toc 3"/>
    <w:basedOn w:val="1"/>
    <w:next w:val="1"/>
    <w:qFormat/>
    <w:uiPriority w:val="39"/>
    <w:pPr>
      <w:ind w:left="840" w:leftChars="400"/>
    </w:pPr>
  </w:style>
  <w:style w:type="paragraph" w:styleId="6">
    <w:name w:val="footer"/>
    <w:basedOn w:val="1"/>
    <w:qFormat/>
    <w:uiPriority w:val="0"/>
    <w:pPr>
      <w:tabs>
        <w:tab w:val="center" w:pos="4153"/>
        <w:tab w:val="right" w:pos="8306"/>
      </w:tabs>
      <w:snapToGrid w:val="0"/>
      <w:jc w:val="left"/>
    </w:pPr>
    <w:rPr>
      <w:sz w:val="18"/>
    </w:rPr>
  </w:style>
  <w:style w:type="paragraph" w:styleId="7">
    <w:name w:val="toc 1"/>
    <w:basedOn w:val="1"/>
    <w:next w:val="1"/>
    <w:qFormat/>
    <w:uiPriority w:val="39"/>
  </w:style>
  <w:style w:type="paragraph" w:styleId="8">
    <w:name w:val="toc 2"/>
    <w:basedOn w:val="1"/>
    <w:next w:val="1"/>
    <w:qFormat/>
    <w:uiPriority w:val="39"/>
    <w:pPr>
      <w:ind w:left="420" w:leftChars="200"/>
    </w:p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Hyperlink"/>
    <w:basedOn w:val="11"/>
    <w:unhideWhenUsed/>
    <w:qFormat/>
    <w:uiPriority w:val="99"/>
    <w:rPr>
      <w:color w:val="0026E5" w:themeColor="hyperlink"/>
      <w:u w:val="single"/>
      <w14:textFill>
        <w14:solidFill>
          <w14:schemeClr w14:val="hlink"/>
        </w14:solidFill>
      </w14:textFill>
    </w:rPr>
  </w:style>
  <w:style w:type="paragraph" w:customStyle="1" w:styleId="14">
    <w:name w:val="列出段落1"/>
    <w:basedOn w:val="1"/>
    <w:qFormat/>
    <w:uiPriority w:val="99"/>
    <w:pPr>
      <w:ind w:firstLine="420" w:firstLineChars="200"/>
    </w:pPr>
  </w:style>
  <w:style w:type="paragraph" w:customStyle="1" w:styleId="15">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6">
    <w:name w:val="标准文件_字母编号列项（一级）"/>
    <w:qFormat/>
    <w:uiPriority w:val="0"/>
    <w:pPr>
      <w:numPr>
        <w:ilvl w:val="0"/>
        <w:numId w:val="1"/>
      </w:numPr>
      <w:jc w:val="both"/>
    </w:pPr>
    <w:rPr>
      <w:rFonts w:ascii="宋体" w:hAnsi="Times New Roman" w:eastAsia="宋体" w:cs="Times New Roman"/>
      <w:sz w:val="21"/>
      <w:lang w:val="en-US" w:eastAsia="zh-CN" w:bidi="ar-SA"/>
    </w:rPr>
  </w:style>
  <w:style w:type="paragraph" w:customStyle="1" w:styleId="17">
    <w:name w:val="标准文件_二级条标题"/>
    <w:next w:val="15"/>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18">
    <w:name w:val="标准文件_二级无标题"/>
    <w:basedOn w:val="17"/>
    <w:qFormat/>
    <w:uiPriority w:val="0"/>
    <w:pPr>
      <w:spacing w:before="0" w:beforeLines="0" w:after="0" w:afterLines="0"/>
      <w:outlineLvl w:val="9"/>
    </w:pPr>
    <w:rPr>
      <w:rFonts w:ascii="宋体" w:eastAsia="宋体"/>
    </w:rPr>
  </w:style>
  <w:style w:type="paragraph" w:customStyle="1" w:styleId="19">
    <w:name w:val="标准文件_正文表标题"/>
    <w:next w:val="15"/>
    <w:qFormat/>
    <w:uiPriority w:val="0"/>
    <w:pPr>
      <w:numPr>
        <w:ilvl w:val="0"/>
        <w:numId w:val="3"/>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20">
    <w:name w:val="标准文件_表格"/>
    <w:basedOn w:val="15"/>
    <w:qFormat/>
    <w:uiPriority w:val="0"/>
    <w:pPr>
      <w:ind w:firstLine="0" w:firstLineChars="0"/>
      <w:jc w:val="center"/>
    </w:pPr>
    <w:rPr>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0f519ebd-d676-44a3-bbc3-59837f6640d3</errorID>
      <errorWord>材料</errorWord>
      <group>L1_AI</group>
      <groupName>深度校对</groupName>
      <ability>L2_AI_Punc</ability>
      <abilityName>标点纠错</abilityName>
      <candidateList>
        <item>、材料</item>
      </candidateList>
      <explain/>
      <paraID>5189AEBD</paraID>
      <start>9</start>
      <end>11</end>
      <status>unmodified</status>
      <modifiedWord/>
      <trackRevisions>false</trackRevisions>
    </reviewItem>
    <reviewItem>
      <errorID>ebdd7e63-f629-4523-ae74-0484568bbbb8</errorID>
      <errorWord>亟需</errorWord>
      <group>L1_Word</group>
      <groupName>字词问题</groupName>
      <ability>L2_Typo</ability>
      <abilityName>字词错误</abilityName>
      <candidateList>
        <item>亟须</item>
      </candidateList>
      <explain/>
      <paraID>62A91716</paraID>
      <start>99</start>
      <end>101</end>
      <status>unmodified</status>
      <modifiedWord/>
      <trackRevisions>false</trackRevisions>
    </reviewItem>
    <reviewItem>
      <errorID>12ad4c3c-fd53-4e2e-aab9-0394e356ac76</errorID>
      <errorWord>在</errorWord>
      <group>L1_AI</group>
      <groupName>深度校对</groupName>
      <ability>L2_AI_Word</ability>
      <abilityName>字词纠错</abilityName>
      <candidateList>
        <item>对</item>
      </candidateList>
      <explain/>
      <paraID>62A91716</paraID>
      <start>149</start>
      <end>150</end>
      <status>modified</status>
      <modifiedWord>对</modifiedWord>
      <trackRevisions>false</trackRevisions>
    </reviewItem>
    <reviewItem>
      <errorID>8b4c52bf-0c29-4d24-8e20-caf00a025787</errorID>
      <errorWord>。</errorWord>
      <group>L1_AI</group>
      <groupName>深度校对</groupName>
      <ability>L2_AI_Punc</ability>
      <abilityName>标点纠错</abilityName>
      <candidateList>
        <item>，</item>
      </candidateList>
      <explain/>
      <paraID>7532E06E</paraID>
      <start>136</start>
      <end>137</end>
      <status>unmodified</status>
      <modifiedWord/>
      <trackRevisions>false</trackRevisions>
    </reviewItem>
    <reviewItem>
      <errorID>aa30ea2a-0d5a-47d0-ad1c-ace2ea3e58e4</errorID>
      <errorWord>应急</errorWord>
      <group>L1_AI</group>
      <groupName>深度校对</groupName>
      <ability>L2_AI_Grammar</ability>
      <abilityName>语法纠错</abilityName>
      <candidateList>
        <item>采取应急</item>
      </candidateList>
      <explain/>
      <paraID>61793879</paraID>
      <start>118</start>
      <end>120</end>
      <status>unmodified</status>
      <modifiedWord/>
      <trackRevisions>false</trackRevisions>
    </reviewItem>
    <reviewItem>
      <errorID>cffb1c8e-366a-4779-9fd5-67d47c205760</errorID>
      <errorWord>亟需</errorWord>
      <group>L1_Word</group>
      <groupName>字词问题</groupName>
      <ability>L2_Typo</ability>
      <abilityName>字词错误</abilityName>
      <candidateList>
        <item>亟须</item>
      </candidateList>
      <explain/>
      <paraID>4A01F5E0</paraID>
      <start>66</start>
      <end>68</end>
      <status>unmodified</status>
      <modifiedWord/>
      <trackRevisions>false</trackRevisions>
    </reviewItem>
    <reviewItem>
      <errorID>05d386cf-f9a8-4ffd-b1df-5a174b43acd0</errorID>
      <errorWord>献血者的筛选</errorWord>
      <group>L1_AI</group>
      <groupName>深度校对</groupName>
      <ability>L2_AI_Grammar</ability>
      <abilityName>语法纠错</abilityName>
      <candidateList>
        <item>献血者</item>
      </candidateList>
      <explain/>
      <paraID>6FCE9623</paraID>
      <start>179</start>
      <end>185</end>
      <status>unmodified</status>
      <modifiedWord/>
      <trackRevisions>false</trackRevisions>
    </reviewItem>
    <reviewItem>
      <errorID>b0b4d414-7e71-475c-8987-b705afcf5b58</errorID>
      <errorWord>流失</errorWord>
      <group>L1_AI</group>
      <groupName>深度校对</groupName>
      <ability>L2_AI_Word</ability>
      <abilityName>字词纠错</abilityName>
      <candidateList>
        <item>导致</item>
      </candidateList>
      <explain/>
      <paraID>148CE2BB</paraID>
      <start>74</start>
      <end>76</end>
      <status>unmodified</status>
      <modifiedWord/>
      <trackRevisions>false</trackRevisions>
    </reviewItem>
    <reviewItem>
      <errorID>03e0c868-506f-49e5-b0fe-453bcfc9b3c5</errorID>
      <errorWord>，</errorWord>
      <group>L1_AI</group>
      <groupName>深度校对</groupName>
      <ability>L2_AI_Grammar</ability>
      <abilityName>语法纠错</abilityName>
      <candidateList>
        <item>流失，</item>
      </candidateList>
      <explain/>
      <paraID>148CE2BB</paraID>
      <start>81</start>
      <end>82</end>
      <status>unmodified</status>
      <modifiedWord/>
      <trackRevisions>false</trackRevisions>
    </reviewItem>
    <reviewItem>
      <errorID>7e963668-1877-4cb7-a3ef-ca5c53c54d69</errorID>
      <errorWord>纹身</errorWord>
      <group>L1_Word</group>
      <groupName>字词问题</groupName>
      <ability>L2_Typo</ability>
      <abilityName>字词错误</abilityName>
      <candidateList>
        <item>文身</item>
      </candidateList>
      <explain>存在发音相同字词的误用。</explain>
      <paraID>148CE2BB</paraID>
      <start>179</start>
      <end>181</end>
      <status>unmodified</status>
      <modifiedWord/>
      <trackRevisions>false</trackRevisions>
    </reviewItem>
    <reviewItem>
      <errorID>25fc0534-3b9a-458c-9635-91842a4f77f1</errorID>
      <errorWord>纹眉</errorWord>
      <group>L1_Word</group>
      <groupName>字词问题</groupName>
      <ability>L2_Typo</ability>
      <abilityName>字词错误</abilityName>
      <candidateList>
        <item>文眉</item>
      </candidateList>
      <explain/>
      <paraID>148CE2BB</paraID>
      <start>182</start>
      <end>184</end>
      <status>unmodified</status>
      <modifiedWord/>
      <trackRevisions>false</trackRevisions>
    </reviewItem>
    <reviewItem>
      <errorID>6ca6042c-a3ec-49c1-b351-2d456d78143a</errorID>
      <errorWord>，</errorWord>
      <group>L1_AI</group>
      <groupName>深度校对</groupName>
      <ability>L2_AI_Punc</ability>
      <abilityName>标点纠错</abilityName>
      <candidateList>
        <item>；</item>
      </candidateList>
      <explain/>
      <paraID>23CCDFCD</paraID>
      <start>83</start>
      <end>84</end>
      <status>unmodified</status>
      <modifiedWord/>
      <trackRevisions>false</trackRevisions>
    </reviewItem>
    <reviewItem>
      <errorID>0217a352-b9e7-4a5a-a40e-4388cfd2ed8a</errorID>
      <errorWord>在</errorWord>
      <group>L1_AI</group>
      <groupName>深度校对</groupName>
      <ability>L2_AI_Punc</ability>
      <abilityName>标点纠错</abilityName>
      <candidateList>
        <item>，在</item>
      </candidateList>
      <explain/>
      <paraID>1F97AC94</paraID>
      <start>9</start>
      <end>10</end>
      <status>unmodified</status>
      <modifiedWord/>
      <trackRevisions>false</trackRevisions>
    </reviewItem>
    <reviewItem>
      <errorID>6d51c471-76e1-4bd7-9f35-e99a0f44d240</errorID>
      <errorWord>法律、法规</errorWord>
      <group>L1_Word</group>
      <groupName>字词问题</groupName>
      <ability>L2_Typo</ability>
      <abilityName>字词错误</abilityName>
      <candidateList>
        <item>法律法规</item>
      </candidateList>
      <explain/>
      <paraID>47FFEE4A</paraID>
      <start>6</start>
      <end>11</end>
      <status>unmodified</status>
      <modifiedWord/>
      <trackRevisions>false</trackRevisions>
    </reviewItem>
    <reviewItem>
      <errorID>790deb6b-14e7-4dda-b24f-6d54cba1d9ed</errorID>
      <errorWord>,</errorWord>
      <group>L1_Format</group>
      <groupName>格式问题</groupName>
      <ability>L2_HalfPunc</ability>
      <abilityName>全半角检查</abilityName>
      <candidateList>
        <item>，</item>
      </candidateList>
      <explain>文本全半角错误。</explain>
      <paraID>77AF9F04</paraID>
      <start>96</start>
      <end>97</end>
      <status>unmodified</status>
      <modifiedWord/>
      <trackRevisions>false</trackRevisions>
    </reviewItem>
    <reviewItem>
      <errorID>a4bca7c3-3acf-401b-9827-cc2f86875a5d</errorID>
      <errorWord>(</errorWord>
      <group>L1_Format</group>
      <groupName>格式问题</groupName>
      <ability>L2_HalfPunc</ability>
      <abilityName>全半角检查</abilityName>
      <candidateList>
        <item>（</item>
      </candidateList>
      <explain>文本全半角错误。</explain>
      <paraID>2D488E80</paraID>
      <start>86</start>
      <end>87</end>
      <status>unmodified</status>
      <modifiedWord/>
      <trackRevisions>false</trackRevisions>
    </reviewItem>
    <reviewItem>
      <errorID>7c85a6ed-347b-4d19-a324-e62c4f29fbc5</errorID>
      <errorWord>需具备</errorWord>
      <group>L1_Word</group>
      <groupName>字词问题</groupName>
      <ability>L2_Typo</ability>
      <abilityName>字词错误</abilityName>
      <candidateList>
        <item>须具备</item>
      </candidateList>
      <explain/>
      <paraID> 4477A4E</paraID>
      <start>18</start>
      <end>21</end>
      <status>unmodified</status>
      <modifiedWord/>
      <trackRevisions>false</trackRevisions>
    </reviewItem>
    <reviewItem>
      <errorID>6edd20db-bd24-4118-96d0-3b8fabcf0185</errorID>
      <errorWord>，</errorWord>
      <group>L1_Word</group>
      <groupName>字词问题</groupName>
      <ability>L2_Typo</ability>
      <abilityName>字词错误</abilityName>
      <candidateList>
        <item>，优</item>
      </candidateList>
      <explain/>
      <paraID>7F161EB3</paraID>
      <start>52</start>
      <end>53</end>
      <status>unmodified</status>
      <modifiedWord/>
      <trackRevisions>false</trackRevisions>
    </reviewItem>
    <reviewItem>
      <errorID>de67883c-9de6-4962-8ac5-40e8a366d648</errorID>
      <errorWord>纹身</errorWord>
      <group>L1_Word</group>
      <groupName>字词问题</groupName>
      <ability>L2_Typo</ability>
      <abilityName>字词错误</abilityName>
      <candidateList>
        <item>文身</item>
      </candidateList>
      <explain/>
      <paraID>1CED4DE6</paraID>
      <start>125</start>
      <end>127</end>
      <status>unmodified</status>
      <modifiedWord/>
      <trackRevisions>false</trackRevisions>
    </reviewItem>
    <reviewItem>
      <errorID>5ff05a92-f7cb-4e3d-8b4c-e7b3c1451f00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135FFBF7</paraID>
      <start>78</start>
      <end>79</end>
      <status>unmodified</status>
      <modifiedWord/>
      <trackRevisions>false</trackRevisions>
    </reviewItem>
    <reviewItem>
      <errorID>7a3277a8-c4da-4291-971f-dea459a61e6c</errorID>
      <errorWord>来</errorWord>
      <group>L1_Word</group>
      <groupName>字词问题</groupName>
      <ability>L2_Typo</ability>
      <abilityName>字词错误</abilityName>
      <candidateList>
        <item>来自</item>
      </candidateList>
      <explain/>
      <paraID>323945EE</paraID>
      <start>90</start>
      <end>91</end>
      <status>unmodified</status>
      <modifiedWord/>
      <trackRevisions>false</trackRevisions>
    </reviewItem>
    <reviewItem>
      <errorID>639543d5-d724-4db8-b0d7-ddc6e375b7c5</errorID>
      <errorWord>亟需</errorWord>
      <group>L1_Word</group>
      <groupName>字词问题</groupName>
      <ability>L2_Typo</ability>
      <abilityName>字词错误</abilityName>
      <candidateList>
        <item>亟须</item>
      </candidateList>
      <explain/>
      <paraID>3F46B709</paraID>
      <start>98</start>
      <end>100</end>
      <status>unmodified</status>
      <modifiedWord/>
      <trackRevisions>false</trackRevisions>
    </reviewItem>
    <reviewItem>
      <errorID>f0219b4f-ea5a-4574-bc21-1510ef3bf4d1</errorID>
      <errorWord>脉压差</errorWord>
      <group>L1_Knowledge</group>
      <groupName>知识性问题</groupName>
      <ability>L2_Term</ability>
      <abilityName>专业术语</abilityName>
      <candidateList>
        <item>脉压</item>
      </candidateList>
      <explain>医学名词[脉压差]为不规范表述或旧称，其规范书面表述为[脉压]。</explain>
      <paraID>373BACC3</paraID>
      <start>78</start>
      <end>81</end>
      <status>unmodified</status>
      <modifiedWord/>
      <trackRevisions>false</trackRevisions>
    </reviewItem>
    <reviewItem>
      <errorID>760a4087-dd00-427c-a401-5fbf6e4accef</errorID>
      <errorWord>）</errorWord>
      <group>L1_Punc</group>
      <groupName>标点问题</groupName>
      <ability>L2_Punc</ability>
      <abilityName>标点符号检查</abilityName>
      <candidateList/>
      <explain>同一形式括号套用。</explain>
      <paraID>265AC60D</paraID>
      <start>26</start>
      <end>27</end>
      <status>unmodified</status>
      <modifiedWord/>
      <trackRevisions>false</trackRevisions>
    </reviewItem>
    <reviewItem>
      <errorID>e2dedfdf-735c-4f14-94a0-7dfb702a771b</errorID>
      <errorWord>）</errorWord>
      <group>L1_Punc</group>
      <groupName>标点问题</groupName>
      <ability>L2_Punc</ability>
      <abilityName>标点符号检查</abilityName>
      <candidateList/>
      <explain>同一形式括号套用。</explain>
      <paraID>265AC60D</paraID>
      <start>43</start>
      <end>44</end>
      <status>unmodified</status>
      <modifiedWord/>
      <trackRevisions>false</trackRevisions>
    </reviewItem>
    <reviewItem>
      <errorID>48eafef4-926d-4e8a-a02a-249135aa828d</errorID>
      <errorWord>晰</errorWord>
      <group>L1_Word</group>
      <groupName>字词问题</groupName>
      <ability>L2_Typo</ability>
      <abilityName>字词错误</abilityName>
      <candidateList>
        <item>晰地</item>
      </candidateList>
      <explain/>
      <paraID> 69D0133</paraID>
      <start>37</start>
      <end>38</end>
      <status>unmodified</status>
      <modifiedWord/>
      <trackRevisions>false</trackRevisions>
    </reviewItem>
    <reviewItem>
      <errorID>f11edb21-695b-4c12-942a-e9d918540e94</errorID>
      <errorWord>&lt;</errorWord>
      <group>L1_Format</group>
      <groupName>格式问题</groupName>
      <ability>L2_HalfPunc</ability>
      <abilityName>全半角检查</abilityName>
      <candidateList>
        <item>〈</item>
      </candidateList>
      <explain>文本全半角错误。</explain>
      <paraID>18AC21D9</paraID>
      <start>2</start>
      <end>3</end>
      <status>unmodified</status>
      <modifiedWord/>
      <trackRevisions>false</trackRevisions>
    </reviewItem>
    <reviewItem>
      <errorID>866dc42c-12c1-4553-be2a-09c222798114</errorID>
      <errorWord>&lt;</errorWord>
      <group>L1_Format</group>
      <groupName>格式问题</groupName>
      <ability>L2_HalfPunc</ability>
      <abilityName>全半角检查</abilityName>
      <candidateList>
        <item>〈</item>
      </candidateList>
      <explain>文本全半角错误。</explain>
      <paraID>79A46ACF</paraID>
      <start>2</start>
      <end>3</end>
      <status>unmodified</status>
      <modifiedWord/>
      <trackRevisions>false</trackRevisions>
    </reviewItem>
    <reviewItem>
      <errorID>661cb771-136f-4392-a3af-d5c0ba68c51a</errorID>
      <errorWord>&lt;</errorWord>
      <group>L1_Format</group>
      <groupName>格式问题</groupName>
      <ability>L2_HalfPunc</ability>
      <abilityName>全半角检查</abilityName>
      <candidateList>
        <item>〈</item>
      </candidateList>
      <explain>文本全半角错误。</explain>
      <paraID>1881D7E1</paraID>
      <start>2</start>
      <end>3</end>
      <status>unmodified</status>
      <modifiedWord/>
      <trackRevisions>false</trackRevisions>
    </reviewItem>
    <reviewItem>
      <errorID>d71752da-31fa-43f7-9a11-0252e4ef7919</errorID>
      <errorWord>&lt;</errorWord>
      <group>L1_Format</group>
      <groupName>格式问题</groupName>
      <ability>L2_HalfPunc</ability>
      <abilityName>全半角检查</abilityName>
      <candidateList>
        <item>〈</item>
      </candidateList>
      <explain>文本全半角错误。</explain>
      <paraID>70942D69</paraID>
      <start>12</start>
      <end>13</end>
      <status>unmodified</status>
      <modifiedWord/>
      <trackRevisions>false</trackRevisions>
    </reviewItem>
    <reviewItem>
      <errorID>9fa49405-f2df-4305-bc0b-b13bda33a9e7</errorID>
      <errorWord>～</errorWord>
      <group>L1_Format</group>
      <groupName>格式问题</groupName>
      <ability>L2_HalfPunc</ability>
      <abilityName>全半角检查</abilityName>
      <candidateList>
        <item>~</item>
      </candidateList>
      <explain>文本全半角错误。</explain>
      <paraID>609F25BD</paraID>
      <start>4</start>
      <end>5</end>
      <status>unmodified</status>
      <modifiedWord/>
      <trackRevisions>false</trackRevisions>
    </reviewItem>
    <reviewItem>
      <errorID>1685b0c0-c439-4de5-99ce-240b13979c2c</errorID>
      <errorWord>～</errorWord>
      <group>L1_Format</group>
      <groupName>格式问题</groupName>
      <ability>L2_HalfPunc</ability>
      <abilityName>全半角检查</abilityName>
      <candidateList>
        <item>~</item>
      </candidateList>
      <explain>文本全半角错误。</explain>
      <paraID>16AE8044</paraID>
      <start>4</start>
      <end>5</end>
      <status>unmodified</status>
      <modifiedWord/>
      <trackRevisions>false</trackRevisions>
    </reviewItem>
    <reviewItem>
      <errorID>a6934521-0070-4ea5-9dfc-8cef001f2761</errorID>
      <errorWord>需具备</errorWord>
      <group>L1_Word</group>
      <groupName>字词问题</groupName>
      <ability>L2_Typo</ability>
      <abilityName>字词错误</abilityName>
      <candidateList>
        <item>须具备</item>
      </candidateList>
      <explain/>
      <paraID>3D58EF3D</paraID>
      <start>6</start>
      <end>9</end>
      <status>unmodified</status>
      <modifiedWord/>
      <trackRevisions>false</trackRevisions>
    </reviewItem>
    <reviewItem>
      <errorID>43f168b6-8178-4148-b8b8-97d48922cf88</errorID>
      <errorWord>公平性竞争审查</errorWord>
      <group>L1_Political</group>
      <groupName>政治性问题</groupName>
      <ability>L2_Keyword</ability>
      <abilityName>固定表述</abilityName>
      <candidateList>
        <item>公平竞争审查</item>
      </candidateList>
      <explain>词汇“公平竞争审查”在特定场景下为固定表述形式，请确认此处的“公平性竞争审查”是否存在不当。</explain>
      <paraID>6FE778FD</paraID>
      <start>4</start>
      <end>11</end>
      <status>unmodified</status>
      <modifiedWord/>
      <trackRevisions>false</trackRevisions>
    </reviewItem>
    <reviewItem>
      <errorID>c6b2456d-6f50-4d09-82f6-123076b9baad</errorID>
      <errorWord>碘131</errorWord>
      <group>L1_Word</group>
      <groupName>字词问题</groupName>
      <ability>L2_Typo</ability>
      <abilityName>字词错误</abilityName>
      <candidateList>
        <item>碘-131</item>
      </candidateList>
      <explain/>
      <paraID>4DA9C0D8</paraID>
      <start>10</start>
      <end>14</end>
      <status>unmodified</status>
      <modifiedWord/>
      <trackRevisions>false</trackRevisions>
    </reviewItem>
    <reviewItem>
      <errorID>6da77cd6-3d89-4c35-99a2-90a2ac5a7ca2</errorID>
      <errorWord>,</errorWord>
      <group>L1_Format</group>
      <groupName>格式问题</groupName>
      <ability>L2_HalfPunc</ability>
      <abilityName>全半角检查</abilityName>
      <candidateList>
        <item>，</item>
      </candidateList>
      <explain>文本全半角错误。</explain>
      <paraID> 45805E0</paraID>
      <start>24</start>
      <end>25</end>
      <status>unmodified</status>
      <modifiedWord/>
      <trackRevisions>false</trackRevisions>
    </reviewItem>
    <reviewItem>
      <errorID>bd26a40b-08e9-47ca-b5be-dd12851ecda1</errorID>
      <errorWord>国家标准管理委员会</errorWord>
      <group>L1_Political</group>
      <groupName>政治性问题</groupName>
      <ability>L2_Keyword</ability>
      <abilityName>固定表述</abilityName>
      <candidateList>
        <item>国家标准化管理委员会</item>
      </candidateList>
      <explain>词汇“国家标准化管理委员会”在特定场景下为固定表述形式，请确认此处的“国家标准管理委员会”是否存在不当。</explain>
      <paraID> 45805E0</paraID>
      <start>25</start>
      <end>34</end>
      <status>unmodified</status>
      <modifiedWord/>
      <trackRevisions>false</trackRevisions>
    </reviewItem>
    <reviewItem>
      <errorID>f51177c4-1871-461c-b2e2-091397de762b</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 45805E0</paraID>
      <start>35</start>
      <end>38</end>
      <status>unmodified</status>
      <modifiedWord/>
      <trackRevisions>false</trackRevisions>
    </reviewItem>
    <reviewItem>
      <errorID>2d84ae43-f2ff-421c-8239-0659a0c0ec8a</errorID>
      <errorWord>.</errorWord>
      <group>L1_Format</group>
      <groupName>格式问题</groupName>
      <ability>L2_HalfPunc</ability>
      <abilityName>全半角检查</abilityName>
      <candidateList>
        <item>。</item>
      </candidateList>
      <explain>文本全半角错误。</explain>
      <paraID> 7A6FDF7</paraID>
      <start>25</start>
      <end>26</end>
      <status>unmodified</status>
      <modifiedWord/>
      <trackRevisions>false</trackRevisions>
    </reviewItem>
    <reviewItem>
      <errorID>a3a3e428-c34d-4a9c-b73c-b55af21a87fe</errorID>
      <errorWord>,</errorWord>
      <group>L1_Format</group>
      <groupName>格式问题</groupName>
      <ability>L2_HalfPunc</ability>
      <abilityName>全半角检查</abilityName>
      <candidateList>
        <item>，</item>
      </candidateList>
      <explain>文本全半角错误。</explain>
      <paraID> 7A6FDF7</paraID>
      <start>59</start>
      <end>60</end>
      <status>unmodified</status>
      <modifiedWord/>
      <trackRevisions>false</trackRevisions>
    </reviewItem>
    <reviewItem>
      <errorID>2a67890a-f4ab-4ceb-928d-88f028d9f383</errorID>
      <errorWord>,</errorWord>
      <group>L1_Format</group>
      <groupName>格式问题</groupName>
      <ability>L2_HalfPunc</ability>
      <abilityName>全半角检查</abilityName>
      <candidateList>
        <item>，</item>
      </candidateList>
      <explain>文本全半角错误。</explain>
      <paraID>2C69A860</paraID>
      <start>5</start>
      <end>6</end>
      <status>unmodified</status>
      <modifiedWord/>
      <trackRevisions>false</trackRevisions>
    </reviewItem>
    <reviewItem>
      <errorID>31694be3-d2ef-4e36-8213-275b2b092ea7</errorID>
      <errorWord>,</errorWord>
      <group>L1_Format</group>
      <groupName>格式问题</groupName>
      <ability>L2_HalfPunc</ability>
      <abilityName>全半角检查</abilityName>
      <candidateList>
        <item>，</item>
      </candidateList>
      <explain>文本全半角错误。</explain>
      <paraID>2C69A860</paraID>
      <start>9</start>
      <end>10</end>
      <status>unmodified</status>
      <modifiedWord/>
      <trackRevisions>false</trackRevisions>
    </reviewItem>
    <reviewItem>
      <errorID>9d3c0a20-b376-4fa0-b91e-1a47b558f95a</errorID>
      <errorWord>,</errorWord>
      <group>L1_Format</group>
      <groupName>格式问题</groupName>
      <ability>L2_HalfPunc</ability>
      <abilityName>全半角检查</abilityName>
      <candidateList>
        <item>，</item>
      </candidateList>
      <explain>文本全半角错误。</explain>
      <paraID>2C69A860</paraID>
      <start>12</start>
      <end>13</end>
      <status>unmodified</status>
      <modifiedWord/>
      <trackRevisions>false</trackRevisions>
    </reviewItem>
    <reviewItem>
      <errorID>a8de7c47-c04a-4594-92a0-ebb11c199ba4</errorID>
      <errorWord>.</errorWord>
      <group>L1_Format</group>
      <groupName>格式问题</groupName>
      <ability>L2_HalfPunc</ability>
      <abilityName>全半角检查</abilityName>
      <candidateList>
        <item>。</item>
      </candidateList>
      <explain>文本全半角错误。</explain>
      <paraID>2C69A860</paraID>
      <start>14</start>
      <end>15</end>
      <status>unmodified</status>
      <modifiedWord/>
      <trackRevisions>false</trackRevisions>
    </reviewItem>
  </reviewItems>
  <config/>
</contractReview>
</file>

<file path=customXml/itemProps1.xml><?xml version="1.0" encoding="utf-8"?>
<ds:datastoreItem xmlns:ds="http://schemas.openxmlformats.org/officeDocument/2006/customXml" ds:itemID="{501db98c-5e0f-45fa-8e77-063b6247a125}">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1210</Words>
  <Characters>1252</Characters>
  <Lines>0</Lines>
  <Paragraphs>0</Paragraphs>
  <TotalTime>54</TotalTime>
  <ScaleCrop>false</ScaleCrop>
  <LinksUpToDate>false</LinksUpToDate>
  <CharactersWithSpaces>1333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2026-03-07T06:34:00Z</dcterms:created>
  <dc:creator>Administrator</dc:creator>
  <cp:lastModifiedBy>WPS_1675336700</cp:lastModifiedBy>
  <dcterms:modified xsi:type="dcterms:W3CDTF">2026-07-23T03:14:28Z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eyJoZGlkIjoiMTBiMjc2MGQ3ZTI1MWRhZjFlZTIwZjZmYmYxODNmMmUiLCJ1c2VySWQiOiIxNDcwOTE4MTA4In0=</vt:lpwstr>
  </property>
  <property fmtid="{D5CDD505-2E9C-101B-9397-08002B2CF9AE}" pid="4" name="ICV">
    <vt:lpwstr>4460431FA9BE403EB6A43657F3C40CB5_13</vt:lpwstr>
  </property>
</Properties>
</file>