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2A24" w14:textId="77777777" w:rsidR="004C606D" w:rsidRDefault="00000000">
      <w:pPr>
        <w:pStyle w:val="a7"/>
        <w:widowControl/>
        <w:spacing w:before="38" w:beforeAutospacing="0" w:after="38" w:afterAutospacing="0" w:line="225" w:lineRule="atLeast"/>
        <w:jc w:val="center"/>
        <w:rPr>
          <w:rStyle w:val="a8"/>
          <w:rFonts w:ascii="方正小标宋_GBK" w:eastAsia="方正小标宋_GBK" w:hAnsi="方正小标宋_GBK" w:cs="方正小标宋_GBK" w:hint="eastAsia"/>
          <w:b w:val="0"/>
          <w:bCs/>
          <w:color w:val="333333"/>
          <w:sz w:val="44"/>
          <w:szCs w:val="44"/>
        </w:rPr>
      </w:pPr>
      <w:r>
        <w:rPr>
          <w:rStyle w:val="a8"/>
          <w:rFonts w:ascii="方正小标宋_GBK" w:eastAsia="方正小标宋_GBK" w:hAnsi="方正小标宋_GBK" w:cs="方正小标宋_GBK" w:hint="eastAsia"/>
          <w:b w:val="0"/>
          <w:bCs/>
          <w:color w:val="333333"/>
          <w:sz w:val="44"/>
          <w:szCs w:val="44"/>
        </w:rPr>
        <w:t>海南省诊所备案管理暂行办法实施细则</w:t>
      </w:r>
    </w:p>
    <w:p w14:paraId="69BF8017" w14:textId="77777777" w:rsidR="004C606D" w:rsidRDefault="00000000">
      <w:pPr>
        <w:pStyle w:val="a7"/>
        <w:widowControl/>
        <w:spacing w:before="38" w:beforeAutospacing="0" w:after="38" w:afterAutospacing="0" w:line="225" w:lineRule="atLeast"/>
        <w:ind w:firstLine="420"/>
        <w:jc w:val="center"/>
        <w:rPr>
          <w:rStyle w:val="a8"/>
          <w:rFonts w:ascii="方正小标宋_GBK" w:eastAsia="方正小标宋_GBK" w:hAnsi="方正小标宋_GBK" w:cs="方正小标宋_GBK" w:hint="eastAsia"/>
          <w:b w:val="0"/>
          <w:bCs/>
          <w:color w:val="333333"/>
          <w:sz w:val="44"/>
          <w:szCs w:val="44"/>
        </w:rPr>
      </w:pPr>
      <w:r>
        <w:rPr>
          <w:rStyle w:val="a8"/>
          <w:rFonts w:ascii="方正小标宋_GBK" w:eastAsia="方正小标宋_GBK" w:hAnsi="方正小标宋_GBK" w:cs="方正小标宋_GBK" w:hint="eastAsia"/>
          <w:b w:val="0"/>
          <w:bCs/>
          <w:color w:val="333333"/>
          <w:sz w:val="44"/>
          <w:szCs w:val="44"/>
        </w:rPr>
        <w:t>（征求意见稿）</w:t>
      </w:r>
    </w:p>
    <w:p w14:paraId="72A1EA76" w14:textId="77777777" w:rsidR="004C606D" w:rsidRDefault="00000000">
      <w:pPr>
        <w:pStyle w:val="a7"/>
        <w:widowControl/>
        <w:spacing w:before="38" w:beforeAutospacing="0" w:after="38" w:afterAutospacing="0" w:line="225" w:lineRule="atLeast"/>
        <w:ind w:firstLine="420"/>
        <w:jc w:val="center"/>
        <w:rPr>
          <w:rFonts w:ascii="黑体" w:eastAsia="黑体" w:hAnsi="黑体" w:cs="仿宋_GB2312" w:hint="eastAsia"/>
          <w:b/>
          <w:bCs/>
          <w:color w:val="333333"/>
          <w:sz w:val="32"/>
          <w:szCs w:val="32"/>
        </w:rPr>
      </w:pPr>
      <w:r>
        <w:rPr>
          <w:rStyle w:val="a8"/>
          <w:rFonts w:ascii="黑体" w:eastAsia="黑体" w:hAnsi="黑体" w:cs="仿宋_GB2312" w:hint="eastAsia"/>
          <w:b w:val="0"/>
          <w:bCs/>
          <w:color w:val="333333"/>
          <w:sz w:val="32"/>
          <w:szCs w:val="32"/>
        </w:rPr>
        <w:t>第一章  </w:t>
      </w:r>
      <w:r>
        <w:rPr>
          <w:rStyle w:val="a8"/>
          <w:rFonts w:ascii="黑体" w:eastAsia="黑体" w:hAnsi="黑体" w:cs="黑体" w:hint="eastAsia"/>
          <w:b w:val="0"/>
          <w:bCs/>
          <w:color w:val="333333"/>
          <w:sz w:val="32"/>
          <w:szCs w:val="32"/>
        </w:rPr>
        <w:t>总</w:t>
      </w:r>
      <w:r>
        <w:rPr>
          <w:rStyle w:val="a8"/>
          <w:rFonts w:ascii="黑体" w:eastAsia="黑体" w:hAnsi="黑体" w:cs="仿宋_GB2312" w:hint="eastAsia"/>
          <w:b w:val="0"/>
          <w:bCs/>
          <w:color w:val="333333"/>
          <w:sz w:val="32"/>
          <w:szCs w:val="32"/>
        </w:rPr>
        <w:t>  </w:t>
      </w:r>
      <w:r>
        <w:rPr>
          <w:rStyle w:val="a8"/>
          <w:rFonts w:ascii="黑体" w:eastAsia="黑体" w:hAnsi="黑体" w:cs="黑体" w:hint="eastAsia"/>
          <w:b w:val="0"/>
          <w:bCs/>
          <w:color w:val="333333"/>
          <w:sz w:val="32"/>
          <w:szCs w:val="32"/>
        </w:rPr>
        <w:t>则</w:t>
      </w:r>
    </w:p>
    <w:p w14:paraId="48ACB79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一条  为做好诊所备案管理工作，根据《中华人民共和国基本医疗卫生与健康促进法》《中华人民共和国医师法》《医疗机构管理条例》《诊所备案管理暂行办法》等法律法规和规定，结合海南省实际情况，制定本办法。</w:t>
      </w:r>
    </w:p>
    <w:p w14:paraId="250BE61D"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条  诊所是为患者提供门诊诊断和治疗的医疗机构，主要提供常见病和多发病的诊疗服务，不设住院病床（产床）。本办法适用于在全省范围内设置的诊所，不含按照《中医诊所备案管理暂行办法》有关规定进行备案的中医诊所。</w:t>
      </w:r>
    </w:p>
    <w:p w14:paraId="54879A3C"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第三条</w:t>
      </w:r>
      <w:r>
        <w:rPr>
          <w:rFonts w:ascii="仿宋_GB2312" w:eastAsia="仿宋_GB2312" w:hAnsi="仿宋_GB2312" w:cs="仿宋_GB2312"/>
          <w:color w:val="333333"/>
          <w:sz w:val="32"/>
          <w:szCs w:val="32"/>
        </w:rPr>
        <w:t>  </w:t>
      </w:r>
      <w:r>
        <w:rPr>
          <w:rFonts w:ascii="仿宋_GB2312" w:eastAsia="仿宋_GB2312" w:hAnsi="仿宋_GB2312" w:cs="仿宋_GB2312" w:hint="eastAsia"/>
          <w:color w:val="333333"/>
          <w:sz w:val="32"/>
          <w:szCs w:val="32"/>
        </w:rPr>
        <w:t>海南省卫生健康委员会和海南省中医药管理局负责指导全省诊所的备案管理工作；各市县卫生健康行政部门负责本行政区域内诊所的备案工作及监督管理工作。</w:t>
      </w:r>
    </w:p>
    <w:p w14:paraId="7134D65F" w14:textId="77777777" w:rsidR="004C606D" w:rsidRDefault="00000000">
      <w:pPr>
        <w:pStyle w:val="a7"/>
        <w:widowControl/>
        <w:spacing w:before="38" w:beforeAutospacing="0" w:after="38" w:afterAutospacing="0" w:line="225" w:lineRule="atLeast"/>
        <w:ind w:firstLine="420"/>
        <w:jc w:val="center"/>
        <w:rPr>
          <w:rFonts w:ascii="黑体" w:eastAsia="黑体" w:hAnsi="黑体" w:cs="仿宋_GB2312" w:hint="eastAsia"/>
          <w:b/>
          <w:bCs/>
          <w:color w:val="333333"/>
          <w:sz w:val="32"/>
          <w:szCs w:val="32"/>
        </w:rPr>
      </w:pPr>
      <w:r>
        <w:rPr>
          <w:rStyle w:val="a8"/>
          <w:rFonts w:ascii="黑体" w:eastAsia="黑体" w:hAnsi="黑体" w:cs="仿宋_GB2312" w:hint="eastAsia"/>
          <w:b w:val="0"/>
          <w:bCs/>
          <w:color w:val="333333"/>
          <w:sz w:val="32"/>
          <w:szCs w:val="32"/>
        </w:rPr>
        <w:t>第二章 </w:t>
      </w:r>
      <w:r>
        <w:rPr>
          <w:rStyle w:val="a8"/>
          <w:rFonts w:ascii="黑体" w:eastAsia="黑体" w:hAnsi="黑体" w:cs="黑体" w:hint="eastAsia"/>
          <w:b w:val="0"/>
          <w:bCs/>
          <w:color w:val="333333"/>
          <w:sz w:val="32"/>
          <w:szCs w:val="32"/>
        </w:rPr>
        <w:t>备</w:t>
      </w:r>
      <w:r>
        <w:rPr>
          <w:rStyle w:val="a8"/>
          <w:rFonts w:ascii="黑体" w:eastAsia="黑体" w:hAnsi="黑体" w:cs="仿宋_GB2312" w:hint="eastAsia"/>
          <w:b w:val="0"/>
          <w:bCs/>
          <w:color w:val="333333"/>
          <w:sz w:val="32"/>
          <w:szCs w:val="32"/>
        </w:rPr>
        <w:t> </w:t>
      </w:r>
      <w:r>
        <w:rPr>
          <w:rStyle w:val="a8"/>
          <w:rFonts w:ascii="黑体" w:eastAsia="黑体" w:hAnsi="黑体" w:cs="黑体" w:hint="eastAsia"/>
          <w:b w:val="0"/>
          <w:bCs/>
          <w:color w:val="333333"/>
          <w:sz w:val="32"/>
          <w:szCs w:val="32"/>
        </w:rPr>
        <w:t>案</w:t>
      </w:r>
    </w:p>
    <w:p w14:paraId="1310EDE8"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第四条  单位或者个人设置诊所应当报拟设置诊所所在地县级卫生健康行政部门备案，取得诊所备案凭证后方可开展执业活动。</w:t>
      </w:r>
    </w:p>
    <w:p w14:paraId="0B838645"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第五条  设置诊所应当同时具备下列条件：</w:t>
      </w:r>
    </w:p>
    <w:p w14:paraId="4FC2C641" w14:textId="77777777" w:rsidR="004C606D" w:rsidRDefault="00000000">
      <w:pPr>
        <w:pStyle w:val="a7"/>
        <w:widowControl/>
        <w:numPr>
          <w:ilvl w:val="0"/>
          <w:numId w:val="1"/>
        </w:numPr>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lastRenderedPageBreak/>
        <w:t>个人设置诊所的，须经注册后在医疗卫生机构中执业满五年</w:t>
      </w:r>
      <w:r>
        <w:rPr>
          <w:rFonts w:ascii="仿宋_GB2312" w:eastAsia="仿宋_GB2312" w:hAnsi="仿宋_GB2312" w:cs="仿宋_GB2312" w:hint="eastAsia"/>
          <w:color w:val="333333"/>
          <w:sz w:val="32"/>
          <w:szCs w:val="32"/>
          <w:lang w:eastAsia="zh"/>
        </w:rPr>
        <w:t>，诊所完成备案后，应将该诊所变更为其主执业机构</w:t>
      </w:r>
      <w:r>
        <w:rPr>
          <w:rFonts w:ascii="仿宋_GB2312" w:eastAsia="仿宋_GB2312" w:hAnsi="仿宋_GB2312" w:cs="仿宋_GB2312" w:hint="eastAsia"/>
          <w:color w:val="333333"/>
          <w:sz w:val="32"/>
          <w:szCs w:val="32"/>
        </w:rPr>
        <w:t>；单位设置诊所的，诊所主要负责人应当符合上述要求。</w:t>
      </w:r>
    </w:p>
    <w:p w14:paraId="7E3C867F" w14:textId="77777777" w:rsidR="004C606D" w:rsidRDefault="00000000">
      <w:pPr>
        <w:pStyle w:val="a7"/>
        <w:widowControl/>
        <w:spacing w:before="38" w:beforeAutospacing="0" w:after="38" w:afterAutospacing="0" w:line="225" w:lineRule="atLeast"/>
        <w:ind w:left="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（二）符合诊所基本标准。此外，还需符合以下条件：</w:t>
      </w:r>
    </w:p>
    <w:p w14:paraId="7300C300"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1.选址合理，与周围托幼机构、中小学校、食品生产经营单位直线距离不少于50米，与已设置的诊所直线距离大于200米。</w:t>
      </w:r>
    </w:p>
    <w:p w14:paraId="7F45C36B" w14:textId="438A9A2C"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2.房屋应为医疗卫生、商业、店铺</w:t>
      </w:r>
      <w:r>
        <w:rPr>
          <w:rFonts w:ascii="仿宋_GB2312" w:eastAsia="仿宋_GB2312" w:hAnsi="仿宋_GB2312" w:cs="仿宋_GB2312" w:hint="eastAsia"/>
          <w:color w:val="FF0000"/>
          <w:sz w:val="32"/>
          <w:szCs w:val="32"/>
        </w:rPr>
        <w:t>等用途</w:t>
      </w:r>
      <w:r>
        <w:rPr>
          <w:rFonts w:ascii="仿宋_GB2312" w:eastAsia="仿宋_GB2312" w:hAnsi="仿宋_GB2312" w:cs="仿宋_GB2312" w:hint="eastAsia"/>
          <w:color w:val="333333"/>
          <w:sz w:val="32"/>
          <w:szCs w:val="32"/>
        </w:rPr>
        <w:t>合法合规建筑，符合消防安全、环评要求。</w:t>
      </w:r>
    </w:p>
    <w:p w14:paraId="3266D9C8"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3.诊所清洁区、污染区等设置符合院感要求，室内墙壁、地面、家具、医疗设备不能存在明显霉斑。</w:t>
      </w:r>
    </w:p>
    <w:p w14:paraId="2EBD9584"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4.最多可设置4个诊疗科目，诊疗科目必须与医师执业范围相对应（执业医师只能注册1个执业类别，且为主执业</w:t>
      </w:r>
      <w:r>
        <w:rPr>
          <w:rFonts w:ascii="仿宋_GB2312" w:eastAsia="仿宋_GB2312" w:hAnsi="仿宋_GB2312" w:cs="仿宋_GB2312" w:hint="eastAsia"/>
          <w:color w:val="333333"/>
          <w:sz w:val="32"/>
          <w:szCs w:val="32"/>
          <w:lang w:eastAsia="zh"/>
        </w:rPr>
        <w:t>机构</w:t>
      </w:r>
      <w:r>
        <w:rPr>
          <w:rFonts w:ascii="仿宋_GB2312" w:eastAsia="仿宋_GB2312" w:hAnsi="仿宋_GB2312" w:cs="仿宋_GB2312" w:hint="eastAsia"/>
          <w:color w:val="333333"/>
          <w:sz w:val="32"/>
          <w:szCs w:val="32"/>
        </w:rPr>
        <w:t>）。</w:t>
      </w:r>
    </w:p>
    <w:p w14:paraId="3A1DA3D9"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5.每增加1名执业医师，需增设1间诊室，建筑面积增加不少于15平方米，使用面积增加不少于10平方米。</w:t>
      </w:r>
    </w:p>
    <w:p w14:paraId="1E238CD5"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6.配备医用冰箱或药品阴凉柜。</w:t>
      </w:r>
    </w:p>
    <w:p w14:paraId="54DE886A"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7.部署使用药品追溯码系统，门诊电子病历系统与三医联动一张网平台对接，及时上传诊疗活动等相关信息，主动接受监督。</w:t>
      </w:r>
    </w:p>
    <w:p w14:paraId="78243DD2"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lastRenderedPageBreak/>
        <w:t>（三）诊所名称应符合《医疗机构管理条例》《医疗机构管理条例实施细则》《关于进一步规范医疗机构名称管理工作的通知》（国卫办医函〔2020〕611号）等关于医疗机构命名的有关要求，不得使用可能产生歧义或者误导患者的名称，不得利用谐音、形容词等模仿或者暗示其他医疗机构的名称；</w:t>
      </w:r>
    </w:p>
    <w:p w14:paraId="21649009"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（四）能够独立承担民事责任。</w:t>
      </w:r>
    </w:p>
    <w:p w14:paraId="29F66EBB"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《医疗机构管理条例实施细则》规定不得申请设置医疗机构的单位和个人，不得设置诊所。</w:t>
      </w:r>
    </w:p>
    <w:p w14:paraId="6E02BE05"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第六条  诊所开展输液、抗生素注射等存在一定医疗安全风险技术的，除符合第五条规定以外，还应当同时具备下列条件：</w:t>
      </w:r>
    </w:p>
    <w:p w14:paraId="7A40A798"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（一）有1名具有主治医师以上专业技术职务任职资格、主执业</w:t>
      </w:r>
      <w:r>
        <w:rPr>
          <w:rFonts w:ascii="仿宋_GB2312" w:eastAsia="仿宋_GB2312" w:hAnsi="仿宋_GB2312" w:cs="仿宋_GB2312" w:hint="eastAsia"/>
          <w:color w:val="333333"/>
          <w:sz w:val="32"/>
          <w:szCs w:val="32"/>
          <w:lang w:eastAsia="zh"/>
        </w:rPr>
        <w:t>机构</w:t>
      </w:r>
      <w:r>
        <w:rPr>
          <w:rFonts w:ascii="仿宋_GB2312" w:eastAsia="仿宋_GB2312" w:hAnsi="仿宋_GB2312" w:cs="仿宋_GB2312" w:hint="eastAsia"/>
          <w:color w:val="333333"/>
          <w:sz w:val="32"/>
          <w:szCs w:val="32"/>
        </w:rPr>
        <w:t>在本诊所的医师。</w:t>
      </w:r>
    </w:p>
    <w:p w14:paraId="1D6A7412"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（二）该主治医师常年在本诊所执业，开展诊疗活动。</w:t>
      </w:r>
    </w:p>
    <w:p w14:paraId="17F3A824"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（三）配备氧气瓶与呼吸面罩、心电监护仪、除颤器（AED）、吸引器等必要的急救设备和心电图、输液泵等基础医疗设备。</w:t>
      </w:r>
    </w:p>
    <w:p w14:paraId="79861922"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highlight w:val="green"/>
        </w:rPr>
      </w:pPr>
      <w:r>
        <w:rPr>
          <w:rFonts w:ascii="仿宋_GB2312" w:eastAsia="仿宋_GB2312" w:hAnsi="仿宋_GB2312" w:cs="仿宋_GB2312" w:hint="eastAsia"/>
          <w:color w:val="333333"/>
          <w:sz w:val="32"/>
          <w:szCs w:val="32"/>
        </w:rPr>
        <w:t>（四）至少配备《诊所急救药品目录》内的急救药品。</w:t>
      </w:r>
    </w:p>
    <w:p w14:paraId="287F2610" w14:textId="77777777" w:rsidR="004C606D" w:rsidRDefault="00000000">
      <w:pPr>
        <w:pStyle w:val="a7"/>
        <w:widowControl/>
        <w:spacing w:before="38" w:beforeAutospacing="0" w:after="38" w:afterAutospacing="0" w:line="225" w:lineRule="atLeast"/>
        <w:ind w:firstLineChars="200" w:firstLine="64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（五）全体医护人员熟练掌握</w:t>
      </w:r>
      <w:r>
        <w:rPr>
          <w:rFonts w:ascii="仿宋_GB2312" w:eastAsia="仿宋_GB2312" w:hAnsi="仿宋_GB2312" w:cs="仿宋_GB2312" w:hint="eastAsia"/>
          <w:sz w:val="32"/>
          <w:szCs w:val="32"/>
        </w:rPr>
        <w:t>心肺复苏、气管插管等</w:t>
      </w:r>
      <w:r>
        <w:rPr>
          <w:rFonts w:ascii="仿宋_GB2312" w:eastAsia="仿宋_GB2312" w:hAnsi="仿宋_GB2312" w:cs="仿宋_GB2312" w:hint="eastAsia"/>
          <w:color w:val="333333"/>
          <w:sz w:val="32"/>
          <w:szCs w:val="32"/>
        </w:rPr>
        <w:t>急救技能并通过市县卫生健康行政部门组织的考核。</w:t>
      </w:r>
    </w:p>
    <w:p w14:paraId="30E3FF44"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lastRenderedPageBreak/>
        <w:t>第</w:t>
      </w:r>
      <w:r>
        <w:rPr>
          <w:rFonts w:ascii="仿宋_GB2312" w:eastAsia="仿宋_GB2312" w:hAnsi="仿宋_GB2312" w:cs="仿宋_GB2312" w:hint="eastAsia"/>
          <w:color w:val="333333"/>
          <w:sz w:val="32"/>
          <w:szCs w:val="32"/>
          <w:lang w:eastAsia="zh"/>
        </w:rPr>
        <w:t>七</w:t>
      </w:r>
      <w:r>
        <w:rPr>
          <w:rFonts w:ascii="仿宋_GB2312" w:eastAsia="仿宋_GB2312" w:hAnsi="仿宋_GB2312" w:cs="仿宋_GB2312" w:hint="eastAsia"/>
          <w:color w:val="333333"/>
          <w:sz w:val="32"/>
          <w:szCs w:val="32"/>
        </w:rPr>
        <w:t>条  诊所备案提交下列材料：</w:t>
      </w:r>
    </w:p>
    <w:p w14:paraId="35C4AA2C"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（一）诊所备案基本信息。</w:t>
      </w:r>
    </w:p>
    <w:p w14:paraId="54C124FD"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（二）诊所房屋平面布局图（指诊所使用房屋按照比例标识，注明功能分布和面积大小）。</w:t>
      </w:r>
    </w:p>
    <w:p w14:paraId="10B4D0EF"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（三）诊所用房产权证件或租赁使用合同，消防、环评验收证明。</w:t>
      </w:r>
    </w:p>
    <w:p w14:paraId="03C01E32"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（四）诊所法定代表人、主要负责人有效身份证明和有关资格证书、执业证书复印件。</w:t>
      </w:r>
    </w:p>
    <w:p w14:paraId="7C530E92"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（五）其他卫生技术人员名录、有效身份证明和有关资格证书、执业证书复印件。</w:t>
      </w:r>
    </w:p>
    <w:p w14:paraId="1962EFE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（六）诊所规章制度。</w:t>
      </w:r>
    </w:p>
    <w:p w14:paraId="039A23F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（七）诊所仪器设备清单。</w:t>
      </w:r>
    </w:p>
    <w:p w14:paraId="4B61C924"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（八）附设药房（柜）的药品种类清单。</w:t>
      </w:r>
    </w:p>
    <w:p w14:paraId="016E35D6"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（九）诊所的污水、污物、粪便处理方案，诊所周边环境情况说明。</w:t>
      </w:r>
    </w:p>
    <w:p w14:paraId="7C13F85A"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（十）诊所信息系统情况说明（包括但不限于建设单位、项目功能、硬件配置、使用流程</w:t>
      </w:r>
      <w:r w:rsidRPr="00822B68">
        <w:rPr>
          <w:rFonts w:ascii="仿宋_GB2312" w:eastAsia="仿宋_GB2312" w:hAnsi="仿宋_GB2312" w:cs="仿宋_GB2312" w:hint="eastAsia"/>
          <w:sz w:val="32"/>
          <w:szCs w:val="32"/>
        </w:rPr>
        <w:t>、等保情况及</w:t>
      </w:r>
      <w:r>
        <w:rPr>
          <w:rFonts w:ascii="仿宋_GB2312" w:eastAsia="仿宋_GB2312" w:hAnsi="仿宋_GB2312" w:cs="仿宋_GB2312" w:hint="eastAsia"/>
          <w:color w:val="333333"/>
          <w:sz w:val="32"/>
          <w:szCs w:val="32"/>
        </w:rPr>
        <w:t>是否接入三医联动一张网平台等）。</w:t>
      </w:r>
    </w:p>
    <w:p w14:paraId="252B9BF2"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（十一）法人或其他组织设置诊所的，还应当提供法人或其他组织的资质证明、法定代表人身份证明或者其他组织代表人身份证明。</w:t>
      </w:r>
    </w:p>
    <w:p w14:paraId="150A4CB0"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lastRenderedPageBreak/>
        <w:t>（十二）按照法律法规要求提供的其他相关材料。</w:t>
      </w:r>
    </w:p>
    <w:p w14:paraId="472CB12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w:t>
      </w:r>
      <w:r>
        <w:rPr>
          <w:rFonts w:ascii="仿宋_GB2312" w:eastAsia="仿宋_GB2312" w:hAnsi="仿宋_GB2312" w:cs="仿宋_GB2312" w:hint="eastAsia"/>
          <w:color w:val="333333"/>
          <w:sz w:val="32"/>
          <w:szCs w:val="32"/>
          <w:lang w:eastAsia="zh"/>
        </w:rPr>
        <w:t>八</w:t>
      </w:r>
      <w:r>
        <w:rPr>
          <w:rFonts w:ascii="仿宋_GB2312" w:eastAsia="仿宋_GB2312" w:hAnsi="仿宋_GB2312" w:cs="仿宋_GB2312" w:hint="eastAsia"/>
          <w:color w:val="333333"/>
          <w:sz w:val="32"/>
          <w:szCs w:val="32"/>
        </w:rPr>
        <w:t>条  备案人应当如实提供有关材料和反映真实情况，并对其备案材料实质内容的真实性负责。</w:t>
      </w:r>
    </w:p>
    <w:p w14:paraId="18946435"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highlight w:val="yellow"/>
        </w:rPr>
      </w:pPr>
      <w:r>
        <w:rPr>
          <w:rFonts w:ascii="仿宋_GB2312" w:eastAsia="仿宋_GB2312" w:hAnsi="仿宋_GB2312" w:cs="仿宋_GB2312" w:hint="eastAsia"/>
          <w:color w:val="333333"/>
          <w:sz w:val="32"/>
          <w:szCs w:val="32"/>
        </w:rPr>
        <w:t>第</w:t>
      </w:r>
      <w:r>
        <w:rPr>
          <w:rFonts w:ascii="仿宋_GB2312" w:eastAsia="仿宋_GB2312" w:hAnsi="仿宋_GB2312" w:cs="仿宋_GB2312" w:hint="eastAsia"/>
          <w:color w:val="333333"/>
          <w:sz w:val="32"/>
          <w:szCs w:val="32"/>
          <w:lang w:eastAsia="zh"/>
        </w:rPr>
        <w:t>九</w:t>
      </w:r>
      <w:r>
        <w:rPr>
          <w:rFonts w:ascii="仿宋_GB2312" w:eastAsia="仿宋_GB2312" w:hAnsi="仿宋_GB2312" w:cs="仿宋_GB2312" w:hint="eastAsia"/>
          <w:color w:val="333333"/>
          <w:sz w:val="32"/>
          <w:szCs w:val="32"/>
        </w:rPr>
        <w:t>条 县级卫生健康行政部门收到备案材料后，对材料齐全且符合备案要求的予以备案，当场发放诊所备案凭证；材料不全或者不符合备案要求的，应当当场或者在收到备案材料之日起5日内一次性告知备案人需要补正的全部材料。</w:t>
      </w:r>
    </w:p>
    <w:p w14:paraId="0FD50C9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w:t>
      </w:r>
      <w:r>
        <w:rPr>
          <w:rFonts w:ascii="仿宋_GB2312" w:eastAsia="仿宋_GB2312" w:hAnsi="仿宋_GB2312" w:cs="仿宋_GB2312" w:hint="eastAsia"/>
          <w:color w:val="333333"/>
          <w:sz w:val="32"/>
          <w:szCs w:val="32"/>
          <w:lang w:eastAsia="zh"/>
        </w:rPr>
        <w:t>十</w:t>
      </w:r>
      <w:r>
        <w:rPr>
          <w:rFonts w:ascii="仿宋_GB2312" w:eastAsia="仿宋_GB2312" w:hAnsi="仿宋_GB2312" w:cs="仿宋_GB2312" w:hint="eastAsia"/>
          <w:color w:val="333333"/>
          <w:sz w:val="32"/>
          <w:szCs w:val="32"/>
        </w:rPr>
        <w:t>条 诊所应当将诊所备案凭证、卫生技术人员执业注册信息在诊所的明显位置公示，接受社会监督。</w:t>
      </w:r>
    </w:p>
    <w:p w14:paraId="7B50AD55"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一</w:t>
      </w:r>
      <w:r>
        <w:rPr>
          <w:rFonts w:ascii="仿宋_GB2312" w:eastAsia="仿宋_GB2312" w:hAnsi="仿宋_GB2312" w:cs="仿宋_GB2312" w:hint="eastAsia"/>
          <w:color w:val="333333"/>
          <w:sz w:val="32"/>
          <w:szCs w:val="32"/>
        </w:rPr>
        <w:t>条  诊所的名称、地址、法定代表人或者主要负责人、所有制形式、诊疗科目、服务方式等实际设置应当与诊所备案凭证记载事项相一致，以上备案信息发生变动的，必须向原备案机关申请备案。</w:t>
      </w:r>
    </w:p>
    <w:p w14:paraId="611683B9"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二</w:t>
      </w:r>
      <w:r>
        <w:rPr>
          <w:rFonts w:ascii="仿宋_GB2312" w:eastAsia="仿宋_GB2312" w:hAnsi="仿宋_GB2312" w:cs="仿宋_GB2312" w:hint="eastAsia"/>
          <w:color w:val="333333"/>
          <w:sz w:val="32"/>
          <w:szCs w:val="32"/>
        </w:rPr>
        <w:t>条  诊所办理变更备案的事项，应向原备案机关提交以下材料：</w:t>
      </w:r>
    </w:p>
    <w:p w14:paraId="37C8352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（一）变更备案的事项说明。</w:t>
      </w:r>
    </w:p>
    <w:p w14:paraId="16AB4CE5"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（二）变更执业地址的，应提交新址的房屋平面布局图、用房产权证件和租赁使用合同。</w:t>
      </w:r>
    </w:p>
    <w:p w14:paraId="44B1A41D"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（三）变更法定代表人的，应提交人员身份证明；变更主要负责人的，应提交人员身份证明、资格证书、执业证书。</w:t>
      </w:r>
    </w:p>
    <w:p w14:paraId="6DF1CBD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lastRenderedPageBreak/>
        <w:t>（四）变更诊疗科目的，应提交诊所平面布局图</w:t>
      </w:r>
      <w:r>
        <w:rPr>
          <w:rFonts w:ascii="仿宋_GB2312" w:eastAsia="仿宋_GB2312" w:hAnsi="仿宋_GB2312" w:cs="仿宋_GB2312" w:hint="eastAsia"/>
          <w:sz w:val="32"/>
          <w:szCs w:val="32"/>
        </w:rPr>
        <w:t>（标明新</w:t>
      </w:r>
      <w:r>
        <w:rPr>
          <w:rFonts w:ascii="仿宋_GB2312" w:eastAsia="仿宋_GB2312" w:hAnsi="仿宋_GB2312" w:cs="仿宋_GB2312" w:hint="eastAsia"/>
          <w:color w:val="333333"/>
          <w:sz w:val="32"/>
          <w:szCs w:val="32"/>
        </w:rPr>
        <w:t>增诊疗科目用房位置）、拟在该诊疗科目执业的卫生技术人员名录、资格证书、执业证书和有效身份证明、拟开展诊疗科目的设备情况、相关规章制度目录。</w:t>
      </w:r>
    </w:p>
    <w:p w14:paraId="7025F91A"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（五）变更牙椅数量的，应提交标明牙椅所在位置的设计平面图、拟执业的卫生技术人员名录、资格证书、执业证书和职称证明、设备配备情况。</w:t>
      </w:r>
    </w:p>
    <w:p w14:paraId="7BD2605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highlight w:val="green"/>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三</w:t>
      </w:r>
      <w:r>
        <w:rPr>
          <w:rFonts w:ascii="仿宋_GB2312" w:eastAsia="仿宋_GB2312" w:hAnsi="仿宋_GB2312" w:cs="仿宋_GB2312" w:hint="eastAsia"/>
          <w:color w:val="333333"/>
          <w:sz w:val="32"/>
          <w:szCs w:val="32"/>
        </w:rPr>
        <w:t>条 诊所应当按照《医疗机构管理条例》等有关法规规定的要求开展执业活动。</w:t>
      </w:r>
    </w:p>
    <w:p w14:paraId="50C6DA39"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四</w:t>
      </w:r>
      <w:r>
        <w:rPr>
          <w:rFonts w:ascii="仿宋_GB2312" w:eastAsia="仿宋_GB2312" w:hAnsi="仿宋_GB2312" w:cs="仿宋_GB2312" w:hint="eastAsia"/>
          <w:color w:val="333333"/>
          <w:sz w:val="32"/>
          <w:szCs w:val="32"/>
        </w:rPr>
        <w:t>条  诊所歇业，必须向原备案机关备案。</w:t>
      </w:r>
    </w:p>
    <w:p w14:paraId="77AE96D8"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highlight w:val="yellow"/>
        </w:rPr>
      </w:pPr>
      <w:r>
        <w:rPr>
          <w:rFonts w:ascii="仿宋_GB2312" w:eastAsia="仿宋_GB2312" w:hAnsi="仿宋_GB2312" w:cs="仿宋_GB2312" w:hint="eastAsia"/>
          <w:color w:val="333333"/>
          <w:sz w:val="32"/>
          <w:szCs w:val="32"/>
        </w:rPr>
        <w:t>诊所非因改建、扩建、迁建原因停业超过1年的，视为歇业。</w:t>
      </w:r>
    </w:p>
    <w:p w14:paraId="7FDDCA0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highlight w:val="yellow"/>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五</w:t>
      </w:r>
      <w:r>
        <w:rPr>
          <w:rFonts w:ascii="仿宋_GB2312" w:eastAsia="仿宋_GB2312" w:hAnsi="仿宋_GB2312" w:cs="仿宋_GB2312" w:hint="eastAsia"/>
          <w:color w:val="333333"/>
          <w:sz w:val="32"/>
          <w:szCs w:val="32"/>
        </w:rPr>
        <w:t>条 诊所备案凭证不得伪造、涂改、出卖、转让、出借。诊所备案凭证遗失的，应当及时申明，并向原备案机关申请补发。</w:t>
      </w:r>
    </w:p>
    <w:p w14:paraId="7A9BC481"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六</w:t>
      </w:r>
      <w:r>
        <w:rPr>
          <w:rFonts w:ascii="仿宋_GB2312" w:eastAsia="仿宋_GB2312" w:hAnsi="仿宋_GB2312" w:cs="仿宋_GB2312" w:hint="eastAsia"/>
          <w:color w:val="333333"/>
          <w:sz w:val="32"/>
          <w:szCs w:val="32"/>
        </w:rPr>
        <w:t>条  诊所应当按照备案的诊疗科目开展诊疗活动，并加强对工作人员、诊疗活动、医疗质量、医疗安全等方面的管理。开展医疗技术服务应当符合《医疗技术临床应用管理办法》的有关规定。</w:t>
      </w:r>
    </w:p>
    <w:p w14:paraId="44CE8CF6"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诊所未经备案，不得开展诊疗活动。</w:t>
      </w:r>
    </w:p>
    <w:p w14:paraId="43029C3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highlight w:val="yellow"/>
        </w:rPr>
      </w:pPr>
      <w:r>
        <w:rPr>
          <w:rFonts w:ascii="仿宋_GB2312" w:eastAsia="仿宋_GB2312" w:hAnsi="仿宋_GB2312" w:cs="仿宋_GB2312" w:hint="eastAsia"/>
          <w:color w:val="333333"/>
          <w:sz w:val="32"/>
          <w:szCs w:val="32"/>
        </w:rPr>
        <w:lastRenderedPageBreak/>
        <w:t>第十</w:t>
      </w:r>
      <w:r>
        <w:rPr>
          <w:rFonts w:ascii="仿宋_GB2312" w:eastAsia="仿宋_GB2312" w:hAnsi="仿宋_GB2312" w:cs="仿宋_GB2312" w:hint="eastAsia"/>
          <w:color w:val="333333"/>
          <w:sz w:val="32"/>
          <w:szCs w:val="32"/>
          <w:lang w:eastAsia="zh"/>
        </w:rPr>
        <w:t>七</w:t>
      </w:r>
      <w:r>
        <w:rPr>
          <w:rFonts w:ascii="仿宋_GB2312" w:eastAsia="仿宋_GB2312" w:hAnsi="仿宋_GB2312" w:cs="仿宋_GB2312" w:hint="eastAsia"/>
          <w:color w:val="333333"/>
          <w:sz w:val="32"/>
          <w:szCs w:val="32"/>
        </w:rPr>
        <w:t>条  诊所应当严格遵守《中华人民共和国传染病防治法》等法律法规关于医疗机构感染预防与控制的有关规定。</w:t>
      </w:r>
    </w:p>
    <w:p w14:paraId="562F1A68"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八</w:t>
      </w:r>
      <w:r>
        <w:rPr>
          <w:rFonts w:ascii="仿宋_GB2312" w:eastAsia="仿宋_GB2312" w:hAnsi="仿宋_GB2312" w:cs="仿宋_GB2312" w:hint="eastAsia"/>
          <w:color w:val="333333"/>
          <w:sz w:val="32"/>
          <w:szCs w:val="32"/>
        </w:rPr>
        <w:t>条  诊所应当严格遵守《医疗机构消防安全管理九项规定（2020年版）》等关于消防安全的有关规定。</w:t>
      </w:r>
    </w:p>
    <w:p w14:paraId="6814E55D" w14:textId="77777777" w:rsidR="004C606D" w:rsidRDefault="00000000">
      <w:pPr>
        <w:pStyle w:val="a7"/>
        <w:widowControl/>
        <w:spacing w:before="38" w:beforeAutospacing="0" w:after="38" w:afterAutospacing="0" w:line="225" w:lineRule="atLeast"/>
        <w:jc w:val="center"/>
        <w:rPr>
          <w:rFonts w:ascii="黑体" w:eastAsia="黑体" w:hAnsi="黑体" w:cs="黑体" w:hint="eastAsia"/>
          <w:color w:val="333333"/>
          <w:sz w:val="32"/>
          <w:szCs w:val="32"/>
        </w:rPr>
      </w:pPr>
      <w:r>
        <w:rPr>
          <w:rFonts w:ascii="黑体" w:eastAsia="黑体" w:hAnsi="黑体" w:cs="黑体" w:hint="eastAsia"/>
          <w:color w:val="333333"/>
          <w:sz w:val="32"/>
          <w:szCs w:val="32"/>
        </w:rPr>
        <w:t>第三章  执业</w:t>
      </w:r>
    </w:p>
    <w:p w14:paraId="04B01BF9"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第十</w:t>
      </w:r>
      <w:r>
        <w:rPr>
          <w:rFonts w:ascii="仿宋_GB2312" w:eastAsia="仿宋_GB2312" w:hAnsi="仿宋_GB2312" w:cs="仿宋_GB2312" w:hint="eastAsia"/>
          <w:color w:val="333333"/>
          <w:sz w:val="32"/>
          <w:szCs w:val="32"/>
          <w:lang w:eastAsia="zh"/>
        </w:rPr>
        <w:t>九</w:t>
      </w:r>
      <w:r>
        <w:rPr>
          <w:rFonts w:ascii="仿宋_GB2312" w:eastAsia="仿宋_GB2312" w:hAnsi="仿宋_GB2312" w:cs="仿宋_GB2312" w:hint="eastAsia"/>
          <w:color w:val="333333"/>
          <w:sz w:val="32"/>
          <w:szCs w:val="32"/>
        </w:rPr>
        <w:t>条  诊所应当按照登记的诊疗科目开展诊疗活动，不得开展外科手术。</w:t>
      </w:r>
    </w:p>
    <w:p w14:paraId="732DC43E"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开展输液活动的，医师应当采用相关检查检验技术对患者进行充分评估，排除心脏疾病、过敏体质等危险因素。输液必须严格掌握静脉输液使用指征，减少不必要静脉输液，要遵从“能口服就不注射，能肌肉注射就不静脉注射”的用药原则，只有在患者出现吞咽困难、严重吸收障碍（如呕吐、严重腹泻等），以及出现病情危重，发展迅速，药物在组织中已达到高浓度需紧急处理这三种情况下才使用静脉输液。对于违反国家</w:t>
      </w:r>
      <w:r>
        <w:rPr>
          <w:rFonts w:ascii="仿宋_GB2312" w:eastAsia="仿宋_GB2312" w:hAnsi="仿宋_GB2312" w:cs="仿宋_GB2312"/>
          <w:sz w:val="32"/>
          <w:szCs w:val="32"/>
        </w:rPr>
        <w:t>及我省关于输液相关要求的，要按要求取消其输液资质并及时向社会公告。</w:t>
      </w:r>
    </w:p>
    <w:p w14:paraId="3DCE85D8" w14:textId="77777777" w:rsidR="004C606D" w:rsidRDefault="00000000">
      <w:pPr>
        <w:pStyle w:val="HTML"/>
        <w:widowControl/>
        <w:spacing w:before="38" w:after="38" w:line="225" w:lineRule="atLeast"/>
        <w:ind w:firstLine="420"/>
        <w:rPr>
          <w:rFonts w:ascii="仿宋_GB2312" w:eastAsia="仿宋_GB2312" w:cs="仿宋_GB2312"/>
          <w:sz w:val="31"/>
          <w:szCs w:val="31"/>
        </w:rPr>
      </w:pPr>
      <w:r>
        <w:rPr>
          <w:rFonts w:ascii="仿宋_GB2312" w:eastAsia="仿宋_GB2312" w:hAnsi="仿宋_GB2312" w:cs="仿宋_GB2312" w:hint="default"/>
          <w:sz w:val="32"/>
          <w:szCs w:val="32"/>
        </w:rPr>
        <w:t>对于患者明确</w:t>
      </w:r>
      <w:r>
        <w:rPr>
          <w:rFonts w:ascii="仿宋_GB2312" w:eastAsia="仿宋_GB2312" w:cs="仿宋_GB2312"/>
          <w:sz w:val="31"/>
          <w:szCs w:val="31"/>
        </w:rPr>
        <w:t>诊断为细菌性感染者，方有指征应用抗菌药物。</w:t>
      </w:r>
    </w:p>
    <w:p w14:paraId="36F18B1B" w14:textId="77777777" w:rsidR="004C606D" w:rsidRDefault="00000000">
      <w:pPr>
        <w:pStyle w:val="HTML"/>
        <w:widowControl/>
        <w:spacing w:before="38" w:after="38" w:line="225" w:lineRule="atLeast"/>
        <w:ind w:firstLine="420"/>
        <w:rPr>
          <w:rFonts w:ascii="仿宋_GB2312" w:eastAsia="仿宋_GB2312" w:cs="仿宋_GB2312"/>
          <w:sz w:val="31"/>
          <w:szCs w:val="31"/>
        </w:rPr>
      </w:pPr>
      <w:r>
        <w:rPr>
          <w:rFonts w:ascii="仿宋_GB2312" w:eastAsia="仿宋_GB2312" w:cs="仿宋_GB2312"/>
          <w:sz w:val="31"/>
          <w:szCs w:val="31"/>
        </w:rPr>
        <w:t>输液过程中须配备输液泵，严格按照</w:t>
      </w:r>
      <w:r>
        <w:rPr>
          <w:rFonts w:ascii="仿宋_GB2312" w:eastAsia="仿宋_GB2312" w:hAnsi="仿宋_GB2312" w:cs="仿宋_GB2312" w:hint="default"/>
          <w:sz w:val="32"/>
          <w:szCs w:val="32"/>
        </w:rPr>
        <w:t>药品说明书规定、患者生命体征状况等控制滴速。</w:t>
      </w:r>
    </w:p>
    <w:p w14:paraId="6B726A44" w14:textId="77777777" w:rsidR="004C606D" w:rsidRDefault="00000000">
      <w:pPr>
        <w:pStyle w:val="HTML"/>
        <w:widowControl/>
        <w:spacing w:before="38" w:after="38" w:line="225" w:lineRule="atLeast"/>
        <w:ind w:firstLine="420"/>
        <w:rPr>
          <w:rFonts w:ascii="仿宋_GB2312" w:eastAsia="仿宋_GB2312" w:cs="仿宋_GB2312"/>
          <w:sz w:val="31"/>
          <w:szCs w:val="31"/>
        </w:rPr>
      </w:pPr>
      <w:r>
        <w:rPr>
          <w:rFonts w:ascii="仿宋_GB2312" w:eastAsia="仿宋_GB2312" w:cs="仿宋_GB2312"/>
          <w:sz w:val="31"/>
          <w:szCs w:val="31"/>
        </w:rPr>
        <w:lastRenderedPageBreak/>
        <w:t>开展输液中使用中药注射剂的，须具备辨证论治的资质及能力，开具中药注射剂须辩证施药，严禁混合配伍。</w:t>
      </w:r>
    </w:p>
    <w:p w14:paraId="1F639C48"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诊所执业医师应当参加市县卫生健康行政部门组织的医师定期考核。</w:t>
      </w:r>
    </w:p>
    <w:p w14:paraId="4B6F2716"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w:t>
      </w:r>
      <w:r>
        <w:rPr>
          <w:rFonts w:ascii="仿宋_GB2312" w:eastAsia="仿宋_GB2312" w:hAnsi="仿宋_GB2312" w:cs="仿宋_GB2312" w:hint="eastAsia"/>
          <w:color w:val="333333"/>
          <w:sz w:val="32"/>
          <w:szCs w:val="32"/>
          <w:lang w:eastAsia="zh"/>
        </w:rPr>
        <w:t>二十</w:t>
      </w:r>
      <w:r>
        <w:rPr>
          <w:rFonts w:ascii="仿宋_GB2312" w:eastAsia="仿宋_GB2312" w:hAnsi="仿宋_GB2312" w:cs="仿宋_GB2312" w:hint="eastAsia"/>
          <w:color w:val="333333"/>
          <w:sz w:val="32"/>
          <w:szCs w:val="32"/>
        </w:rPr>
        <w:t>条  诊所应当按照《医疗机构校验管理办法（暂行）》规定，每年进行校验。</w:t>
      </w:r>
    </w:p>
    <w:p w14:paraId="023B41ED" w14:textId="37497522"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一</w:t>
      </w:r>
      <w:r>
        <w:rPr>
          <w:rFonts w:ascii="仿宋_GB2312" w:eastAsia="仿宋_GB2312" w:hAnsi="仿宋_GB2312" w:cs="仿宋_GB2312" w:hint="eastAsia"/>
          <w:color w:val="333333"/>
          <w:sz w:val="32"/>
          <w:szCs w:val="32"/>
        </w:rPr>
        <w:t>条  诊所应当向具备资质的药品流通企业采购药品，不得采购、储存、使用麻精药品和假药、劣药。定期查验药品、一次性耗材效期，不得储存、使用过期药品和一次性耗材。</w:t>
      </w:r>
    </w:p>
    <w:p w14:paraId="365CC6CA"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类药品（特别是注射、静脉输注类药品）必须严格按照药品说明书规定的条件贮存。其中，要确保药品贮存条件中所提及的阴凉处温度不得超过20℃，阴暗处要避免阳光直射且温度不得超过20℃，冷处温度处于2-10℃，常温温度处于10-30℃。</w:t>
      </w:r>
    </w:p>
    <w:p w14:paraId="2042F4E0"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二</w:t>
      </w:r>
      <w:r>
        <w:rPr>
          <w:rFonts w:ascii="仿宋_GB2312" w:eastAsia="仿宋_GB2312" w:hAnsi="仿宋_GB2312" w:cs="仿宋_GB2312" w:hint="eastAsia"/>
          <w:color w:val="333333"/>
          <w:sz w:val="32"/>
          <w:szCs w:val="32"/>
        </w:rPr>
        <w:t>条  诊所应当及时记录患者电子病历（含检查检验结果、处方），并将电子病历（含药品追溯码）上传三医联动一张网平台。</w:t>
      </w:r>
    </w:p>
    <w:p w14:paraId="43B8F66A"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三</w:t>
      </w:r>
      <w:r>
        <w:rPr>
          <w:rFonts w:ascii="仿宋_GB2312" w:eastAsia="仿宋_GB2312" w:hAnsi="仿宋_GB2312" w:cs="仿宋_GB2312" w:hint="eastAsia"/>
          <w:color w:val="333333"/>
          <w:sz w:val="32"/>
          <w:szCs w:val="32"/>
        </w:rPr>
        <w:t>条  诊所应当对医用冰箱、药品阴凉柜及相关医疗仪器设备按规定定期进行校验。</w:t>
      </w:r>
    </w:p>
    <w:p w14:paraId="29D20D76"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四</w:t>
      </w:r>
      <w:r>
        <w:rPr>
          <w:rFonts w:ascii="仿宋_GB2312" w:eastAsia="仿宋_GB2312" w:hAnsi="仿宋_GB2312" w:cs="仿宋_GB2312" w:hint="eastAsia"/>
          <w:color w:val="333333"/>
          <w:sz w:val="32"/>
          <w:szCs w:val="32"/>
        </w:rPr>
        <w:t>条  诊所应当严格落实院感制度，医疗废弃物、医疗废水等处置应当符合国家和我省有关规定。</w:t>
      </w:r>
    </w:p>
    <w:p w14:paraId="7A5B303F" w14:textId="77777777" w:rsidR="004C606D" w:rsidRDefault="00000000">
      <w:pPr>
        <w:pStyle w:val="a7"/>
        <w:widowControl/>
        <w:spacing w:before="38" w:beforeAutospacing="0" w:after="38" w:afterAutospacing="0" w:line="225" w:lineRule="atLeast"/>
        <w:ind w:firstLine="420"/>
        <w:jc w:val="center"/>
        <w:rPr>
          <w:rFonts w:ascii="黑体" w:eastAsia="黑体" w:hAnsi="黑体" w:cs="仿宋_GB2312" w:hint="eastAsia"/>
          <w:b/>
          <w:bCs/>
          <w:color w:val="333333"/>
          <w:sz w:val="32"/>
          <w:szCs w:val="32"/>
        </w:rPr>
      </w:pPr>
      <w:r>
        <w:rPr>
          <w:rStyle w:val="a8"/>
          <w:rFonts w:ascii="黑体" w:eastAsia="黑体" w:hAnsi="黑体" w:cs="仿宋_GB2312" w:hint="eastAsia"/>
          <w:b w:val="0"/>
          <w:bCs/>
          <w:color w:val="333333"/>
          <w:sz w:val="32"/>
          <w:szCs w:val="32"/>
        </w:rPr>
        <w:lastRenderedPageBreak/>
        <w:t>第四章 </w:t>
      </w:r>
      <w:r>
        <w:rPr>
          <w:rStyle w:val="a8"/>
          <w:rFonts w:ascii="黑体" w:eastAsia="黑体" w:hAnsi="黑体" w:cs="黑体" w:hint="eastAsia"/>
          <w:b w:val="0"/>
          <w:bCs/>
          <w:color w:val="333333"/>
          <w:sz w:val="32"/>
          <w:szCs w:val="32"/>
        </w:rPr>
        <w:t>监督管理</w:t>
      </w:r>
    </w:p>
    <w:p w14:paraId="1756CC90"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五</w:t>
      </w:r>
      <w:r>
        <w:rPr>
          <w:rFonts w:ascii="仿宋_GB2312" w:eastAsia="仿宋_GB2312" w:hAnsi="仿宋_GB2312" w:cs="仿宋_GB2312" w:hint="eastAsia"/>
          <w:color w:val="333333"/>
          <w:sz w:val="32"/>
          <w:szCs w:val="32"/>
        </w:rPr>
        <w:t>条  县级卫生健康行政部门应当加强对诊所执业活动、医疗质量、医疗安全等情况的监督管理。县级卫生健康行政部门应当在发放诊所备案凭证之日起20日内，通过本区官方网站等途径向社会公开诊所备案信息，便于社会和群众查询、监督。</w:t>
      </w:r>
    </w:p>
    <w:p w14:paraId="77F26489"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县级卫生健康行政部门要及时向上级卫生健康行政部门报送本辖区内诊所备案信息，上级卫生健康行政部门发现不符合本办法规定的备案事项，应当责令县级卫生健康行政部门予以纠正。</w:t>
      </w:r>
    </w:p>
    <w:p w14:paraId="2907CCC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lang w:eastAsia="zh"/>
        </w:rPr>
        <w:t>六</w:t>
      </w:r>
      <w:r>
        <w:rPr>
          <w:rFonts w:ascii="仿宋_GB2312" w:eastAsia="仿宋_GB2312" w:hAnsi="仿宋_GB2312" w:cs="仿宋_GB2312" w:hint="eastAsia"/>
          <w:sz w:val="32"/>
          <w:szCs w:val="32"/>
        </w:rPr>
        <w:t>条  县级卫生健康行政部门应当对新设置的诊所自发放诊所备案凭证之日起45日内进行现场核查（包括诊疗数据上传情况），对不符合备案条件的应当在3月内限期整改。逾期拒不整改或者整改后仍不符合条件的，撤销其备案并及时向社会公告。</w:t>
      </w:r>
    </w:p>
    <w:p w14:paraId="2B472B62"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highlight w:val="yellow"/>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七</w:t>
      </w:r>
      <w:r>
        <w:rPr>
          <w:rFonts w:ascii="仿宋_GB2312" w:eastAsia="仿宋_GB2312" w:hAnsi="仿宋_GB2312" w:cs="仿宋_GB2312" w:hint="eastAsia"/>
          <w:color w:val="333333"/>
          <w:sz w:val="32"/>
          <w:szCs w:val="32"/>
        </w:rPr>
        <w:t>条  县级卫生健康行政部门应当充分利用信息化、大数据等手段提升监管效能，将诊所纳入本行政区域医疗质量管理控制体系，确保医疗质量安全。</w:t>
      </w:r>
    </w:p>
    <w:p w14:paraId="64582092"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八</w:t>
      </w:r>
      <w:r>
        <w:rPr>
          <w:rFonts w:ascii="仿宋_GB2312" w:eastAsia="仿宋_GB2312" w:hAnsi="仿宋_GB2312" w:cs="仿宋_GB2312" w:hint="eastAsia"/>
          <w:color w:val="333333"/>
          <w:sz w:val="32"/>
          <w:szCs w:val="32"/>
        </w:rPr>
        <w:t>条  县级卫生健康行政部门应当按照《医疗机构校验管理办法（暂行）》对诊所开展年度校验，并每年对辖区内诊所开展至少一次现场监督检查，对执业地址、诊疗科目、牙椅数量等项目变更的诊所，自发放或换发诊所备案凭</w:t>
      </w:r>
      <w:r>
        <w:rPr>
          <w:rFonts w:ascii="仿宋_GB2312" w:eastAsia="仿宋_GB2312" w:hAnsi="仿宋_GB2312" w:cs="仿宋_GB2312" w:hint="eastAsia"/>
          <w:color w:val="333333"/>
          <w:sz w:val="32"/>
          <w:szCs w:val="32"/>
        </w:rPr>
        <w:lastRenderedPageBreak/>
        <w:t>证之日起45日内进行现场核查，利用三医联动一张网平台进行日常监管和月度执业活动分析，至少每半年形成一份辖区内诊所执业活动监管分析报告。县级卫生健康行政部门有权要求诊所提供监管所需材料，诊所不得拒绝、隐匿或者隐瞒。</w:t>
      </w:r>
    </w:p>
    <w:p w14:paraId="23E6764E"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第二十</w:t>
      </w:r>
      <w:r>
        <w:rPr>
          <w:rFonts w:ascii="仿宋_GB2312" w:eastAsia="仿宋_GB2312" w:hAnsi="仿宋_GB2312" w:cs="仿宋_GB2312" w:hint="eastAsia"/>
          <w:color w:val="333333"/>
          <w:sz w:val="32"/>
          <w:szCs w:val="32"/>
          <w:lang w:eastAsia="zh"/>
        </w:rPr>
        <w:t>九</w:t>
      </w:r>
      <w:r>
        <w:rPr>
          <w:rFonts w:ascii="仿宋_GB2312" w:eastAsia="仿宋_GB2312" w:hAnsi="仿宋_GB2312" w:cs="仿宋_GB2312" w:hint="eastAsia"/>
          <w:color w:val="333333"/>
          <w:sz w:val="32"/>
          <w:szCs w:val="32"/>
        </w:rPr>
        <w:t>条  县级卫生健康行政部门应当指定专业机构，按照一般程序对诊所执业医师组织定期考核。医师未通过考核的，按照《医师定期考核管理办法》第二十六条处理。</w:t>
      </w:r>
    </w:p>
    <w:p w14:paraId="5B554C1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w:t>
      </w:r>
      <w:r>
        <w:rPr>
          <w:rFonts w:ascii="仿宋_GB2312" w:eastAsia="仿宋_GB2312" w:hAnsi="仿宋_GB2312" w:cs="仿宋_GB2312" w:hint="eastAsia"/>
          <w:color w:val="333333"/>
          <w:sz w:val="32"/>
          <w:szCs w:val="32"/>
          <w:lang w:eastAsia="zh"/>
        </w:rPr>
        <w:t>三十</w:t>
      </w:r>
      <w:r>
        <w:rPr>
          <w:rFonts w:ascii="仿宋_GB2312" w:eastAsia="仿宋_GB2312" w:hAnsi="仿宋_GB2312" w:cs="仿宋_GB2312" w:hint="eastAsia"/>
          <w:color w:val="333333"/>
          <w:sz w:val="32"/>
          <w:szCs w:val="32"/>
        </w:rPr>
        <w:t>条 </w:t>
      </w:r>
      <w:r>
        <w:rPr>
          <w:rFonts w:ascii="仿宋_GB2312" w:eastAsia="仿宋_GB2312" w:hAnsi="仿宋_GB2312" w:cs="仿宋_GB2312" w:hint="eastAsia"/>
          <w:color w:val="333333"/>
          <w:sz w:val="32"/>
          <w:szCs w:val="32"/>
          <w:lang w:eastAsia="zh"/>
        </w:rPr>
        <w:t xml:space="preserve"> </w:t>
      </w:r>
      <w:r>
        <w:rPr>
          <w:rFonts w:ascii="仿宋_GB2312" w:eastAsia="仿宋_GB2312" w:hAnsi="仿宋_GB2312" w:cs="仿宋_GB2312" w:hint="eastAsia"/>
          <w:color w:val="333333"/>
          <w:sz w:val="32"/>
          <w:szCs w:val="32"/>
        </w:rPr>
        <w:t>各级卫生健康行政部门在监督管理过程中，发现诊所存在违法违规情节的，依据相关法规、法规及规定进行处理。</w:t>
      </w:r>
    </w:p>
    <w:p w14:paraId="72546884"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一</w:t>
      </w:r>
      <w:r>
        <w:rPr>
          <w:rFonts w:ascii="仿宋_GB2312" w:eastAsia="仿宋_GB2312" w:hAnsi="仿宋_GB2312" w:cs="仿宋_GB2312" w:hint="eastAsia"/>
          <w:color w:val="333333"/>
          <w:sz w:val="32"/>
          <w:szCs w:val="32"/>
        </w:rPr>
        <w:t>条  有下列情形之一的，诊所应当向所在县级卫生健康行政部门报告，或者卫生健康行政部门在监督管理过程中发现有下列情形之一的，原备案机关应当撤销其备案并及时向社会公告：</w:t>
      </w:r>
    </w:p>
    <w:p w14:paraId="2B3A7435"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（一）诊所歇业的；</w:t>
      </w:r>
    </w:p>
    <w:p w14:paraId="7C88F09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（二）诊所自愿终止执业活动的；      </w:t>
      </w:r>
    </w:p>
    <w:p w14:paraId="2C82BACE"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（三）使用虚假材料备案的；</w:t>
      </w:r>
    </w:p>
    <w:p w14:paraId="2E4544AF"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（四）出现《医疗机构管理条例》等法律法规规定的应当责令其停止执业活动的情形。</w:t>
      </w:r>
    </w:p>
    <w:p w14:paraId="3268AADE"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二</w:t>
      </w:r>
      <w:r>
        <w:rPr>
          <w:rFonts w:ascii="仿宋_GB2312" w:eastAsia="仿宋_GB2312" w:hAnsi="仿宋_GB2312" w:cs="仿宋_GB2312" w:hint="eastAsia"/>
          <w:color w:val="333333"/>
          <w:sz w:val="32"/>
          <w:szCs w:val="32"/>
        </w:rPr>
        <w:t>条 </w:t>
      </w:r>
      <w:r>
        <w:rPr>
          <w:rFonts w:ascii="仿宋_GB2312" w:eastAsia="仿宋_GB2312" w:hAnsi="仿宋_GB2312" w:cs="仿宋_GB2312" w:hint="eastAsia"/>
          <w:color w:val="333333"/>
          <w:sz w:val="32"/>
          <w:szCs w:val="32"/>
          <w:lang w:eastAsia="zh"/>
        </w:rPr>
        <w:t xml:space="preserve"> </w:t>
      </w:r>
      <w:r>
        <w:rPr>
          <w:rFonts w:ascii="仿宋_GB2312" w:eastAsia="仿宋_GB2312" w:hAnsi="仿宋_GB2312" w:cs="仿宋_GB2312" w:hint="eastAsia"/>
          <w:color w:val="333333"/>
          <w:sz w:val="32"/>
          <w:szCs w:val="32"/>
        </w:rPr>
        <w:t>诊所应当按照《中华人民共和国网络安全法》《中华人民共和国数据安全法》《中华人民共和国个人信息</w:t>
      </w:r>
      <w:r>
        <w:rPr>
          <w:rFonts w:ascii="仿宋_GB2312" w:eastAsia="仿宋_GB2312" w:hAnsi="仿宋_GB2312" w:cs="仿宋_GB2312" w:hint="eastAsia"/>
          <w:color w:val="333333"/>
          <w:sz w:val="32"/>
          <w:szCs w:val="32"/>
        </w:rPr>
        <w:lastRenderedPageBreak/>
        <w:t>保护法》《医疗卫生机构网络安全管理办法》等有关法律法规和规定加强网络安全管理和个人信息保护等工作，发生患者个人信息、医疗数据泄露等网络安全事件时，应当及时向有关部门报告，并采取有效应对措施。</w:t>
      </w:r>
    </w:p>
    <w:p w14:paraId="746FD07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三</w:t>
      </w:r>
      <w:r>
        <w:rPr>
          <w:rFonts w:ascii="仿宋_GB2312" w:eastAsia="仿宋_GB2312" w:hAnsi="仿宋_GB2312" w:cs="仿宋_GB2312" w:hint="eastAsia"/>
          <w:color w:val="333333"/>
          <w:sz w:val="32"/>
          <w:szCs w:val="32"/>
        </w:rPr>
        <w:t>条  诊所执业人员应当积极参加专业技术培训、继续教育等活动，提高专业技术水平。</w:t>
      </w:r>
    </w:p>
    <w:p w14:paraId="009CC8C3"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四</w:t>
      </w:r>
      <w:r>
        <w:rPr>
          <w:rFonts w:ascii="仿宋_GB2312" w:eastAsia="仿宋_GB2312" w:hAnsi="仿宋_GB2312" w:cs="仿宋_GB2312" w:hint="eastAsia"/>
          <w:color w:val="333333"/>
          <w:sz w:val="32"/>
          <w:szCs w:val="32"/>
        </w:rPr>
        <w:t>条  诊所应当建立完善的医疗质量、医疗安全等相关管理制度，加强医疗质量及医疗安全管理。</w:t>
      </w:r>
    </w:p>
    <w:p w14:paraId="19CE936B"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五</w:t>
      </w:r>
      <w:r>
        <w:rPr>
          <w:rFonts w:ascii="仿宋_GB2312" w:eastAsia="仿宋_GB2312" w:hAnsi="仿宋_GB2312" w:cs="仿宋_GB2312" w:hint="eastAsia"/>
          <w:color w:val="333333"/>
          <w:sz w:val="32"/>
          <w:szCs w:val="32"/>
        </w:rPr>
        <w:t>条 在诊所多点执业的医师不作为诊所备案、诊疗科目设置和现场监督检查中的人员评价依据。</w:t>
      </w:r>
    </w:p>
    <w:p w14:paraId="24FA3AA7"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六</w:t>
      </w:r>
      <w:r>
        <w:rPr>
          <w:rFonts w:ascii="仿宋_GB2312" w:eastAsia="仿宋_GB2312" w:hAnsi="仿宋_GB2312" w:cs="仿宋_GB2312" w:hint="eastAsia"/>
          <w:color w:val="333333"/>
          <w:sz w:val="32"/>
          <w:szCs w:val="32"/>
        </w:rPr>
        <w:t>条 已增加注册专业（增加执业范围）的医师，不得以增加注册的专业作为其在诊所的执业范围。</w:t>
      </w:r>
    </w:p>
    <w:p w14:paraId="2EA8E249"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七</w:t>
      </w:r>
      <w:r>
        <w:rPr>
          <w:rFonts w:ascii="仿宋_GB2312" w:eastAsia="仿宋_GB2312" w:hAnsi="仿宋_GB2312" w:cs="仿宋_GB2312" w:hint="eastAsia"/>
          <w:color w:val="333333"/>
          <w:sz w:val="32"/>
          <w:szCs w:val="32"/>
        </w:rPr>
        <w:t>条 根据《抗菌药物临床应用管理办法》第二十九条规定，诊所应当经县级卫生健康行政部门核准，才能使用抗菌药物开展静脉输注活动。</w:t>
      </w:r>
    </w:p>
    <w:p w14:paraId="1FFDE2E6"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八</w:t>
      </w:r>
      <w:r>
        <w:rPr>
          <w:rFonts w:ascii="仿宋_GB2312" w:eastAsia="仿宋_GB2312" w:hAnsi="仿宋_GB2312" w:cs="仿宋_GB2312" w:hint="eastAsia"/>
          <w:color w:val="333333"/>
          <w:sz w:val="32"/>
          <w:szCs w:val="32"/>
        </w:rPr>
        <w:t>条 诊所出现急危重症患者并由院前急救工作人员转运至医院抢救的，由院前急救工作人员和诊所主要负责人分别向属地卫生健康行政部门报告。</w:t>
      </w:r>
    </w:p>
    <w:p w14:paraId="69F6619D" w14:textId="77777777" w:rsidR="004C606D" w:rsidRDefault="00000000">
      <w:pPr>
        <w:pStyle w:val="a7"/>
        <w:widowControl/>
        <w:spacing w:before="38" w:beforeAutospacing="0" w:after="38" w:afterAutospacing="0" w:line="225" w:lineRule="atLeast"/>
        <w:ind w:firstLine="420"/>
        <w:jc w:val="center"/>
        <w:rPr>
          <w:rFonts w:ascii="黑体" w:eastAsia="黑体" w:hAnsi="黑体" w:cs="仿宋_GB2312" w:hint="eastAsia"/>
          <w:b/>
          <w:bCs/>
          <w:color w:val="333333"/>
          <w:sz w:val="32"/>
          <w:szCs w:val="32"/>
        </w:rPr>
      </w:pPr>
      <w:r>
        <w:rPr>
          <w:rStyle w:val="a8"/>
          <w:rFonts w:ascii="黑体" w:eastAsia="黑体" w:hAnsi="黑体" w:cs="仿宋_GB2312" w:hint="eastAsia"/>
          <w:b w:val="0"/>
          <w:bCs/>
          <w:color w:val="333333"/>
          <w:sz w:val="32"/>
          <w:szCs w:val="32"/>
        </w:rPr>
        <w:t>第五章 附 则</w:t>
      </w:r>
    </w:p>
    <w:p w14:paraId="2C0BB43E"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第三十</w:t>
      </w:r>
      <w:r>
        <w:rPr>
          <w:rFonts w:ascii="仿宋_GB2312" w:eastAsia="仿宋_GB2312" w:hAnsi="仿宋_GB2312" w:cs="仿宋_GB2312" w:hint="eastAsia"/>
          <w:color w:val="333333"/>
          <w:sz w:val="32"/>
          <w:szCs w:val="32"/>
          <w:lang w:eastAsia="zh"/>
        </w:rPr>
        <w:t>九</w:t>
      </w:r>
      <w:r>
        <w:rPr>
          <w:rFonts w:ascii="仿宋_GB2312" w:eastAsia="仿宋_GB2312" w:hAnsi="仿宋_GB2312" w:cs="仿宋_GB2312" w:hint="eastAsia"/>
          <w:color w:val="333333"/>
          <w:sz w:val="32"/>
          <w:szCs w:val="32"/>
        </w:rPr>
        <w:t>条  诊所应当符合医疗机构电子证照工作有关规定。</w:t>
      </w:r>
    </w:p>
    <w:p w14:paraId="580E7568"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lastRenderedPageBreak/>
        <w:t>第</w:t>
      </w:r>
      <w:r>
        <w:rPr>
          <w:rFonts w:ascii="仿宋_GB2312" w:eastAsia="仿宋_GB2312" w:hAnsi="仿宋_GB2312" w:cs="仿宋_GB2312" w:hint="eastAsia"/>
          <w:color w:val="333333"/>
          <w:sz w:val="32"/>
          <w:szCs w:val="32"/>
          <w:lang w:eastAsia="zh"/>
        </w:rPr>
        <w:t>四十</w:t>
      </w:r>
      <w:r>
        <w:rPr>
          <w:rFonts w:ascii="仿宋_GB2312" w:eastAsia="仿宋_GB2312" w:hAnsi="仿宋_GB2312" w:cs="仿宋_GB2312" w:hint="eastAsia"/>
          <w:color w:val="333333"/>
          <w:sz w:val="32"/>
          <w:szCs w:val="32"/>
        </w:rPr>
        <w:t>条  中外合资、合作诊所，港澳台资诊所的管理按照有关规定执行。</w:t>
      </w:r>
    </w:p>
    <w:p w14:paraId="3DBAEA2D" w14:textId="77777777" w:rsidR="004C606D" w:rsidRDefault="00000000">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r>
        <w:rPr>
          <w:rFonts w:ascii="仿宋_GB2312" w:eastAsia="仿宋_GB2312" w:hAnsi="仿宋_GB2312" w:cs="仿宋_GB2312" w:hint="eastAsia"/>
          <w:color w:val="333333"/>
          <w:sz w:val="32"/>
          <w:szCs w:val="32"/>
        </w:rPr>
        <w:t>第四十</w:t>
      </w:r>
      <w:r>
        <w:rPr>
          <w:rFonts w:ascii="仿宋_GB2312" w:eastAsia="仿宋_GB2312" w:hAnsi="仿宋_GB2312" w:cs="仿宋_GB2312" w:hint="eastAsia"/>
          <w:color w:val="333333"/>
          <w:sz w:val="32"/>
          <w:szCs w:val="32"/>
          <w:lang w:eastAsia="zh"/>
        </w:rPr>
        <w:t>一</w:t>
      </w:r>
      <w:r>
        <w:rPr>
          <w:rFonts w:ascii="仿宋_GB2312" w:eastAsia="仿宋_GB2312" w:hAnsi="仿宋_GB2312" w:cs="仿宋_GB2312" w:hint="eastAsia"/>
          <w:color w:val="333333"/>
          <w:sz w:val="32"/>
          <w:szCs w:val="32"/>
        </w:rPr>
        <w:t>条 本办法规定的期限以工作日计算。</w:t>
      </w:r>
    </w:p>
    <w:p w14:paraId="46B6A08E" w14:textId="77777777" w:rsidR="004C606D" w:rsidRDefault="004C606D">
      <w:pPr>
        <w:pStyle w:val="a7"/>
        <w:widowControl/>
        <w:spacing w:before="38" w:beforeAutospacing="0" w:after="38" w:afterAutospacing="0" w:line="225" w:lineRule="atLeast"/>
        <w:ind w:firstLine="420"/>
        <w:rPr>
          <w:rFonts w:ascii="仿宋_GB2312" w:eastAsia="仿宋_GB2312" w:hAnsi="仿宋_GB2312" w:cs="仿宋_GB2312" w:hint="eastAsia"/>
          <w:color w:val="333333"/>
          <w:sz w:val="32"/>
          <w:szCs w:val="32"/>
        </w:rPr>
      </w:pPr>
    </w:p>
    <w:p w14:paraId="673A4A1D" w14:textId="77777777" w:rsidR="004C606D" w:rsidRDefault="004C606D">
      <w:pPr>
        <w:pStyle w:val="a7"/>
        <w:widowControl/>
        <w:spacing w:before="38" w:beforeAutospacing="0" w:after="38" w:afterAutospacing="0" w:line="225" w:lineRule="atLeast"/>
        <w:ind w:firstLineChars="300" w:firstLine="960"/>
        <w:rPr>
          <w:rFonts w:ascii="仿宋_GB2312" w:eastAsia="仿宋_GB2312" w:hAnsi="仿宋_GB2312" w:cs="仿宋_GB2312" w:hint="eastAsia"/>
          <w:color w:val="333333"/>
          <w:sz w:val="32"/>
          <w:szCs w:val="32"/>
        </w:rPr>
      </w:pPr>
    </w:p>
    <w:sectPr w:rsidR="004C60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A0CB0"/>
    <w:multiLevelType w:val="singleLevel"/>
    <w:tmpl w:val="114A0CB0"/>
    <w:lvl w:ilvl="0">
      <w:start w:val="1"/>
      <w:numFmt w:val="chineseCounting"/>
      <w:suff w:val="nothing"/>
      <w:lvlText w:val="（%1）"/>
      <w:lvlJc w:val="left"/>
      <w:rPr>
        <w:rFonts w:hint="eastAsia"/>
      </w:rPr>
    </w:lvl>
  </w:abstractNum>
  <w:num w:numId="1" w16cid:durableId="70930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1B91"/>
    <w:rsid w:val="000B0A5C"/>
    <w:rsid w:val="000D1B9F"/>
    <w:rsid w:val="000E76F0"/>
    <w:rsid w:val="00191B91"/>
    <w:rsid w:val="001B597E"/>
    <w:rsid w:val="002D05D5"/>
    <w:rsid w:val="00426FDD"/>
    <w:rsid w:val="004C606D"/>
    <w:rsid w:val="0052033A"/>
    <w:rsid w:val="006613EC"/>
    <w:rsid w:val="00731A73"/>
    <w:rsid w:val="00732C0B"/>
    <w:rsid w:val="007F6F2B"/>
    <w:rsid w:val="00822B68"/>
    <w:rsid w:val="00AA2F51"/>
    <w:rsid w:val="00AF2113"/>
    <w:rsid w:val="00C7221C"/>
    <w:rsid w:val="00D6377D"/>
    <w:rsid w:val="03537505"/>
    <w:rsid w:val="04305BEE"/>
    <w:rsid w:val="05655910"/>
    <w:rsid w:val="062F3136"/>
    <w:rsid w:val="07433EF7"/>
    <w:rsid w:val="07965F00"/>
    <w:rsid w:val="07E92107"/>
    <w:rsid w:val="07EF0490"/>
    <w:rsid w:val="0823486A"/>
    <w:rsid w:val="0A616013"/>
    <w:rsid w:val="0CF77927"/>
    <w:rsid w:val="0D0C1474"/>
    <w:rsid w:val="0DBB7AFD"/>
    <w:rsid w:val="0EFD7A26"/>
    <w:rsid w:val="0F0A6D3C"/>
    <w:rsid w:val="101007E8"/>
    <w:rsid w:val="10154C70"/>
    <w:rsid w:val="1026620F"/>
    <w:rsid w:val="10DF7BBC"/>
    <w:rsid w:val="10F442DE"/>
    <w:rsid w:val="11D16BFE"/>
    <w:rsid w:val="128959F9"/>
    <w:rsid w:val="14183541"/>
    <w:rsid w:val="142D60AA"/>
    <w:rsid w:val="1458496F"/>
    <w:rsid w:val="157E577E"/>
    <w:rsid w:val="165510EC"/>
    <w:rsid w:val="16C94348"/>
    <w:rsid w:val="17FF070C"/>
    <w:rsid w:val="18CB193B"/>
    <w:rsid w:val="18E86CED"/>
    <w:rsid w:val="19D3216D"/>
    <w:rsid w:val="1A3666C3"/>
    <w:rsid w:val="1EAF2557"/>
    <w:rsid w:val="1EF67DDE"/>
    <w:rsid w:val="1EFB0F37"/>
    <w:rsid w:val="1F9F6471"/>
    <w:rsid w:val="1FB83797"/>
    <w:rsid w:val="203D202F"/>
    <w:rsid w:val="20504C0F"/>
    <w:rsid w:val="22BF3A8F"/>
    <w:rsid w:val="22E4044C"/>
    <w:rsid w:val="25207D76"/>
    <w:rsid w:val="26727723"/>
    <w:rsid w:val="27840543"/>
    <w:rsid w:val="28E868B0"/>
    <w:rsid w:val="2E3D1E67"/>
    <w:rsid w:val="30B009C8"/>
    <w:rsid w:val="31923564"/>
    <w:rsid w:val="31D10ACA"/>
    <w:rsid w:val="31DF7DE0"/>
    <w:rsid w:val="33716EF1"/>
    <w:rsid w:val="361A51A9"/>
    <w:rsid w:val="3D1073BD"/>
    <w:rsid w:val="3EBC35DE"/>
    <w:rsid w:val="3EBFF9DC"/>
    <w:rsid w:val="3F4940F4"/>
    <w:rsid w:val="3FCE2739"/>
    <w:rsid w:val="412D70FE"/>
    <w:rsid w:val="4496320C"/>
    <w:rsid w:val="457667CA"/>
    <w:rsid w:val="478552E3"/>
    <w:rsid w:val="48E520AB"/>
    <w:rsid w:val="490A0962"/>
    <w:rsid w:val="4C2E020A"/>
    <w:rsid w:val="4CD4551D"/>
    <w:rsid w:val="4D487985"/>
    <w:rsid w:val="4D6E5E02"/>
    <w:rsid w:val="4D873CBF"/>
    <w:rsid w:val="4DB22585"/>
    <w:rsid w:val="5011165E"/>
    <w:rsid w:val="503B1837"/>
    <w:rsid w:val="51715641"/>
    <w:rsid w:val="51DF5EE2"/>
    <w:rsid w:val="52916D0F"/>
    <w:rsid w:val="570E1063"/>
    <w:rsid w:val="593B21ED"/>
    <w:rsid w:val="59525A19"/>
    <w:rsid w:val="59AA3EAA"/>
    <w:rsid w:val="5B9A3355"/>
    <w:rsid w:val="5C142F3C"/>
    <w:rsid w:val="5C3B5970"/>
    <w:rsid w:val="5CBA4AB1"/>
    <w:rsid w:val="5D135140"/>
    <w:rsid w:val="5D9B3D9F"/>
    <w:rsid w:val="5DC641BD"/>
    <w:rsid w:val="5EEE3723"/>
    <w:rsid w:val="5F33588D"/>
    <w:rsid w:val="5F9BE2EE"/>
    <w:rsid w:val="60E61309"/>
    <w:rsid w:val="60FB7FA9"/>
    <w:rsid w:val="61402C9C"/>
    <w:rsid w:val="627D26A4"/>
    <w:rsid w:val="65526949"/>
    <w:rsid w:val="661D1895"/>
    <w:rsid w:val="672542C6"/>
    <w:rsid w:val="67CA716B"/>
    <w:rsid w:val="67FB2079"/>
    <w:rsid w:val="685A0E40"/>
    <w:rsid w:val="693F2D53"/>
    <w:rsid w:val="69DE22C1"/>
    <w:rsid w:val="69FB9C23"/>
    <w:rsid w:val="6B6C4F4A"/>
    <w:rsid w:val="6B75365C"/>
    <w:rsid w:val="6BC7213F"/>
    <w:rsid w:val="6D035033"/>
    <w:rsid w:val="6D7F2901"/>
    <w:rsid w:val="6DF3E1EC"/>
    <w:rsid w:val="6F7EB383"/>
    <w:rsid w:val="6FEC59AF"/>
    <w:rsid w:val="7053007F"/>
    <w:rsid w:val="70DA7D72"/>
    <w:rsid w:val="71C42137"/>
    <w:rsid w:val="736D3206"/>
    <w:rsid w:val="73DC7EDF"/>
    <w:rsid w:val="75181898"/>
    <w:rsid w:val="753F32E7"/>
    <w:rsid w:val="75EC2506"/>
    <w:rsid w:val="75FF0266"/>
    <w:rsid w:val="7677439C"/>
    <w:rsid w:val="77DF84EA"/>
    <w:rsid w:val="791E2726"/>
    <w:rsid w:val="79E57808"/>
    <w:rsid w:val="7B3F9F90"/>
    <w:rsid w:val="7B452056"/>
    <w:rsid w:val="7B582F6D"/>
    <w:rsid w:val="7BD78C30"/>
    <w:rsid w:val="7BFB0C0F"/>
    <w:rsid w:val="7C5D3714"/>
    <w:rsid w:val="7CED360A"/>
    <w:rsid w:val="7CF74B7B"/>
    <w:rsid w:val="7CF90180"/>
    <w:rsid w:val="7D7E59EE"/>
    <w:rsid w:val="7E2F0780"/>
    <w:rsid w:val="7E7501C3"/>
    <w:rsid w:val="7EBD79FB"/>
    <w:rsid w:val="7F6FFAB5"/>
    <w:rsid w:val="7F7930B0"/>
    <w:rsid w:val="7F7D58EC"/>
    <w:rsid w:val="7F7D9E9A"/>
    <w:rsid w:val="7FCC7A47"/>
    <w:rsid w:val="7FDB1BBF"/>
    <w:rsid w:val="7FEF39B1"/>
    <w:rsid w:val="7FF92553"/>
    <w:rsid w:val="7FFDD105"/>
    <w:rsid w:val="7FFFF352"/>
    <w:rsid w:val="82737179"/>
    <w:rsid w:val="9C45272F"/>
    <w:rsid w:val="9D4B5CFF"/>
    <w:rsid w:val="9DB32BA9"/>
    <w:rsid w:val="B3FF9AF9"/>
    <w:rsid w:val="B75F50D9"/>
    <w:rsid w:val="BA7B23C6"/>
    <w:rsid w:val="BFFE84BB"/>
    <w:rsid w:val="D19DCC10"/>
    <w:rsid w:val="D33CCFD3"/>
    <w:rsid w:val="D73F56AE"/>
    <w:rsid w:val="D7DC378E"/>
    <w:rsid w:val="DF5E62C9"/>
    <w:rsid w:val="DF5FC0A5"/>
    <w:rsid w:val="DFFB6724"/>
    <w:rsid w:val="EFFAA884"/>
    <w:rsid w:val="F46BE322"/>
    <w:rsid w:val="FACFA075"/>
    <w:rsid w:val="FC5773AF"/>
    <w:rsid w:val="FC7D3C24"/>
    <w:rsid w:val="FDFBF57B"/>
    <w:rsid w:val="FE734873"/>
    <w:rsid w:val="FF9F5879"/>
    <w:rsid w:val="FFE73B66"/>
    <w:rsid w:val="FFF2D0DE"/>
    <w:rsid w:val="FFFF1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3FD452"/>
  <w15:docId w15:val="{93BC85AC-79E1-4CD0-94D6-4562F874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styleId="a9">
    <w:name w:val="Revision"/>
    <w:hidden/>
    <w:uiPriority w:val="99"/>
    <w:unhideWhenUsed/>
    <w:rsid w:val="00822B68"/>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海南省诊所备案管理暂行办法实施细则</dc:title>
  <dc:creator>25425</dc:creator>
  <cp:lastModifiedBy>gao gao</cp:lastModifiedBy>
  <cp:revision>7</cp:revision>
  <dcterms:created xsi:type="dcterms:W3CDTF">2026-06-05T19:03:00Z</dcterms:created>
  <dcterms:modified xsi:type="dcterms:W3CDTF">2026-06-17T02:56:00Z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eyJoZGlkIjoiMDJjMDk2NGEwODYyN2M4ODlhOGZhNTVkOTU3Y2QyYzYiLCJ1c2VySWQiOiIyNTk1MDA3ODAifQ==</vt:lpwstr>
  </property>
  <property fmtid="{D5CDD505-2E9C-101B-9397-08002B2CF9AE}" pid="4" name="ICV">
    <vt:lpwstr>1ACD5DBA5AB840CC803C59AF0C67E467</vt:lpwstr>
  </property>
</Properties>
</file>