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CC" w:rsidRDefault="008557CC">
      <w:pPr>
        <w:widowControl/>
        <w:spacing w:line="578" w:lineRule="atLeast"/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</w:p>
    <w:p w:rsidR="008557CC" w:rsidRDefault="00A4760F">
      <w:pPr>
        <w:widowControl/>
        <w:spacing w:line="578" w:lineRule="atLeast"/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  <w:r>
        <w:rPr>
          <w:rFonts w:ascii="宋体" w:hAnsi="宋体" w:cs="宋体" w:hint="eastAsia"/>
          <w:b/>
          <w:bCs/>
          <w:kern w:val="0"/>
          <w:sz w:val="44"/>
          <w:szCs w:val="44"/>
        </w:rPr>
        <w:t>财政支出项目绩效评价报告</w:t>
      </w:r>
    </w:p>
    <w:p w:rsidR="008557CC" w:rsidRDefault="008557CC">
      <w:pPr>
        <w:widowControl/>
        <w:spacing w:line="578" w:lineRule="atLeast"/>
        <w:rPr>
          <w:rFonts w:ascii="仿宋_GB2312" w:eastAsia="仿宋_GB2312" w:hAnsi="宋体" w:cs="宋体"/>
          <w:kern w:val="0"/>
          <w:sz w:val="32"/>
          <w:szCs w:val="32"/>
        </w:rPr>
      </w:pPr>
    </w:p>
    <w:p w:rsidR="008557CC" w:rsidRDefault="008557CC">
      <w:pPr>
        <w:widowControl/>
        <w:spacing w:line="578" w:lineRule="atLeast"/>
        <w:rPr>
          <w:rFonts w:ascii="仿宋_GB2312" w:eastAsia="仿宋_GB2312" w:hAnsi="宋体" w:cs="宋体"/>
          <w:kern w:val="0"/>
          <w:sz w:val="32"/>
          <w:szCs w:val="32"/>
        </w:rPr>
      </w:pPr>
    </w:p>
    <w:p w:rsidR="008557CC" w:rsidRDefault="008557CC">
      <w:pPr>
        <w:widowControl/>
        <w:spacing w:line="578" w:lineRule="atLeast"/>
        <w:rPr>
          <w:rFonts w:ascii="仿宋_GB2312" w:eastAsia="仿宋_GB2312" w:hAnsi="宋体" w:cs="宋体"/>
          <w:kern w:val="0"/>
          <w:sz w:val="32"/>
          <w:szCs w:val="32"/>
        </w:rPr>
      </w:pPr>
    </w:p>
    <w:p w:rsidR="008557CC" w:rsidRDefault="00A4760F">
      <w:pPr>
        <w:widowControl/>
        <w:spacing w:line="578" w:lineRule="atLeast"/>
        <w:rPr>
          <w:rFonts w:ascii="仿宋_GB2312" w:eastAsia="仿宋_GB2312" w:hAnsi="宋体" w:cs="宋体"/>
          <w:kern w:val="0"/>
          <w:sz w:val="32"/>
          <w:szCs w:val="32"/>
          <w:u w:val="single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评价类型：</w:t>
      </w:r>
      <w:r>
        <w:rPr>
          <w:rFonts w:ascii="仿宋_GB2312" w:eastAsia="仿宋_GB2312" w:hAnsi="宋体" w:cs="宋体" w:hint="eastAsia"/>
          <w:spacing w:val="-20"/>
          <w:kern w:val="0"/>
          <w:sz w:val="32"/>
          <w:szCs w:val="32"/>
          <w:u w:val="single"/>
        </w:rPr>
        <w:t>□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实施过程评价</w:t>
      </w:r>
      <w:r>
        <w:rPr>
          <w:rFonts w:hAnsi="宋体"/>
          <w:sz w:val="28"/>
          <w:szCs w:val="28"/>
          <w:u w:val="single"/>
        </w:rPr>
        <w:t>√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完成结果评价</w:t>
      </w:r>
    </w:p>
    <w:p w:rsidR="008557CC" w:rsidRDefault="00A4760F">
      <w:pPr>
        <w:widowControl/>
        <w:spacing w:line="578" w:lineRule="atLeast"/>
        <w:ind w:left="1600" w:hanging="16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项目名称：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重大公共卫生服务项目补助资金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                                   </w:t>
      </w:r>
    </w:p>
    <w:p w:rsidR="008557CC" w:rsidRDefault="00A4760F">
      <w:pPr>
        <w:widowControl/>
        <w:spacing w:line="578" w:lineRule="atLeast"/>
        <w:ind w:left="1600" w:hanging="16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项目单位：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>
        <w:rPr>
          <w:rFonts w:hint="eastAsia"/>
          <w:sz w:val="29"/>
          <w:szCs w:val="29"/>
          <w:u w:val="single"/>
        </w:rPr>
        <w:t>海南省妇女儿童医学中心</w:t>
      </w:r>
    </w:p>
    <w:p w:rsidR="008557CC" w:rsidRDefault="00A4760F">
      <w:pPr>
        <w:widowControl/>
        <w:spacing w:line="578" w:lineRule="atLeast"/>
        <w:ind w:left="1600" w:hanging="16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主管部门：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>
        <w:rPr>
          <w:rFonts w:hint="eastAsia"/>
          <w:sz w:val="29"/>
          <w:szCs w:val="29"/>
          <w:u w:val="single"/>
        </w:rPr>
        <w:t>海南省卫生健康委员会</w:t>
      </w:r>
    </w:p>
    <w:p w:rsidR="008557CC" w:rsidRDefault="00A4760F">
      <w:pPr>
        <w:widowControl/>
        <w:spacing w:line="578" w:lineRule="atLeast"/>
        <w:ind w:left="1600" w:hanging="16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评价时间：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2021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年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 4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月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 20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日至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 2021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年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5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月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15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日</w:t>
      </w:r>
    </w:p>
    <w:p w:rsidR="008557CC" w:rsidRDefault="00A4760F">
      <w:pPr>
        <w:widowControl/>
        <w:spacing w:line="578" w:lineRule="atLeast"/>
        <w:ind w:left="1600" w:hanging="1600"/>
        <w:rPr>
          <w:rFonts w:ascii="仿宋_GB2312" w:eastAsia="仿宋_GB2312" w:hAnsi="宋体" w:cs="宋体"/>
          <w:kern w:val="0"/>
          <w:sz w:val="32"/>
          <w:szCs w:val="32"/>
          <w:u w:val="single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组织方式：</w:t>
      </w:r>
      <w:r>
        <w:rPr>
          <w:rFonts w:ascii="仿宋_GB2312" w:eastAsia="仿宋_GB2312" w:hAnsi="宋体" w:cs="宋体" w:hint="eastAsia"/>
          <w:spacing w:val="-20"/>
          <w:kern w:val="0"/>
          <w:sz w:val="32"/>
          <w:szCs w:val="32"/>
          <w:u w:val="single"/>
        </w:rPr>
        <w:t>□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财政部门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cs="宋体" w:hint="eastAsia"/>
          <w:spacing w:val="-20"/>
          <w:kern w:val="0"/>
          <w:sz w:val="32"/>
          <w:szCs w:val="32"/>
          <w:u w:val="single"/>
        </w:rPr>
        <w:t>□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主管部门</w:t>
      </w:r>
      <w:r>
        <w:rPr>
          <w:rFonts w:hAnsi="宋体"/>
          <w:sz w:val="28"/>
          <w:szCs w:val="28"/>
          <w:u w:val="single"/>
        </w:rPr>
        <w:t>√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项目单位</w:t>
      </w:r>
    </w:p>
    <w:p w:rsidR="008557CC" w:rsidRDefault="00A4760F">
      <w:pPr>
        <w:widowControl/>
        <w:spacing w:line="578" w:lineRule="atLeast"/>
        <w:ind w:left="1600" w:hanging="16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评价机构：</w:t>
      </w:r>
      <w:r>
        <w:rPr>
          <w:rFonts w:ascii="仿宋_GB2312" w:eastAsia="仿宋_GB2312" w:hAnsi="宋体" w:cs="宋体" w:hint="eastAsia"/>
          <w:spacing w:val="-20"/>
          <w:kern w:val="0"/>
          <w:sz w:val="32"/>
          <w:szCs w:val="32"/>
          <w:u w:val="single"/>
        </w:rPr>
        <w:t>□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中介机构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cs="宋体" w:hint="eastAsia"/>
          <w:spacing w:val="-20"/>
          <w:kern w:val="0"/>
          <w:sz w:val="32"/>
          <w:szCs w:val="32"/>
          <w:u w:val="single"/>
        </w:rPr>
        <w:t>□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专家组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 </w:t>
      </w:r>
      <w:r>
        <w:rPr>
          <w:rFonts w:hAnsi="宋体"/>
          <w:sz w:val="28"/>
          <w:szCs w:val="28"/>
          <w:u w:val="single"/>
        </w:rPr>
        <w:t>√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项目单位评价组</w:t>
      </w:r>
    </w:p>
    <w:p w:rsidR="008557CC" w:rsidRDefault="008557CC">
      <w:pPr>
        <w:widowControl/>
        <w:spacing w:line="578" w:lineRule="atLeast"/>
        <w:ind w:left="1600" w:hanging="1600"/>
        <w:rPr>
          <w:rFonts w:ascii="仿宋_GB2312" w:eastAsia="仿宋_GB2312" w:hAnsi="宋体" w:cs="宋体"/>
          <w:kern w:val="0"/>
          <w:sz w:val="32"/>
          <w:szCs w:val="32"/>
        </w:rPr>
      </w:pPr>
    </w:p>
    <w:p w:rsidR="008557CC" w:rsidRDefault="008557CC">
      <w:pPr>
        <w:widowControl/>
        <w:spacing w:line="578" w:lineRule="atLeast"/>
        <w:rPr>
          <w:rFonts w:ascii="仿宋_GB2312" w:eastAsia="仿宋_GB2312" w:hAnsi="宋体" w:cs="宋体"/>
          <w:kern w:val="0"/>
          <w:sz w:val="32"/>
          <w:szCs w:val="32"/>
        </w:rPr>
      </w:pPr>
    </w:p>
    <w:p w:rsidR="008557CC" w:rsidRDefault="008557CC">
      <w:pPr>
        <w:widowControl/>
        <w:spacing w:line="578" w:lineRule="atLeast"/>
        <w:ind w:left="1600" w:hanging="1600"/>
        <w:rPr>
          <w:rFonts w:ascii="仿宋_GB2312" w:eastAsia="仿宋_GB2312" w:hAnsi="宋体" w:cs="宋体"/>
          <w:kern w:val="0"/>
          <w:sz w:val="32"/>
          <w:szCs w:val="32"/>
        </w:rPr>
      </w:pPr>
    </w:p>
    <w:p w:rsidR="008557CC" w:rsidRDefault="008557CC">
      <w:pPr>
        <w:widowControl/>
        <w:spacing w:line="578" w:lineRule="atLeast"/>
        <w:ind w:left="1600" w:hanging="1600"/>
        <w:rPr>
          <w:rFonts w:ascii="仿宋_GB2312" w:eastAsia="仿宋_GB2312" w:hAnsi="宋体" w:cs="宋体"/>
          <w:kern w:val="0"/>
          <w:sz w:val="32"/>
          <w:szCs w:val="32"/>
        </w:rPr>
      </w:pPr>
    </w:p>
    <w:p w:rsidR="008557CC" w:rsidRDefault="00A4760F">
      <w:pPr>
        <w:widowControl/>
        <w:spacing w:line="578" w:lineRule="atLeast"/>
        <w:ind w:left="1600" w:hanging="16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评价单位（盖章）：</w:t>
      </w:r>
    </w:p>
    <w:p w:rsidR="008557CC" w:rsidRDefault="00A4760F">
      <w:pPr>
        <w:widowControl/>
        <w:spacing w:line="578" w:lineRule="atLeast"/>
        <w:ind w:left="1600" w:hanging="16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上报时间：</w:t>
      </w:r>
    </w:p>
    <w:p w:rsidR="008557CC" w:rsidRDefault="008557CC">
      <w:pPr>
        <w:widowControl/>
        <w:spacing w:line="578" w:lineRule="atLeast"/>
        <w:jc w:val="left"/>
        <w:rPr>
          <w:rFonts w:ascii="仿宋_GB2312" w:eastAsia="仿宋_GB2312" w:hAnsi="宋体" w:cs="宋体"/>
          <w:b/>
          <w:bCs/>
          <w:kern w:val="0"/>
          <w:sz w:val="32"/>
          <w:szCs w:val="32"/>
        </w:rPr>
      </w:pPr>
    </w:p>
    <w:p w:rsidR="008557CC" w:rsidRDefault="008557CC">
      <w:pPr>
        <w:widowControl/>
        <w:spacing w:line="578" w:lineRule="atLeas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8557CC" w:rsidRDefault="00A4760F">
      <w:pPr>
        <w:widowControl/>
        <w:spacing w:line="578" w:lineRule="atLeast"/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  <w:r>
        <w:rPr>
          <w:rFonts w:ascii="宋体" w:hAnsi="宋体" w:cs="宋体" w:hint="eastAsia"/>
          <w:b/>
          <w:bCs/>
          <w:kern w:val="0"/>
          <w:sz w:val="44"/>
          <w:szCs w:val="44"/>
        </w:rPr>
        <w:lastRenderedPageBreak/>
        <w:t>项目基本信息表</w:t>
      </w:r>
    </w:p>
    <w:p w:rsidR="008557CC" w:rsidRDefault="008557CC">
      <w:pPr>
        <w:widowControl/>
        <w:spacing w:line="578" w:lineRule="atLeast"/>
        <w:jc w:val="center"/>
        <w:rPr>
          <w:rFonts w:ascii="仿宋_GB2312" w:eastAsia="仿宋_GB2312" w:hAnsi="宋体" w:cs="宋体"/>
          <w:b/>
          <w:bCs/>
          <w:kern w:val="0"/>
          <w:sz w:val="44"/>
          <w:szCs w:val="44"/>
        </w:rPr>
      </w:pPr>
    </w:p>
    <w:tbl>
      <w:tblPr>
        <w:tblW w:w="0" w:type="auto"/>
        <w:jc w:val="center"/>
        <w:tblLayout w:type="fixed"/>
        <w:tblCellMar>
          <w:left w:w="85" w:type="dxa"/>
          <w:right w:w="85" w:type="dxa"/>
        </w:tblCellMar>
        <w:tblLook w:val="04A0"/>
      </w:tblPr>
      <w:tblGrid>
        <w:gridCol w:w="22"/>
        <w:gridCol w:w="1255"/>
        <w:gridCol w:w="210"/>
        <w:gridCol w:w="257"/>
        <w:gridCol w:w="398"/>
        <w:gridCol w:w="457"/>
        <w:gridCol w:w="336"/>
        <w:gridCol w:w="434"/>
        <w:gridCol w:w="24"/>
        <w:gridCol w:w="753"/>
        <w:gridCol w:w="125"/>
        <w:gridCol w:w="1068"/>
        <w:gridCol w:w="9"/>
        <w:gridCol w:w="432"/>
        <w:gridCol w:w="398"/>
        <w:gridCol w:w="706"/>
        <w:gridCol w:w="172"/>
        <w:gridCol w:w="1714"/>
        <w:gridCol w:w="13"/>
        <w:gridCol w:w="190"/>
        <w:gridCol w:w="454"/>
      </w:tblGrid>
      <w:tr w:rsidR="008557CC" w:rsidTr="00C63A77">
        <w:trPr>
          <w:gridBefore w:val="1"/>
          <w:gridAfter w:val="3"/>
          <w:wBefore w:w="22" w:type="dxa"/>
          <w:wAfter w:w="657" w:type="dxa"/>
          <w:trHeight w:val="20"/>
          <w:jc w:val="center"/>
        </w:trPr>
        <w:tc>
          <w:tcPr>
            <w:tcW w:w="874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一、项目基本情况</w:t>
            </w:r>
          </w:p>
        </w:tc>
      </w:tr>
      <w:tr w:rsidR="008557CC" w:rsidTr="00C63A77">
        <w:trPr>
          <w:gridBefore w:val="1"/>
          <w:gridAfter w:val="3"/>
          <w:wBefore w:w="22" w:type="dxa"/>
          <w:wAfter w:w="657" w:type="dxa"/>
          <w:trHeight w:val="20"/>
          <w:jc w:val="center"/>
        </w:trPr>
        <w:tc>
          <w:tcPr>
            <w:tcW w:w="1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项目实施单位</w:t>
            </w:r>
          </w:p>
        </w:tc>
        <w:tc>
          <w:tcPr>
            <w:tcW w:w="164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海南省妇女儿童医学中心</w:t>
            </w:r>
          </w:p>
        </w:tc>
        <w:tc>
          <w:tcPr>
            <w:tcW w:w="278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25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海南省卫生健康委员会</w:t>
            </w:r>
          </w:p>
        </w:tc>
      </w:tr>
      <w:tr w:rsidR="008557CC" w:rsidTr="00C63A77">
        <w:trPr>
          <w:gridBefore w:val="1"/>
          <w:gridAfter w:val="3"/>
          <w:wBefore w:w="22" w:type="dxa"/>
          <w:wAfter w:w="657" w:type="dxa"/>
          <w:trHeight w:val="20"/>
          <w:jc w:val="center"/>
        </w:trPr>
        <w:tc>
          <w:tcPr>
            <w:tcW w:w="1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164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吴维学</w:t>
            </w:r>
          </w:p>
        </w:tc>
        <w:tc>
          <w:tcPr>
            <w:tcW w:w="278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18689856336</w:t>
            </w:r>
          </w:p>
        </w:tc>
      </w:tr>
      <w:tr w:rsidR="008557CC" w:rsidTr="00C63A77">
        <w:trPr>
          <w:gridBefore w:val="1"/>
          <w:gridAfter w:val="3"/>
          <w:wBefore w:w="22" w:type="dxa"/>
          <w:wAfter w:w="657" w:type="dxa"/>
          <w:trHeight w:val="20"/>
          <w:jc w:val="center"/>
        </w:trPr>
        <w:tc>
          <w:tcPr>
            <w:tcW w:w="1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地址</w:t>
            </w:r>
          </w:p>
        </w:tc>
        <w:tc>
          <w:tcPr>
            <w:tcW w:w="443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海口市龙昆南路</w:t>
            </w: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号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邮编</w:t>
            </w:r>
          </w:p>
        </w:tc>
        <w:tc>
          <w:tcPr>
            <w:tcW w:w="17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570206</w:t>
            </w:r>
          </w:p>
        </w:tc>
      </w:tr>
      <w:tr w:rsidR="008557CC" w:rsidTr="00C63A77">
        <w:trPr>
          <w:gridBefore w:val="1"/>
          <w:gridAfter w:val="3"/>
          <w:wBefore w:w="22" w:type="dxa"/>
          <w:wAfter w:w="657" w:type="dxa"/>
          <w:trHeight w:val="632"/>
          <w:jc w:val="center"/>
        </w:trPr>
        <w:tc>
          <w:tcPr>
            <w:tcW w:w="1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项目类型</w:t>
            </w:r>
          </w:p>
        </w:tc>
        <w:tc>
          <w:tcPr>
            <w:tcW w:w="7026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经常性项目（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>一次性项目（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</w:tr>
      <w:tr w:rsidR="008557CC" w:rsidTr="00C63A77">
        <w:trPr>
          <w:gridBefore w:val="1"/>
          <w:gridAfter w:val="2"/>
          <w:wBefore w:w="22" w:type="dxa"/>
          <w:wAfter w:w="644" w:type="dxa"/>
          <w:trHeight w:val="20"/>
          <w:jc w:val="center"/>
        </w:trPr>
        <w:tc>
          <w:tcPr>
            <w:tcW w:w="1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计划投资额</w:t>
            </w:r>
          </w:p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233.8</w:t>
            </w:r>
          </w:p>
        </w:tc>
        <w:tc>
          <w:tcPr>
            <w:tcW w:w="167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实际到位资金（万元）</w:t>
            </w:r>
          </w:p>
        </w:tc>
        <w:tc>
          <w:tcPr>
            <w:tcW w:w="10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233.8</w:t>
            </w:r>
          </w:p>
        </w:tc>
        <w:tc>
          <w:tcPr>
            <w:tcW w:w="154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实际使用情况（万元）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105.1</w:t>
            </w:r>
          </w:p>
        </w:tc>
      </w:tr>
      <w:tr w:rsidR="008557CC" w:rsidTr="00C63A77">
        <w:trPr>
          <w:gridBefore w:val="1"/>
          <w:gridAfter w:val="2"/>
          <w:wBefore w:w="22" w:type="dxa"/>
          <w:wAfter w:w="644" w:type="dxa"/>
          <w:trHeight w:val="20"/>
          <w:jc w:val="center"/>
        </w:trPr>
        <w:tc>
          <w:tcPr>
            <w:tcW w:w="1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其中：中央财政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233.8</w:t>
            </w:r>
          </w:p>
        </w:tc>
        <w:tc>
          <w:tcPr>
            <w:tcW w:w="167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其中：中央财政</w:t>
            </w:r>
          </w:p>
        </w:tc>
        <w:tc>
          <w:tcPr>
            <w:tcW w:w="10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233.8</w:t>
            </w:r>
          </w:p>
        </w:tc>
        <w:tc>
          <w:tcPr>
            <w:tcW w:w="154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557CC" w:rsidTr="00C63A77">
        <w:trPr>
          <w:gridBefore w:val="1"/>
          <w:gridAfter w:val="2"/>
          <w:wBefore w:w="22" w:type="dxa"/>
          <w:wAfter w:w="644" w:type="dxa"/>
          <w:trHeight w:val="20"/>
          <w:jc w:val="center"/>
        </w:trPr>
        <w:tc>
          <w:tcPr>
            <w:tcW w:w="1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省财政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7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省财政</w:t>
            </w:r>
          </w:p>
        </w:tc>
        <w:tc>
          <w:tcPr>
            <w:tcW w:w="10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4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557CC" w:rsidTr="00C63A77">
        <w:trPr>
          <w:gridBefore w:val="1"/>
          <w:gridAfter w:val="2"/>
          <w:wBefore w:w="22" w:type="dxa"/>
          <w:wAfter w:w="644" w:type="dxa"/>
          <w:trHeight w:val="20"/>
          <w:jc w:val="center"/>
        </w:trPr>
        <w:tc>
          <w:tcPr>
            <w:tcW w:w="1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市县财政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7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市县财政</w:t>
            </w:r>
          </w:p>
        </w:tc>
        <w:tc>
          <w:tcPr>
            <w:tcW w:w="10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4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557CC" w:rsidTr="00C63A77">
        <w:trPr>
          <w:gridBefore w:val="1"/>
          <w:gridAfter w:val="2"/>
          <w:wBefore w:w="22" w:type="dxa"/>
          <w:wAfter w:w="644" w:type="dxa"/>
          <w:trHeight w:val="20"/>
          <w:jc w:val="center"/>
        </w:trPr>
        <w:tc>
          <w:tcPr>
            <w:tcW w:w="1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其他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7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其他</w:t>
            </w:r>
          </w:p>
        </w:tc>
        <w:tc>
          <w:tcPr>
            <w:tcW w:w="10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4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557CC" w:rsidTr="00C63A77">
        <w:trPr>
          <w:gridBefore w:val="1"/>
          <w:gridAfter w:val="2"/>
          <w:wBefore w:w="22" w:type="dxa"/>
          <w:wAfter w:w="644" w:type="dxa"/>
          <w:trHeight w:val="953"/>
          <w:jc w:val="center"/>
        </w:trPr>
        <w:tc>
          <w:tcPr>
            <w:tcW w:w="876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spacing w:line="20" w:lineRule="atLeas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二、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绩效评价指标评分（参考）</w:t>
            </w:r>
          </w:p>
        </w:tc>
      </w:tr>
      <w:tr w:rsidR="008557CC" w:rsidTr="00C63A77">
        <w:trPr>
          <w:trHeight w:val="20"/>
          <w:jc w:val="center"/>
        </w:trPr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2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20"/>
          <w:jc w:val="center"/>
        </w:trPr>
        <w:tc>
          <w:tcPr>
            <w:tcW w:w="12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项目决策</w:t>
            </w:r>
          </w:p>
        </w:tc>
        <w:tc>
          <w:tcPr>
            <w:tcW w:w="865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2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项目目标</w:t>
            </w: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inline distT="0" distB="0" distL="0" distR="0">
                  <wp:extent cx="15240" cy="15240"/>
                  <wp:effectExtent l="0" t="0" r="0" b="0"/>
                  <wp:docPr id="1" name="图片 5" descr="wps89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5" descr="wps89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inline distT="0" distB="0" distL="0" distR="0">
                  <wp:extent cx="15240" cy="15240"/>
                  <wp:effectExtent l="0" t="0" r="0" b="0"/>
                  <wp:docPr id="2" name="图片 6" descr="wps89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6" descr="wps89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inline distT="0" distB="0" distL="0" distR="0">
                  <wp:extent cx="15240" cy="15240"/>
                  <wp:effectExtent l="0" t="0" r="0" b="0"/>
                  <wp:docPr id="3" name="图片 7" descr="wps89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7" descr="wps89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inline distT="0" distB="0" distL="0" distR="0">
                  <wp:extent cx="15240" cy="15240"/>
                  <wp:effectExtent l="0" t="0" r="0" b="0"/>
                  <wp:docPr id="4" name="图片 8" descr="wps8A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8" descr="wps8A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目标内容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20"/>
          <w:jc w:val="center"/>
        </w:trPr>
        <w:tc>
          <w:tcPr>
            <w:tcW w:w="12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决策过程</w:t>
            </w: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决策依据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20"/>
          <w:jc w:val="center"/>
        </w:trPr>
        <w:tc>
          <w:tcPr>
            <w:tcW w:w="12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决策程序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20"/>
          <w:jc w:val="center"/>
        </w:trPr>
        <w:tc>
          <w:tcPr>
            <w:tcW w:w="12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资金分配</w:t>
            </w: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分配办法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20"/>
          <w:jc w:val="center"/>
        </w:trPr>
        <w:tc>
          <w:tcPr>
            <w:tcW w:w="12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分配结果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20"/>
          <w:jc w:val="center"/>
        </w:trPr>
        <w:tc>
          <w:tcPr>
            <w:tcW w:w="127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项目管理</w:t>
            </w:r>
          </w:p>
        </w:tc>
        <w:tc>
          <w:tcPr>
            <w:tcW w:w="865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22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资金到位</w:t>
            </w: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到位率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20"/>
          <w:jc w:val="center"/>
        </w:trPr>
        <w:tc>
          <w:tcPr>
            <w:tcW w:w="12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到位时效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20"/>
          <w:jc w:val="center"/>
        </w:trPr>
        <w:tc>
          <w:tcPr>
            <w:tcW w:w="12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资金管理</w:t>
            </w: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资金使用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20"/>
          <w:jc w:val="center"/>
        </w:trPr>
        <w:tc>
          <w:tcPr>
            <w:tcW w:w="12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财务管理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20"/>
          <w:jc w:val="center"/>
        </w:trPr>
        <w:tc>
          <w:tcPr>
            <w:tcW w:w="12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组织实施</w:t>
            </w: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组织机构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465"/>
          <w:jc w:val="center"/>
        </w:trPr>
        <w:tc>
          <w:tcPr>
            <w:tcW w:w="12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管理制度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20"/>
          <w:jc w:val="center"/>
        </w:trPr>
        <w:tc>
          <w:tcPr>
            <w:tcW w:w="12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数量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培训人次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20"/>
          <w:jc w:val="center"/>
        </w:trPr>
        <w:tc>
          <w:tcPr>
            <w:tcW w:w="127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865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A4760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122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 w:val="18"/>
              </w:rPr>
              <w:t>孕产妇</w:t>
            </w:r>
            <w:r>
              <w:rPr>
                <w:sz w:val="18"/>
              </w:rPr>
              <w:t>HIV</w:t>
            </w:r>
            <w:r>
              <w:rPr>
                <w:rFonts w:hint="eastAsia"/>
                <w:sz w:val="18"/>
              </w:rPr>
              <w:t>检测率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20"/>
          <w:jc w:val="center"/>
        </w:trPr>
        <w:tc>
          <w:tcPr>
            <w:tcW w:w="12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 w:val="18"/>
              </w:rPr>
              <w:t>孕产妇</w:t>
            </w:r>
            <w:r>
              <w:rPr>
                <w:sz w:val="18"/>
              </w:rPr>
              <w:t>梅毒检测率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20"/>
          <w:jc w:val="center"/>
        </w:trPr>
        <w:tc>
          <w:tcPr>
            <w:tcW w:w="12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 w:val="18"/>
              </w:rPr>
              <w:t>孕产妇</w:t>
            </w:r>
            <w:r>
              <w:rPr>
                <w:color w:val="000000"/>
                <w:szCs w:val="21"/>
              </w:rPr>
              <w:t>乙肝检测率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20"/>
          <w:jc w:val="center"/>
        </w:trPr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2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1205"/>
          <w:jc w:val="center"/>
        </w:trPr>
        <w:tc>
          <w:tcPr>
            <w:tcW w:w="41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评价等次</w:t>
            </w:r>
          </w:p>
        </w:tc>
        <w:tc>
          <w:tcPr>
            <w:tcW w:w="463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20"/>
          <w:jc w:val="center"/>
        </w:trPr>
        <w:tc>
          <w:tcPr>
            <w:tcW w:w="878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三、评价人员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20"/>
          <w:jc w:val="center"/>
        </w:trPr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姓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Cs w:val="21"/>
              </w:rPr>
              <w:t>名</w:t>
            </w: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职务</w:t>
            </w:r>
            <w:r>
              <w:rPr>
                <w:rFonts w:ascii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职称</w:t>
            </w:r>
          </w:p>
        </w:tc>
        <w:tc>
          <w:tcPr>
            <w:tcW w:w="241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单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Cs w:val="21"/>
              </w:rPr>
              <w:t>位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项目评分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签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</w:rPr>
              <w:t>字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673"/>
          <w:jc w:val="center"/>
        </w:trPr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汤成毅</w:t>
            </w: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保障部主任</w:t>
            </w:r>
          </w:p>
        </w:tc>
        <w:tc>
          <w:tcPr>
            <w:tcW w:w="241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海南省妇女儿童医学中心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652"/>
          <w:jc w:val="center"/>
        </w:trPr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曹霞</w:t>
            </w: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保健部主任</w:t>
            </w:r>
          </w:p>
        </w:tc>
        <w:tc>
          <w:tcPr>
            <w:tcW w:w="241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海南省妇女儿童医学中心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8557CC">
            <w:pPr>
              <w:widowControl/>
              <w:spacing w:line="20" w:lineRule="atLeast"/>
              <w:jc w:val="center"/>
              <w:rPr>
                <w:sz w:val="18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8557CC">
            <w:pPr>
              <w:widowControl/>
              <w:spacing w:line="20" w:lineRule="atLeast"/>
              <w:jc w:val="center"/>
              <w:rPr>
                <w:sz w:val="18"/>
              </w:rPr>
            </w:pP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562"/>
          <w:jc w:val="center"/>
        </w:trPr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倪碧莲</w:t>
            </w: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纪检科主任</w:t>
            </w:r>
          </w:p>
        </w:tc>
        <w:tc>
          <w:tcPr>
            <w:tcW w:w="241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海南省妇女儿童医学中心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8557CC">
            <w:pPr>
              <w:widowControl/>
              <w:spacing w:line="20" w:lineRule="atLeast"/>
              <w:jc w:val="center"/>
              <w:rPr>
                <w:sz w:val="18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8557CC">
            <w:pPr>
              <w:widowControl/>
              <w:spacing w:line="20" w:lineRule="atLeast"/>
              <w:jc w:val="center"/>
              <w:rPr>
                <w:sz w:val="18"/>
              </w:rPr>
            </w:pP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777"/>
          <w:jc w:val="center"/>
        </w:trPr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李碧蓉</w:t>
            </w: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财务科主任</w:t>
            </w:r>
          </w:p>
        </w:tc>
        <w:tc>
          <w:tcPr>
            <w:tcW w:w="241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海南省妇女儿童医学中心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8557CC">
            <w:pPr>
              <w:widowControl/>
              <w:spacing w:line="20" w:lineRule="atLeast"/>
              <w:jc w:val="center"/>
              <w:rPr>
                <w:sz w:val="18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8557CC">
            <w:pPr>
              <w:widowControl/>
              <w:spacing w:line="20" w:lineRule="atLeast"/>
              <w:jc w:val="center"/>
              <w:rPr>
                <w:sz w:val="18"/>
              </w:rPr>
            </w:pP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677"/>
          <w:jc w:val="center"/>
        </w:trPr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肖美芳</w:t>
            </w: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检验科主任</w:t>
            </w:r>
          </w:p>
        </w:tc>
        <w:tc>
          <w:tcPr>
            <w:tcW w:w="241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海南省妇女儿童医学中心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8557CC">
            <w:pPr>
              <w:widowControl/>
              <w:spacing w:line="20" w:lineRule="atLeast"/>
              <w:jc w:val="center"/>
              <w:rPr>
                <w:sz w:val="18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8557CC">
            <w:pPr>
              <w:widowControl/>
              <w:spacing w:line="20" w:lineRule="atLeast"/>
              <w:jc w:val="center"/>
              <w:rPr>
                <w:sz w:val="18"/>
              </w:rPr>
            </w:pP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20"/>
          <w:jc w:val="center"/>
        </w:trPr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合计</w:t>
            </w: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A4A4A4"/>
                <w:kern w:val="0"/>
                <w:szCs w:val="21"/>
              </w:rPr>
              <w:t>平均得分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8557CC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557CC" w:rsidTr="00C63A77">
        <w:trPr>
          <w:trHeight w:val="20"/>
          <w:jc w:val="center"/>
        </w:trPr>
        <w:tc>
          <w:tcPr>
            <w:tcW w:w="878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7CC" w:rsidRDefault="008557CC">
            <w:pPr>
              <w:widowControl/>
              <w:spacing w:line="578" w:lineRule="atLeast"/>
              <w:rPr>
                <w:rFonts w:ascii="宋体" w:hAnsi="宋体" w:cs="宋体"/>
                <w:kern w:val="0"/>
                <w:szCs w:val="21"/>
              </w:rPr>
            </w:pPr>
          </w:p>
          <w:p w:rsidR="008557CC" w:rsidRDefault="008557CC">
            <w:pPr>
              <w:widowControl/>
              <w:spacing w:line="578" w:lineRule="atLeast"/>
              <w:rPr>
                <w:rFonts w:ascii="宋体" w:hAnsi="宋体" w:cs="宋体"/>
                <w:kern w:val="0"/>
                <w:szCs w:val="21"/>
              </w:rPr>
            </w:pPr>
          </w:p>
          <w:p w:rsidR="008557CC" w:rsidRDefault="008557CC">
            <w:pPr>
              <w:widowControl/>
              <w:spacing w:line="578" w:lineRule="atLeast"/>
              <w:rPr>
                <w:rFonts w:ascii="宋体" w:hAnsi="宋体" w:cs="宋体"/>
                <w:kern w:val="0"/>
                <w:szCs w:val="21"/>
              </w:rPr>
            </w:pPr>
          </w:p>
          <w:p w:rsidR="008557CC" w:rsidRDefault="00A4760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评价工作组组长（签字并单位盖章）：</w:t>
            </w:r>
          </w:p>
          <w:p w:rsidR="008557CC" w:rsidRDefault="008557CC">
            <w:pPr>
              <w:widowControl/>
              <w:spacing w:line="578" w:lineRule="atLeast"/>
              <w:rPr>
                <w:rFonts w:ascii="宋体" w:hAnsi="宋体" w:cs="宋体"/>
                <w:kern w:val="0"/>
                <w:szCs w:val="21"/>
              </w:rPr>
            </w:pPr>
          </w:p>
          <w:p w:rsidR="008557CC" w:rsidRDefault="00A4760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190" w:type="dxa"/>
            <w:vAlign w:val="center"/>
          </w:tcPr>
          <w:p w:rsidR="008557CC" w:rsidRDefault="008557C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8557CC" w:rsidRDefault="008557CC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</w:tbl>
    <w:p w:rsidR="008557CC" w:rsidRDefault="00A4760F">
      <w:pPr>
        <w:widowControl/>
        <w:spacing w:line="578" w:lineRule="atLeast"/>
        <w:ind w:firstLineChars="396" w:firstLine="1749"/>
        <w:rPr>
          <w:rFonts w:ascii="宋体" w:hAns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lastRenderedPageBreak/>
        <w:t>财政支出项目绩效评价报告</w:t>
      </w:r>
    </w:p>
    <w:p w:rsidR="008557CC" w:rsidRDefault="008557CC">
      <w:pPr>
        <w:widowControl/>
        <w:spacing w:line="578" w:lineRule="atLeast"/>
        <w:jc w:val="center"/>
        <w:rPr>
          <w:rFonts w:ascii="宋体" w:hAnsi="宋体" w:cs="宋体"/>
          <w:b/>
          <w:bCs/>
          <w:color w:val="000000"/>
          <w:kern w:val="0"/>
          <w:sz w:val="44"/>
          <w:szCs w:val="44"/>
        </w:rPr>
      </w:pP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一、项目概况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（一）项目基本性质、用途和主要内容</w:t>
      </w:r>
    </w:p>
    <w:p w:rsidR="008557CC" w:rsidRDefault="00A4760F">
      <w:pPr>
        <w:widowControl/>
        <w:spacing w:line="578" w:lineRule="atLeast"/>
        <w:ind w:firstLine="640"/>
        <w:rPr>
          <w:rFonts w:ascii="仿宋" w:eastAsia="仿宋" w:hAnsi="仿宋"/>
          <w:bCs/>
          <w:color w:val="000000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z w:val="32"/>
          <w:szCs w:val="32"/>
        </w:rPr>
        <w:t>该项目用于采购全省各市县项目所需</w:t>
      </w:r>
      <w:r>
        <w:rPr>
          <w:rFonts w:ascii="仿宋" w:eastAsia="仿宋" w:hAnsi="仿宋"/>
          <w:bCs/>
          <w:color w:val="000000"/>
          <w:sz w:val="32"/>
          <w:szCs w:val="32"/>
        </w:rPr>
        <w:t>试剂药品、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组织</w:t>
      </w:r>
      <w:r>
        <w:rPr>
          <w:rFonts w:ascii="仿宋" w:eastAsia="仿宋" w:hAnsi="仿宋"/>
          <w:bCs/>
          <w:color w:val="000000"/>
          <w:sz w:val="32"/>
          <w:szCs w:val="32"/>
        </w:rPr>
        <w:t>培训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及现场</w:t>
      </w:r>
      <w:r>
        <w:rPr>
          <w:rFonts w:ascii="仿宋" w:eastAsia="仿宋" w:hAnsi="仿宋"/>
          <w:bCs/>
          <w:color w:val="000000"/>
          <w:sz w:val="32"/>
          <w:szCs w:val="32"/>
        </w:rPr>
        <w:t>指导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、维护数据信息系统、印制登记台账</w:t>
      </w:r>
      <w:r>
        <w:rPr>
          <w:rFonts w:ascii="仿宋" w:eastAsia="仿宋" w:hAnsi="仿宋"/>
          <w:bCs/>
          <w:color w:val="000000"/>
          <w:sz w:val="32"/>
          <w:szCs w:val="32"/>
        </w:rPr>
        <w:t>等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。</w:t>
      </w:r>
    </w:p>
    <w:p w:rsidR="008557CC" w:rsidRDefault="00A4760F">
      <w:pPr>
        <w:widowControl/>
        <w:spacing w:line="578" w:lineRule="atLeast"/>
        <w:ind w:firstLine="640"/>
        <w:rPr>
          <w:rFonts w:ascii="仿宋" w:eastAsia="仿宋" w:hAnsi="仿宋"/>
          <w:bCs/>
          <w:color w:val="000000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z w:val="32"/>
          <w:szCs w:val="32"/>
        </w:rPr>
        <w:t>海南省妇女儿童医学中心（海南省妇幼保健院）是全省预防艾滋病、梅毒和乙肝母婴传播项目省级管理单位，负责市县项目技术指导、监督、培训、信息管理等工作。我单位严格按照</w:t>
      </w:r>
      <w:r>
        <w:rPr>
          <w:rFonts w:ascii="仿宋" w:eastAsia="仿宋" w:hAnsi="仿宋"/>
          <w:bCs/>
          <w:color w:val="000000"/>
          <w:sz w:val="32"/>
          <w:szCs w:val="32"/>
        </w:rPr>
        <w:t>专项资金管理规定，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合理使用中央财政支持我省</w:t>
      </w:r>
      <w:r>
        <w:rPr>
          <w:rFonts w:ascii="仿宋" w:eastAsia="仿宋" w:hAnsi="仿宋"/>
          <w:bCs/>
          <w:color w:val="000000"/>
          <w:sz w:val="32"/>
          <w:szCs w:val="32"/>
        </w:rPr>
        <w:t>母婴阻断专项经费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。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（二）项目绩效目标</w:t>
      </w:r>
    </w:p>
    <w:p w:rsidR="008557CC" w:rsidRDefault="00A4760F">
      <w:pPr>
        <w:spacing w:line="360" w:lineRule="auto"/>
        <w:ind w:firstLineChars="200" w:firstLine="640"/>
        <w:outlineLvl w:val="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通过对全省医疗卫生机构培训、会议、技术指导，健康教育、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集中采购</w:t>
      </w:r>
      <w:r>
        <w:rPr>
          <w:rFonts w:ascii="仿宋" w:eastAsia="仿宋" w:hAnsi="仿宋"/>
          <w:bCs/>
          <w:color w:val="000000"/>
          <w:sz w:val="32"/>
          <w:szCs w:val="32"/>
        </w:rPr>
        <w:t>试剂药品、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维护数据信息系统</w:t>
      </w:r>
      <w:r>
        <w:rPr>
          <w:rFonts w:ascii="仿宋" w:eastAsia="仿宋" w:hAnsi="仿宋" w:hint="eastAsia"/>
          <w:color w:val="000000"/>
          <w:sz w:val="32"/>
          <w:szCs w:val="32"/>
        </w:rPr>
        <w:t>等方式，有效提高我省妇幼人员工作水平，提高我省妇幼系统能力建设，有效降低艾滋病母婴传播率、先天梅毒报告发病率，妇幼各项指标取得达标。差旅目的达成率、会议目标达成率、培训目的达成率均在</w:t>
      </w:r>
      <w:r>
        <w:rPr>
          <w:rFonts w:ascii="仿宋" w:eastAsia="仿宋" w:hAnsi="仿宋" w:hint="eastAsia"/>
          <w:color w:val="000000"/>
          <w:sz w:val="32"/>
          <w:szCs w:val="32"/>
        </w:rPr>
        <w:t>90%</w:t>
      </w:r>
      <w:r>
        <w:rPr>
          <w:rFonts w:ascii="仿宋" w:eastAsia="仿宋" w:hAnsi="仿宋" w:hint="eastAsia"/>
          <w:color w:val="000000"/>
          <w:sz w:val="32"/>
          <w:szCs w:val="32"/>
        </w:rPr>
        <w:t>以上。</w:t>
      </w:r>
    </w:p>
    <w:p w:rsidR="008557CC" w:rsidRDefault="00A4760F">
      <w:pPr>
        <w:widowControl/>
        <w:spacing w:line="578" w:lineRule="atLeas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二、项目资金使用及管理情况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（一）项目资金到位情况分析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日下达资金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208.5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万元（琼财社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[2020]53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号），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9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27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调整支出经济分类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7.32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万元（琼财社函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[2020]435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号），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12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日下达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25.3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万元（琼财社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[2020]880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号），共计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233.8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万元。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（二）项目资金使用情况分析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截止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2020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31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日，累计已使用资金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105.1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万元，项目资金支付率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45%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均为中央补助资金，剩余资金按照规定结转第二年使用。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项目资金均按预算和规定用途使用，未出现虚列项目支出情况，不存在截留、挤占、挪用项目资金情况，也不存在超标准开支情况。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（三）项目资金管理情况分析</w:t>
      </w:r>
    </w:p>
    <w:p w:rsidR="008557CC" w:rsidRDefault="00A4760F">
      <w:pPr>
        <w:spacing w:line="578" w:lineRule="exact"/>
        <w:ind w:firstLineChars="200" w:firstLine="640"/>
        <w:outlineLvl w:val="0"/>
        <w:rPr>
          <w:rFonts w:ascii="仿宋" w:eastAsia="仿宋" w:hAnsi="仿宋"/>
          <w:bCs/>
          <w:color w:val="000000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z w:val="32"/>
          <w:szCs w:val="32"/>
        </w:rPr>
        <w:t>该项目资金做到专款专用，在实施过程中按照指标文件用途执行。项目经费使用由单位财务部统一管理，支付按照项目管理制度执行。在项目资金管理上，我单位建立健全资金管理和费用支出制度，遵守《政府会计制度》《中华人民共和国会计法》《会计基础工作规范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》《现金管理制度》《省妇幼保健院财务会计内控管理制度》并严格执行，会计核算规范；同时重大项目的安排和资金使用支出均严格按照“三重一大”集体决策制度和报告审批制度执行。支付款项按照合同和项目进度，由使用科室和保障部签名验收，分管项目的经办人和主任签名，经财务部和监察审计科审核后，报分管院领导审批，最后提交院务会、党委会集体审议批准。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三、项目组织实施情况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（一）项目组织情况分析</w:t>
      </w:r>
    </w:p>
    <w:p w:rsidR="008557CC" w:rsidRDefault="00A4760F">
      <w:pPr>
        <w:spacing w:line="360" w:lineRule="auto"/>
        <w:ind w:firstLine="645"/>
        <w:rPr>
          <w:rFonts w:ascii="仿宋" w:eastAsia="仿宋" w:hAnsi="仿宋"/>
          <w:bCs/>
          <w:color w:val="000000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z w:val="32"/>
          <w:szCs w:val="32"/>
        </w:rPr>
        <w:t>严格按照省卫生健康委妇幼处及我单位统一安排，</w:t>
      </w:r>
      <w:r>
        <w:rPr>
          <w:rFonts w:ascii="仿宋" w:eastAsia="仿宋" w:hAnsi="仿宋" w:hint="eastAsia"/>
          <w:color w:val="000000"/>
          <w:sz w:val="32"/>
          <w:szCs w:val="32"/>
        </w:rPr>
        <w:t>对全省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预防艾滋病、梅毒和乙肝母婴传播项目工作进行</w:t>
      </w:r>
      <w:r>
        <w:rPr>
          <w:rFonts w:ascii="仿宋" w:eastAsia="仿宋" w:hAnsi="仿宋" w:hint="eastAsia"/>
          <w:color w:val="000000"/>
          <w:sz w:val="32"/>
          <w:szCs w:val="32"/>
        </w:rPr>
        <w:t>培训、会议、技术指导，健康教育、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集中采购</w:t>
      </w:r>
      <w:r>
        <w:rPr>
          <w:rFonts w:ascii="仿宋" w:eastAsia="仿宋" w:hAnsi="仿宋"/>
          <w:bCs/>
          <w:color w:val="000000"/>
          <w:sz w:val="32"/>
          <w:szCs w:val="32"/>
        </w:rPr>
        <w:t>试剂药品、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维护数据信息系统</w:t>
      </w:r>
      <w:r>
        <w:rPr>
          <w:rFonts w:ascii="仿宋" w:eastAsia="仿宋" w:hAnsi="仿宋" w:hint="eastAsia"/>
          <w:color w:val="000000"/>
          <w:sz w:val="32"/>
          <w:szCs w:val="32"/>
        </w:rPr>
        <w:t>等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，完成相关项目的工作要求。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（二）项目管理情况分析</w:t>
      </w:r>
    </w:p>
    <w:p w:rsidR="008557CC" w:rsidRDefault="00A4760F">
      <w:pPr>
        <w:spacing w:line="360" w:lineRule="auto"/>
        <w:ind w:firstLineChars="200" w:firstLine="640"/>
        <w:outlineLvl w:val="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我单位制订了项目管理制度和健全的项目资金管理办法，并在实施过程中严格执行，强化日常检查监督。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四、项目绩效情况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（一）项目绩效目标完成情况分析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1. 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项目的经济性分析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）项目成本（预算）控制情况</w:t>
      </w:r>
    </w:p>
    <w:p w:rsidR="008557CC" w:rsidRDefault="00A4760F">
      <w:pPr>
        <w:spacing w:line="360" w:lineRule="auto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严格控制项目成本，未出现超预算现象</w:t>
      </w:r>
      <w:r>
        <w:rPr>
          <w:rFonts w:ascii="仿宋" w:eastAsia="仿宋" w:hAnsi="仿宋" w:hint="eastAsia"/>
          <w:szCs w:val="32"/>
        </w:rPr>
        <w:t>。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）项目成本（预算）节约情况</w:t>
      </w:r>
    </w:p>
    <w:p w:rsidR="008557CC" w:rsidRDefault="00A4760F">
      <w:pPr>
        <w:tabs>
          <w:tab w:val="left" w:pos="640"/>
        </w:tabs>
        <w:spacing w:line="360" w:lineRule="auto"/>
        <w:ind w:firstLineChars="200" w:firstLine="640"/>
        <w:outlineLvl w:val="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会议费、培训费，出差租车费、办公费等根据具体情况在满足相关工作的前提下，根据《海南省省直机关差旅费管理办法》定额标准、《海南省省直机关培训费费管理办法》综合定额标准控制费用的支出，避免成本浪费。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2. 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项目的效率性分析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）项目的实施进度</w:t>
      </w:r>
    </w:p>
    <w:p w:rsidR="008557CC" w:rsidRDefault="00A4760F">
      <w:pPr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根据本项目的年度计划安排，结合我单位项目实际工作情况，项目已如期完成。</w:t>
      </w:r>
    </w:p>
    <w:p w:rsidR="008557CC" w:rsidRDefault="00A4760F">
      <w:pPr>
        <w:widowControl/>
        <w:numPr>
          <w:ilvl w:val="0"/>
          <w:numId w:val="1"/>
        </w:numPr>
        <w:spacing w:line="578" w:lineRule="atLeast"/>
        <w:ind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项目完成质量</w:t>
      </w:r>
    </w:p>
    <w:p w:rsidR="008557CC" w:rsidRDefault="00A4760F">
      <w:pPr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z w:val="32"/>
          <w:szCs w:val="32"/>
        </w:rPr>
        <w:t>我单位作为全省项目管理单位，主要利用项目资金负责集中采购全省各市县项目所需试剂药品、组织培训及现场指导、维护数据信息系统、印制登记台账等。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2020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年共举办预防艾滋病、梅毒和乙肝母婴传播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项目省级培训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4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期，培训基层工作人员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1181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人，同时安排人员参加国家级培训，有效提高了我省各级医疗卫生机构人员工作水平。为了加快资金支出进度，同时考虑到市县试剂药品存放地方有限，专门租借仓库（阴凉库和冷藏库）作为省级存放点用于存放试剂，定期集中给市县配送。保障试剂药品供应，严防浪费和流失。项目差旅目的达成率、会议目标达成率、培训目的达成率均在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90%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以上。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2020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年对全省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20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个妇幼卫生项目进行了全面的督导检查，履行了对全省公共卫生项目妇幼卫生项的监督指导等任务。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2020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年全省孕产妇艾滋病、梅毒和乙肝检测率达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90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%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以上。总体项目完成质量较好。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3. 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项目的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效益性分析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）项目预期目标完成程度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z w:val="32"/>
          <w:szCs w:val="32"/>
        </w:rPr>
        <w:lastRenderedPageBreak/>
        <w:t>项目实施完毕，</w:t>
      </w:r>
      <w:r>
        <w:rPr>
          <w:rFonts w:ascii="仿宋" w:eastAsia="仿宋" w:hAnsi="仿宋" w:hint="eastAsia"/>
          <w:color w:val="000000"/>
          <w:sz w:val="32"/>
          <w:szCs w:val="32"/>
        </w:rPr>
        <w:t>全省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预防艾滋病、梅毒和乙肝母婴传播项目工作</w:t>
      </w:r>
      <w:r>
        <w:rPr>
          <w:rFonts w:ascii="仿宋" w:eastAsia="仿宋" w:hAnsi="仿宋" w:hint="eastAsia"/>
          <w:color w:val="000000"/>
          <w:sz w:val="32"/>
          <w:szCs w:val="32"/>
        </w:rPr>
        <w:t>培训、会议、技术指导，健康教育、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集中采购</w:t>
      </w:r>
      <w:r>
        <w:rPr>
          <w:rFonts w:ascii="仿宋" w:eastAsia="仿宋" w:hAnsi="仿宋"/>
          <w:bCs/>
          <w:color w:val="000000"/>
          <w:sz w:val="32"/>
          <w:szCs w:val="32"/>
        </w:rPr>
        <w:t>试剂药品、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维护数据信息系统</w:t>
      </w:r>
      <w:r>
        <w:rPr>
          <w:rFonts w:ascii="仿宋" w:eastAsia="仿宋" w:hAnsi="仿宋" w:hint="eastAsia"/>
          <w:color w:val="000000"/>
          <w:sz w:val="32"/>
          <w:szCs w:val="32"/>
        </w:rPr>
        <w:t>等工作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圆满完成。</w:t>
      </w:r>
    </w:p>
    <w:p w:rsidR="008557CC" w:rsidRDefault="00A4760F">
      <w:pPr>
        <w:widowControl/>
        <w:spacing w:line="578" w:lineRule="atLeast"/>
        <w:ind w:left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）项目实施对经济和社会的影响</w:t>
      </w:r>
    </w:p>
    <w:p w:rsidR="008557CC" w:rsidRDefault="00A4760F">
      <w:pPr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全面、规范落实全省预防艾滋病、梅毒和乙肝母婴传播综合干预服务，有效减少艾滋病、梅毒和乙肝母婴传播，不断提高我省妇女儿童健康水平和生活质量。本项目的执行对我省经济和社会效益十分显著。</w:t>
      </w:r>
    </w:p>
    <w:p w:rsidR="008557CC" w:rsidRDefault="00A4760F">
      <w:pPr>
        <w:widowControl/>
        <w:spacing w:line="578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4. 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项目的可持续性分析</w:t>
      </w:r>
    </w:p>
    <w:p w:rsidR="008557CC" w:rsidRDefault="00A4760F">
      <w:pPr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项目完成后，结合项目工作发展需要，给予切实可行的支持政策；在资金方面，严格按照规章要求专款专用；同时加强人员的业务学习和专业培训，使项目的实施取得更好的成效。</w:t>
      </w:r>
    </w:p>
    <w:p w:rsidR="008557CC" w:rsidRDefault="00A4760F">
      <w:pPr>
        <w:widowControl/>
        <w:numPr>
          <w:ilvl w:val="0"/>
          <w:numId w:val="2"/>
        </w:numPr>
        <w:spacing w:line="578" w:lineRule="atLeas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综合评价情况及评价结论</w:t>
      </w:r>
    </w:p>
    <w:p w:rsidR="008557CC" w:rsidRDefault="00A4760F">
      <w:pPr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z w:val="32"/>
          <w:szCs w:val="32"/>
        </w:rPr>
        <w:t>项目实施完毕，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全省预防艾滋病、梅毒和乙肝母婴传播工作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、技术指导、监督、培训、信息管理等圆满完成，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有效减少艾滋病、梅毒和乙肝母婴传播，有效提高我省妇女儿童健康水平和生活质量，具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良好经济和社会效益。</w:t>
      </w:r>
    </w:p>
    <w:p w:rsidR="008557CC" w:rsidRDefault="00A4760F">
      <w:pPr>
        <w:widowControl/>
        <w:spacing w:line="578" w:lineRule="atLeas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六、主要经验及做法、存在的问题和建议</w:t>
      </w:r>
    </w:p>
    <w:p w:rsidR="008557CC" w:rsidRDefault="00A4760F">
      <w:pPr>
        <w:spacing w:line="360" w:lineRule="auto"/>
        <w:ind w:firstLineChars="200" w:firstLine="640"/>
        <w:jc w:val="left"/>
        <w:outlineLvl w:val="0"/>
        <w:rPr>
          <w:rFonts w:ascii="仿宋" w:eastAsia="仿宋" w:hAnsi="仿宋"/>
          <w:bCs/>
          <w:color w:val="000000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z w:val="32"/>
          <w:szCs w:val="32"/>
        </w:rPr>
        <w:t>（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一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）项目实施的经验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。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一是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政府对重大公共卫生服务项目投入的重视是加强项目建设的保证。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二是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建立健全管理制度，完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lastRenderedPageBreak/>
        <w:t>善项目工作方案是完成本项目的有力保证。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三是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加强业务培训，是提高医务人员业务知识和实际操作能力，是保证工作质量，确保项目发挥作用的基本要求。</w:t>
      </w:r>
    </w:p>
    <w:p w:rsidR="008557CC" w:rsidRDefault="00A4760F">
      <w:pPr>
        <w:spacing w:line="360" w:lineRule="auto"/>
        <w:ind w:firstLineChars="200" w:firstLine="640"/>
        <w:jc w:val="left"/>
        <w:outlineLvl w:val="0"/>
      </w:pPr>
      <w:bookmarkStart w:id="0" w:name="_GoBack"/>
      <w:bookmarkEnd w:id="0"/>
      <w:r>
        <w:rPr>
          <w:rFonts w:ascii="仿宋" w:eastAsia="仿宋" w:hAnsi="仿宋" w:hint="eastAsia"/>
          <w:bCs/>
          <w:color w:val="000000"/>
          <w:sz w:val="32"/>
          <w:szCs w:val="32"/>
        </w:rPr>
        <w:t>（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二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）存在的问题和建议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。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一是应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加强项目管理制度的落实和监督。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二是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人员业务知识和实际操作能力尚需要提高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，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建议加快招聘和引进相关专业人才，使项目得到更好的实施。</w:t>
      </w:r>
    </w:p>
    <w:sectPr w:rsidR="008557CC" w:rsidSect="008557CC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60F" w:rsidRDefault="00A4760F" w:rsidP="00C63A77">
      <w:r>
        <w:separator/>
      </w:r>
    </w:p>
  </w:endnote>
  <w:endnote w:type="continuationSeparator" w:id="1">
    <w:p w:rsidR="00A4760F" w:rsidRDefault="00A4760F" w:rsidP="00C63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60F" w:rsidRDefault="00A4760F" w:rsidP="00C63A77">
      <w:r>
        <w:separator/>
      </w:r>
    </w:p>
  </w:footnote>
  <w:footnote w:type="continuationSeparator" w:id="1">
    <w:p w:rsidR="00A4760F" w:rsidRDefault="00A4760F" w:rsidP="00C63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6057DBD"/>
    <w:multiLevelType w:val="singleLevel"/>
    <w:tmpl w:val="A6057DBD"/>
    <w:lvl w:ilvl="0">
      <w:start w:val="2"/>
      <w:numFmt w:val="decimal"/>
      <w:suff w:val="nothing"/>
      <w:lvlText w:val="（%1）"/>
      <w:lvlJc w:val="left"/>
    </w:lvl>
  </w:abstractNum>
  <w:abstractNum w:abstractNumId="1">
    <w:nsid w:val="CBBC3810"/>
    <w:multiLevelType w:val="singleLevel"/>
    <w:tmpl w:val="CBBC3810"/>
    <w:lvl w:ilvl="0">
      <w:start w:val="5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299E"/>
    <w:rsid w:val="000A717C"/>
    <w:rsid w:val="0013299E"/>
    <w:rsid w:val="001F2A51"/>
    <w:rsid w:val="002020AC"/>
    <w:rsid w:val="00211454"/>
    <w:rsid w:val="002A1C51"/>
    <w:rsid w:val="003D7BED"/>
    <w:rsid w:val="00416BF2"/>
    <w:rsid w:val="00476C3C"/>
    <w:rsid w:val="004C5AD3"/>
    <w:rsid w:val="005329E6"/>
    <w:rsid w:val="00552290"/>
    <w:rsid w:val="005E379C"/>
    <w:rsid w:val="006D7FDD"/>
    <w:rsid w:val="007513A3"/>
    <w:rsid w:val="008372A9"/>
    <w:rsid w:val="008557CC"/>
    <w:rsid w:val="0097018B"/>
    <w:rsid w:val="00A4760F"/>
    <w:rsid w:val="00A5452B"/>
    <w:rsid w:val="00AD0325"/>
    <w:rsid w:val="00C63A77"/>
    <w:rsid w:val="00E30E62"/>
    <w:rsid w:val="00E857A2"/>
    <w:rsid w:val="00F8216E"/>
    <w:rsid w:val="00F83385"/>
    <w:rsid w:val="09F104AA"/>
    <w:rsid w:val="1A032F05"/>
    <w:rsid w:val="1CC12061"/>
    <w:rsid w:val="24D03BE5"/>
    <w:rsid w:val="2CEA0397"/>
    <w:rsid w:val="370551CA"/>
    <w:rsid w:val="3F8E79B9"/>
    <w:rsid w:val="3FC66D7A"/>
    <w:rsid w:val="54F4307B"/>
    <w:rsid w:val="5C021FAD"/>
    <w:rsid w:val="5DB0255C"/>
    <w:rsid w:val="627922D3"/>
    <w:rsid w:val="65C30433"/>
    <w:rsid w:val="66230503"/>
    <w:rsid w:val="66D9724C"/>
    <w:rsid w:val="75361012"/>
    <w:rsid w:val="7AE92E1D"/>
    <w:rsid w:val="7B9E6289"/>
    <w:rsid w:val="7BBB1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7C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57C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5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855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8557C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57C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57C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530</Words>
  <Characters>3024</Characters>
  <Application>Microsoft Office Word</Application>
  <DocSecurity>0</DocSecurity>
  <Lines>25</Lines>
  <Paragraphs>7</Paragraphs>
  <ScaleCrop>false</ScaleCrop>
  <Company>微软中国</Company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18</cp:revision>
  <dcterms:created xsi:type="dcterms:W3CDTF">2021-05-21T08:19:00Z</dcterms:created>
  <dcterms:modified xsi:type="dcterms:W3CDTF">2021-06-01T08:23:00Z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84E94659A35E4A77BBEFF1D2C9541206</vt:lpwstr>
  </property>
</Properties>
</file>