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beforeAutospacing="0" w:after="0" w:afterAutospacing="0" w:line="480" w:lineRule="auto"/>
        <w:ind w:firstLine="225"/>
        <w:jc w:val="center"/>
        <w:rPr>
          <w:rFonts w:hint="eastAsia" w:ascii="仿宋_GB2312" w:eastAsia="仿宋_GB2312" w:hAnsiTheme="minorEastAsia"/>
          <w:b/>
          <w:sz w:val="30"/>
          <w:szCs w:val="30"/>
        </w:rPr>
      </w:pPr>
      <w:r>
        <w:rPr>
          <w:rStyle w:val="7"/>
          <w:rFonts w:hint="eastAsia" w:eastAsia="仿宋_GB2312"/>
          <w:sz w:val="30"/>
          <w:szCs w:val="30"/>
        </w:rPr>
        <w:t> </w:t>
      </w:r>
      <w:r>
        <w:rPr>
          <w:rStyle w:val="7"/>
          <w:rFonts w:hint="eastAsia" w:ascii="仿宋_GB2312" w:eastAsia="仿宋_GB2312"/>
          <w:sz w:val="30"/>
          <w:szCs w:val="30"/>
        </w:rPr>
        <w:t xml:space="preserve"> </w:t>
      </w:r>
      <w:r>
        <w:rPr>
          <w:rStyle w:val="7"/>
          <w:rFonts w:hint="eastAsia" w:eastAsia="仿宋_GB2312" w:asciiTheme="minorEastAsia" w:hAnsiTheme="minorEastAsia"/>
          <w:b w:val="0"/>
          <w:sz w:val="30"/>
          <w:szCs w:val="30"/>
        </w:rPr>
        <w:t> </w:t>
      </w:r>
      <w:r>
        <w:rPr>
          <w:rFonts w:hint="eastAsia" w:ascii="仿宋_GB2312" w:eastAsia="仿宋_GB2312" w:hAnsiTheme="minorEastAsia"/>
          <w:b/>
          <w:sz w:val="30"/>
          <w:szCs w:val="30"/>
        </w:rPr>
        <w:t>药品耗材购置</w:t>
      </w:r>
      <w:r>
        <w:rPr>
          <w:rStyle w:val="7"/>
          <w:rFonts w:hint="eastAsia" w:ascii="仿宋_GB2312" w:eastAsia="仿宋_GB2312" w:hAnsiTheme="minorEastAsia"/>
          <w:sz w:val="30"/>
          <w:szCs w:val="30"/>
        </w:rPr>
        <w:t xml:space="preserve">项目支出绩效自评报告 </w:t>
      </w:r>
      <w:r>
        <w:rPr>
          <w:rStyle w:val="7"/>
          <w:rFonts w:hint="eastAsia" w:eastAsia="仿宋_GB2312" w:asciiTheme="minorEastAsia" w:hAnsiTheme="minorEastAsia"/>
          <w:b w:val="0"/>
          <w:sz w:val="30"/>
          <w:szCs w:val="30"/>
        </w:rPr>
        <w:t> </w:t>
      </w:r>
      <w:r>
        <w:rPr>
          <w:rStyle w:val="7"/>
          <w:rFonts w:hint="eastAsia" w:ascii="仿宋_GB2312" w:eastAsia="仿宋_GB2312" w:hAnsiTheme="minorEastAsia"/>
          <w:b w:val="0"/>
          <w:sz w:val="30"/>
          <w:szCs w:val="30"/>
        </w:rPr>
        <w:t xml:space="preserve"> </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一、项目概况</w:t>
      </w:r>
      <w:r>
        <w:rPr>
          <w:rFonts w:hint="eastAsia" w:eastAsia="仿宋_GB2312"/>
          <w:sz w:val="30"/>
          <w:szCs w:val="30"/>
        </w:rPr>
        <w:t> </w:t>
      </w:r>
      <w:r>
        <w:rPr>
          <w:rFonts w:hint="eastAsia" w:ascii="仿宋_GB2312" w:eastAsia="仿宋_GB2312"/>
          <w:sz w:val="30"/>
          <w:szCs w:val="30"/>
        </w:rPr>
        <w:t xml:space="preserve"> </w:t>
      </w:r>
      <w:r>
        <w:rPr>
          <w:rFonts w:hint="eastAsia" w:eastAsia="仿宋_GB2312"/>
          <w:sz w:val="30"/>
          <w:szCs w:val="30"/>
        </w:rPr>
        <w:t>  </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（一）项目基本情况：立项情况、实施主体项目、资金及主要内容</w:t>
      </w:r>
      <w:r>
        <w:rPr>
          <w:rFonts w:hint="eastAsia" w:eastAsia="仿宋_GB2312"/>
          <w:sz w:val="30"/>
          <w:szCs w:val="30"/>
        </w:rPr>
        <w:t> </w:t>
      </w:r>
      <w:r>
        <w:rPr>
          <w:rFonts w:hint="eastAsia" w:ascii="仿宋_GB2312" w:eastAsia="仿宋_GB2312"/>
          <w:sz w:val="30"/>
          <w:szCs w:val="30"/>
        </w:rPr>
        <w:t xml:space="preserve"> </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海南医学院第二附属医院的药品耗材购置属于部门项目，项目主管部门为省卫生健康委员会。</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项目概述如下：本项目为年度药品耗材采购项目，药品采购包括西药、中成药、中药饮片，卫生材料包括卫生材料、低值易耗品、其他材料，所采购的药品、卫生材料主要用于来我院门诊部和住院部诊疗的患者，及保障医院正常运营的各项物资。</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（二）项目年度预算绩效目标和绩效指标设定情况</w:t>
      </w:r>
      <w:r>
        <w:rPr>
          <w:rFonts w:hint="eastAsia" w:eastAsia="仿宋_GB2312"/>
          <w:sz w:val="30"/>
          <w:szCs w:val="30"/>
        </w:rPr>
        <w:t> </w:t>
      </w:r>
      <w:r>
        <w:rPr>
          <w:rFonts w:hint="eastAsia" w:ascii="仿宋_GB2312" w:eastAsia="仿宋_GB2312"/>
          <w:sz w:val="30"/>
          <w:szCs w:val="30"/>
        </w:rPr>
        <w:t xml:space="preserve"> </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合理安排药品耗材采购量，使药品耗材采购量与临床合理使用量配比，满足患者需求，保障医院正常运营。总体目标：保证药品、卫生材料品类数量能满足门诊、住院患者需求，保证患者在化验、检查、手术、治疗等医疗环节中，所需药品、卫生材料足够保障医疗业务开展。</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当年年度目标设置情况：2022年度卫生材料采购金额超过40079.80万元，药品采购金额超过62939.30万元，年度医疗盈余大于0万元。</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二、项目决策及资金使用管理情况</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（一）项目决策情况</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卫生材料采购预算由我院设备科编制，药品采购预算由我院药学部编制。设备科、药学部根据年度医疗收入收入预算，结合各科室药品耗材消耗情况，医改指标药占比、耗占比等，确定年度预算数。确定的预算数提交预算委员会审议通过后，在预算一体化系统进入“二上”“二下”的预算编制流程。</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当年年度目标完成情况：2022年度卫生材料采购金额45626.60万元，药品采购金额63770.30万元，年度医疗盈余332.45万元。</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（二）项目资金</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预算情况如下：</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资金总额-年初预算数105005.70万元，资金总额-全年预算数105005.70万元，财政资金-年初预算数0元，财政资金-全年预算数0元，专户-年初预算数0元，专户全年预算数0元，</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单位年初预算数105005.70万元，单位全年预算数105005.70万元。</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（三）项目资金实际使用情况</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资金执行情况如下：</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资金总额-全年执行数109396.90元，资金总额-执行率104%元</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其中：</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财政资金-全年执行数0元，财政资金-执行率0；</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专户全年执行数0元，专户-执行率0；</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单位全年执行数109396.90万元，单位全年执行率104%；</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（四）项目资金管理情况</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1、药品耗材购置，制定了相应的制度，按照预算每月由经办科室制定采购计划报医务部、主管领导审核，并上院办公会审批后执行。</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2、按照院办公会审批的计划单在“海南省医药集中采购平台”上挂网采购，按“两票制”入库验收，按“零加成”出库销售（用于患者临床药物治疗）。</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 xml:space="preserve"> 3、制定有卫生材料采购及低值易耗品采购管理制度、卫生材料采购及低值易耗品检查验收制度、卫生材料采购及低值易耗品入库贮存养护制度、卫生材料采购及低值易耗品会计岗位职责等，每月由卫生材料采购及低值易耗品会计核账后报财务科，科室主管负责人每月监督检查卫生材料采购及低值易耗品盘点情况，对近效期、过期、滞销卫生材料采购及低值易耗品及时清退，将卫生材料采购及低值易耗品自然损耗率降至最低，设备科每年做卫生材料采购及低值易耗品采购情况总结，保证该项目正常运行。</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三、项目组织实施情况</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（一）项目组织情况</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1、药品采购执行海南省药品集中招标采购，在“海南省医药集中采购平台”上挂网采购。项目资金管理情况较好，满足临床基本药物治疗，每月完成基本预算，全年较好的完成预算指标。</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2、卫生材料采购及低值易耗品采购中，高值耗材执行海南省阳光采购网采购；低值易耗品采取院内议价采购。项目资金管理情况较好，满足临床基本卫生材料及低值易耗材品使用，每月完成基本预算，全年较好的完成预算指标。</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（二）项目管理情况</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1.制定有药品采购管理制度、药品检查验收制度、药品入库贮存养护制度、药品会计岗位职责等，每月由药品会计核账后报财务科，由药库管理员做采购计划评估，科室主管负责人每月监督检查药品盘点情况，对近效期、过期、滞销药品及时清退，将药品自然损耗率降至最低，药学部每半年做药品采购情况总结，保证该项目正常运行。</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2. 制定有卫生材料采购及低值易耗品采购管理制度、卫生材料采购及低值易耗品检查验收制度、卫生材料采购及低值易耗品入库贮存养护制度、卫生材料采购及低值易耗品会计岗位职责等，每月由卫生材料采购及低值易耗品会计核账后报财务科，科室主管负责人每月监督检查卫生材料采购及低值易耗品盘点情况，对近效期、过期、滞销卫生材料采购及低值易耗品及时清退，将卫生材料采购及低值易耗品自然损耗率降至最低，设备科每年做卫生材料采购及低值易耗品采购情况总结，保证该项目正常运行。</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四、项目绩效情况</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（一）项目绩效目标完成情况</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2022年度卫生材料采购金额45626.60万元，药品采购金额63770.30万元，医疗盈余332.45万元。</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1. 项目的经济性分析</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我院为公益性事业单位，不以盈利性为目标，主要履行救死扶伤、防病治病社会责任。本项目经济性主要体现在保证来院诊疗患者在治疗康复过程中对药品耗材的需求，提高患者的满意程度，增加患者的吸引力，提高诊疗效率，增加门诊住院患者量，从而体现我院公益性，产生良好的社会效应。</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（1）项目成本（预算）控制情况</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制定各个科室药品耗材的占比定额，每月考核各个科室运营情况，考核结果直接与员工绩效工资挂钩，以此约束科室成本量。</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（2）项目成本（预算）节约情况</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药品耗材采购过程中，医院按年度计划，按月采购，控制采购量。以集中采购方式及国家谈判价格方式有效降低采购单价。在采购环节控制采购量和采购单价的方式，有效降低了项目成本</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2. 项目的效率性分析</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（1）项目的实施进度：每月按照全年预算的月平均额做采购计划，适量增减，稳步实施，每月均完成基本预算。</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（2）项目完成质量：全年较好的完成了预算指标。</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3. 项目的效益性分析</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（1）项目预期目标完成程度：2022年度卫生材料采购金额45626.60万元，完成率114%；药品采购金额63770.30万元，完成率101%；医疗盈余332.45万元。</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（2）项目实施对经济和社会的影响</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根据公立医院改革要求，我院药品耗材均零加成销售，对我院不产生经济效益，但是可以减轻患者经济负担，解决看病贵的问题，有效改善医患关系，给我院树立良好社会形象。</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（二）项目绩效目标未完成情况及原因分析</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全年较好</w:t>
      </w:r>
      <w:r>
        <w:rPr>
          <w:rFonts w:hint="eastAsia" w:ascii="仿宋_GB2312" w:eastAsia="仿宋_GB2312"/>
          <w:sz w:val="30"/>
          <w:szCs w:val="30"/>
          <w:lang w:val="en-US" w:eastAsia="zh-CN"/>
        </w:rPr>
        <w:t>的</w:t>
      </w:r>
      <w:r>
        <w:rPr>
          <w:rFonts w:hint="eastAsia" w:ascii="仿宋_GB2312" w:eastAsia="仿宋_GB2312"/>
          <w:sz w:val="30"/>
          <w:szCs w:val="30"/>
        </w:rPr>
        <w:t>完成既定的目标。</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五、其他需要说明的问题</w:t>
      </w:r>
      <w:bookmarkStart w:id="0" w:name="_GoBack"/>
      <w:bookmarkEnd w:id="0"/>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（一）后续工作计划</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严格执行《海南省本级财政支出预算事前绩效评估管理暂行办法》、《海南省项目支出绩效评价管理实施办法》，提高我院预算绩效管理水平。</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（二）主要经验及做法、存在问题和建议</w:t>
      </w:r>
    </w:p>
    <w:p>
      <w:pPr>
        <w:pStyle w:val="4"/>
        <w:spacing w:before="0" w:beforeAutospacing="0" w:after="0" w:afterAutospacing="0" w:line="480" w:lineRule="auto"/>
        <w:ind w:firstLine="645"/>
        <w:rPr>
          <w:rFonts w:hint="eastAsia" w:ascii="仿宋_GB2312" w:eastAsia="仿宋_GB2312"/>
          <w:sz w:val="30"/>
          <w:szCs w:val="30"/>
        </w:rPr>
      </w:pPr>
      <w:r>
        <w:rPr>
          <w:rFonts w:hint="eastAsia" w:ascii="仿宋_GB2312" w:eastAsia="仿宋_GB2312"/>
          <w:sz w:val="30"/>
          <w:szCs w:val="30"/>
        </w:rPr>
        <w:t>预算一体化系统中统计不到单位资金完成情况，系统中项目资金完成率评分与实际完成率评分有差异。</w:t>
      </w:r>
    </w:p>
    <w:p>
      <w:pPr>
        <w:pStyle w:val="4"/>
        <w:spacing w:before="0" w:beforeAutospacing="0" w:after="0" w:afterAutospacing="0" w:line="480" w:lineRule="auto"/>
        <w:rPr>
          <w:rFonts w:hint="eastAsia" w:ascii="仿宋_GB2312" w:eastAsia="仿宋_GB2312"/>
          <w:sz w:val="30"/>
          <w:szCs w:val="30"/>
        </w:rPr>
      </w:pPr>
    </w:p>
    <w:p>
      <w:pPr>
        <w:spacing w:line="220" w:lineRule="atLeast"/>
        <w:rPr>
          <w:rFonts w:hint="eastAsia" w:ascii="仿宋_GB2312" w:eastAsia="仿宋_GB2312"/>
          <w:sz w:val="30"/>
          <w:szCs w:val="30"/>
        </w:rPr>
      </w:pPr>
    </w:p>
    <w:sectPr>
      <w:pgSz w:w="11906" w:h="16838"/>
      <w:pgMar w:top="1440" w:right="1800" w:bottom="1440" w:left="1800" w:header="851" w:footer="992" w:gutter="0"/>
      <w:cols w:space="425"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ZGNhZGQwMzkwZTNjZmRkZDk0NGM2YmYzZTFkZTgwZDcifQ=="/>
  </w:docVars>
  <w:rsids>
    <w:rsidRoot w:val="00D31D50"/>
    <w:rsid w:val="00127C6F"/>
    <w:rsid w:val="00243D73"/>
    <w:rsid w:val="00323B43"/>
    <w:rsid w:val="003D37D8"/>
    <w:rsid w:val="003E05C5"/>
    <w:rsid w:val="00426133"/>
    <w:rsid w:val="004358AB"/>
    <w:rsid w:val="00623801"/>
    <w:rsid w:val="008B7726"/>
    <w:rsid w:val="00CB6434"/>
    <w:rsid w:val="00D31D50"/>
    <w:rsid w:val="00D60D74"/>
    <w:rsid w:val="2AD00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7">
    <w:name w:val="Strong"/>
    <w:basedOn w:val="6"/>
    <w:qFormat/>
    <w:uiPriority w:val="22"/>
    <w:rPr>
      <w:b/>
      <w:bCs/>
    </w:rPr>
  </w:style>
  <w:style w:type="character" w:customStyle="1" w:styleId="8">
    <w:name w:val="页眉 Char"/>
    <w:basedOn w:val="6"/>
    <w:link w:val="3"/>
    <w:semiHidden/>
    <w:qFormat/>
    <w:uiPriority w:val="99"/>
    <w:rPr>
      <w:rFonts w:ascii="Tahoma" w:hAnsi="Tahoma"/>
      <w:sz w:val="18"/>
      <w:szCs w:val="18"/>
    </w:rPr>
  </w:style>
  <w:style w:type="character" w:customStyle="1" w:styleId="9">
    <w:name w:val="页脚 Char"/>
    <w:basedOn w:val="6"/>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2542</Words>
  <Characters>2690</Characters>
  <Lines>19</Lines>
  <Paragraphs>5</Paragraphs>
  <TotalTime>33</TotalTime>
  <ScaleCrop>false</ScaleCrop>
  <LinksUpToDate>false</LinksUpToDate>
  <CharactersWithSpaces>2709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44006</dc:creator>
  <cp:lastModifiedBy>小姑奶奶</cp:lastModifiedBy>
  <dcterms:modified xsi:type="dcterms:W3CDTF">2023-05-05T08:13:38Z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C7603B0BA1674756B315681B290CFF93_12</vt:lpwstr>
  </property>
</Properties>
</file>