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420" w:lineRule="atLeast"/>
        <w:ind w:firstLine="180"/>
        <w:jc w:val="center"/>
      </w:pPr>
      <w:r>
        <w:rPr>
          <w:rStyle w:val="24"/>
          <w:rFonts w:hint="eastAsia" w:ascii="宋体" w:hAnsi="宋体"/>
          <w:sz w:val="34"/>
          <w:szCs w:val="34"/>
        </w:rPr>
        <w:t>项目支出绩效自评报告</w:t>
      </w:r>
      <w:r>
        <w:rPr>
          <w:rStyle w:val="24"/>
          <w:rFonts w:hint="eastAsia" w:ascii="宋体" w:hAnsi="宋体"/>
        </w:rPr>
        <w:t xml:space="preserve"> </w:t>
      </w:r>
    </w:p>
    <w:p>
      <w:pPr>
        <w:pStyle w:val="11"/>
        <w:spacing w:line="420" w:lineRule="atLeast"/>
        <w:ind w:firstLine="132"/>
        <w:jc w:val="center"/>
        <w:rPr>
          <w:rFonts w:hint="eastAsia"/>
        </w:rPr>
      </w:pPr>
      <w:r>
        <w:rPr>
          <w:rFonts w:hint="eastAsia"/>
        </w:rPr>
        <w:t xml:space="preserve"> </w:t>
      </w:r>
    </w:p>
    <w:p>
      <w:pPr>
        <w:pStyle w:val="11"/>
        <w:spacing w:line="420" w:lineRule="atLeast"/>
        <w:ind w:firstLine="444"/>
        <w:rPr>
          <w:rFonts w:hint="eastAsia"/>
        </w:rPr>
      </w:pPr>
      <w:r>
        <w:rPr>
          <w:rFonts w:ascii="仿宋_GB2312"/>
          <w:sz w:val="25"/>
          <w:szCs w:val="25"/>
        </w:rPr>
        <w:t xml:space="preserve"> </w:t>
      </w:r>
    </w:p>
    <w:p>
      <w:pPr>
        <w:pStyle w:val="11"/>
        <w:spacing w:line="420" w:lineRule="atLeast"/>
        <w:ind w:firstLine="516"/>
        <w:rPr>
          <w:rFonts w:hint="eastAsia"/>
        </w:rPr>
      </w:pPr>
      <w:r>
        <w:rPr>
          <w:rFonts w:hint="eastAsia" w:ascii="黑体" w:hAnsi="黑体" w:eastAsia="黑体"/>
          <w:sz w:val="25"/>
          <w:szCs w:val="25"/>
        </w:rPr>
        <w:t>一、项目概况</w:t>
      </w:r>
      <w:r>
        <w:rPr>
          <w:rFonts w:hint="eastAsia" w:ascii="黑体" w:eastAsia="黑体"/>
          <w:sz w:val="25"/>
          <w:szCs w:val="25"/>
        </w:rPr>
        <w:t xml:space="preserve">    </w:t>
      </w:r>
    </w:p>
    <w:p>
      <w:pPr>
        <w:pStyle w:val="11"/>
        <w:spacing w:line="420" w:lineRule="atLeast"/>
        <w:ind w:firstLine="516"/>
        <w:rPr>
          <w:rFonts w:hint="eastAsia"/>
        </w:rPr>
      </w:pPr>
      <w:r>
        <w:rPr>
          <w:rFonts w:ascii="仿宋_GB2312" w:hAnsi="仿宋_GB2312"/>
          <w:sz w:val="25"/>
          <w:szCs w:val="25"/>
        </w:rPr>
        <w:t>（一）项目基本情况：立项情况、实施主体项目、资金及主要内容</w:t>
      </w:r>
      <w:r>
        <w:rPr>
          <w:rFonts w:ascii="仿宋_GB2312"/>
          <w:sz w:val="25"/>
          <w:szCs w:val="25"/>
        </w:rPr>
        <w:t xml:space="preserve">  </w:t>
      </w:r>
    </w:p>
    <w:p>
      <w:pPr>
        <w:pStyle w:val="11"/>
        <w:spacing w:line="420" w:lineRule="atLeast"/>
        <w:ind w:firstLine="516"/>
        <w:rPr>
          <w:rFonts w:hint="eastAsia"/>
        </w:rPr>
      </w:pPr>
      <w:r>
        <w:rPr>
          <w:rFonts w:ascii="仿宋_GB2312" w:hAnsi="仿宋_GB2312"/>
          <w:sz w:val="25"/>
          <w:szCs w:val="25"/>
        </w:rPr>
        <w:t>预算单位</w:t>
      </w:r>
      <w:r>
        <w:rPr>
          <w:rFonts w:ascii="仿宋_GB2312"/>
          <w:sz w:val="25"/>
          <w:szCs w:val="25"/>
        </w:rPr>
        <w:t xml:space="preserve"> </w:t>
      </w:r>
      <w:r>
        <w:rPr>
          <w:rFonts w:ascii="仿宋_GB2312" w:hAnsi="仿宋_GB2312"/>
          <w:sz w:val="25"/>
          <w:szCs w:val="25"/>
        </w:rPr>
        <w:t>海医一附院 的项目 海南医学院第一附属医院江东新院区项目属于部门项目</w:t>
      </w:r>
    </w:p>
    <w:p>
      <w:pPr>
        <w:pStyle w:val="11"/>
        <w:spacing w:line="420" w:lineRule="atLeast"/>
        <w:ind w:firstLine="516"/>
        <w:rPr>
          <w:rFonts w:hint="eastAsia"/>
        </w:rPr>
      </w:pPr>
      <w:r>
        <w:rPr>
          <w:rFonts w:ascii="仿宋_GB2312" w:hAnsi="仿宋_GB2312"/>
          <w:sz w:val="25"/>
          <w:szCs w:val="25"/>
        </w:rPr>
        <w:t>主管部门为省卫生健康委员会</w:t>
      </w:r>
    </w:p>
    <w:p>
      <w:pPr>
        <w:pStyle w:val="11"/>
        <w:spacing w:line="420" w:lineRule="atLeast"/>
        <w:ind w:firstLine="516"/>
        <w:rPr>
          <w:rFonts w:hint="eastAsia"/>
        </w:rPr>
      </w:pPr>
      <w:r>
        <w:rPr>
          <w:rFonts w:ascii="仿宋_GB2312" w:hAnsi="仿宋_GB2312"/>
          <w:sz w:val="25"/>
          <w:szCs w:val="25"/>
        </w:rPr>
        <w:t>项目负责人为：韦盛昌</w:t>
      </w:r>
    </w:p>
    <w:p>
      <w:pPr>
        <w:pStyle w:val="11"/>
        <w:spacing w:line="420" w:lineRule="atLeast"/>
        <w:ind w:firstLine="516"/>
        <w:rPr>
          <w:rFonts w:hint="eastAsia" w:eastAsia="仿宋_GB2312"/>
        </w:rPr>
      </w:pPr>
      <w:r>
        <w:rPr>
          <w:rFonts w:ascii="仿宋_GB2312" w:hAnsi="仿宋_GB2312"/>
          <w:sz w:val="25"/>
          <w:szCs w:val="25"/>
        </w:rPr>
        <w:t>联系电话：18078980809</w:t>
      </w:r>
    </w:p>
    <w:p>
      <w:pPr>
        <w:pStyle w:val="11"/>
        <w:spacing w:line="420" w:lineRule="atLeast"/>
        <w:ind w:firstLine="516"/>
        <w:rPr>
          <w:rFonts w:hint="eastAsia"/>
        </w:rPr>
      </w:pPr>
      <w:r>
        <w:rPr>
          <w:rFonts w:ascii="仿宋_GB2312" w:hAnsi="仿宋_GB2312"/>
          <w:sz w:val="25"/>
          <w:szCs w:val="25"/>
        </w:rPr>
        <w:t>项目概述如下：海南医学院第一附属医院江东新院区项目是在省委省政府高度重视、政府各部门的大力支持和帮助下建设的江东新区首个医教研一体的三级甲等综合医院医疗项目，是支撑江东新区医疗需求和海南医学教育科研的重要项目，是海南自贸港建设的重要医疗保障。建设包括七项基本医疗用房、大型医疗设备用房、科研用地（含重点实验室和动物实验室）、教学用房、健康体检用房以及地下车库等；同步实施室外道路广场、总体管网、照明、绿化、围墙等配套工程。</w:t>
      </w:r>
      <w:r>
        <w:rPr>
          <w:rFonts w:ascii="仿宋_GB2312"/>
          <w:sz w:val="25"/>
          <w:szCs w:val="25"/>
        </w:rPr>
        <w:t xml:space="preserve">   </w:t>
      </w:r>
    </w:p>
    <w:p>
      <w:pPr>
        <w:pStyle w:val="11"/>
        <w:spacing w:line="420" w:lineRule="atLeast"/>
        <w:ind w:firstLine="516"/>
        <w:rPr>
          <w:rFonts w:hint="eastAsia"/>
        </w:rPr>
      </w:pPr>
      <w:r>
        <w:rPr>
          <w:rFonts w:ascii="仿宋_GB2312" w:hAnsi="仿宋_GB2312"/>
          <w:sz w:val="25"/>
          <w:szCs w:val="25"/>
        </w:rPr>
        <w:t>（二）项目年度预算绩效目标和绩效指标设定情况</w:t>
      </w:r>
      <w:r>
        <w:rPr>
          <w:rFonts w:ascii="仿宋_GB2312"/>
          <w:sz w:val="25"/>
          <w:szCs w:val="25"/>
        </w:rPr>
        <w:t xml:space="preserve">  </w:t>
      </w:r>
    </w:p>
    <w:p>
      <w:pPr>
        <w:pStyle w:val="11"/>
        <w:spacing w:line="420" w:lineRule="atLeast"/>
        <w:ind w:firstLine="516"/>
        <w:rPr>
          <w:rFonts w:hint="eastAsia" w:ascii="仿宋_GB2312" w:hAnsi="仿宋_GB2312"/>
          <w:sz w:val="25"/>
          <w:szCs w:val="25"/>
        </w:rPr>
      </w:pPr>
      <w:r>
        <w:rPr>
          <w:rFonts w:ascii="仿宋_GB2312" w:hAnsi="仿宋_GB2312"/>
          <w:sz w:val="25"/>
          <w:szCs w:val="25"/>
        </w:rPr>
        <w:t>（包括预期总目标及阶段性目标，衡量绩效目标实现程度的评价指标、标准等）</w:t>
      </w:r>
    </w:p>
    <w:p>
      <w:pPr>
        <w:pStyle w:val="11"/>
        <w:spacing w:line="420" w:lineRule="atLeast"/>
        <w:ind w:firstLine="516"/>
        <w:rPr>
          <w:rFonts w:hint="eastAsia" w:ascii="仿宋_GB2312" w:hAnsi="仿宋_GB2312"/>
          <w:sz w:val="25"/>
          <w:szCs w:val="25"/>
        </w:rPr>
      </w:pPr>
      <w:r>
        <w:rPr>
          <w:rFonts w:ascii="仿宋_GB2312" w:hAnsi="仿宋_GB2312"/>
          <w:sz w:val="25"/>
          <w:szCs w:val="25"/>
        </w:rPr>
        <w:t>2022年度总目标：2022年计划完成投资80000万元。一季度完成20000万元，二季度累计完成40000万元，三季度累计完成60000万元，四季度累计完成80000万元。</w:t>
      </w:r>
    </w:p>
    <w:p>
      <w:pPr>
        <w:pStyle w:val="11"/>
        <w:spacing w:line="420" w:lineRule="atLeast"/>
        <w:ind w:firstLine="516"/>
        <w:rPr>
          <w:rFonts w:ascii="仿宋_GB2312" w:hAnsi="仿宋_GB2312"/>
          <w:sz w:val="25"/>
          <w:szCs w:val="25"/>
        </w:rPr>
      </w:pPr>
      <w:r>
        <w:rPr>
          <w:rFonts w:ascii="仿宋_GB2312" w:hAnsi="仿宋_GB2312"/>
          <w:sz w:val="25"/>
          <w:szCs w:val="25"/>
        </w:rPr>
        <w:t>当年年度目标完成情况：2022年实际完成年度投资85159万元，完成率为106.45%。一季度实际完成20380万元，二季度实际累计完成42977万元，三季度实际累计完成64061.83万元，四季度实际累计完成85159万元。</w:t>
      </w:r>
    </w:p>
    <w:p>
      <w:pPr>
        <w:pStyle w:val="11"/>
        <w:spacing w:line="420" w:lineRule="atLeast"/>
        <w:ind w:firstLine="516"/>
      </w:pPr>
      <w:r>
        <w:rPr>
          <w:rFonts w:hint="eastAsia" w:ascii="黑体" w:hAnsi="黑体" w:eastAsia="黑体"/>
          <w:sz w:val="25"/>
          <w:szCs w:val="25"/>
        </w:rPr>
        <w:t>二、项目决策及资金使用管理情况</w:t>
      </w:r>
    </w:p>
    <w:p>
      <w:pPr>
        <w:pStyle w:val="11"/>
        <w:spacing w:line="420" w:lineRule="atLeast"/>
        <w:ind w:firstLine="516"/>
        <w:rPr>
          <w:rFonts w:hint="eastAsia" w:ascii="仿宋_GB2312"/>
          <w:sz w:val="25"/>
          <w:szCs w:val="25"/>
        </w:rPr>
      </w:pPr>
      <w:r>
        <w:rPr>
          <w:rFonts w:ascii="仿宋_GB2312" w:hAnsi="仿宋_GB2312"/>
          <w:sz w:val="25"/>
          <w:szCs w:val="25"/>
        </w:rPr>
        <w:t>（一）项目决策情况（包括决策过程和结果）</w:t>
      </w:r>
    </w:p>
    <w:p>
      <w:pPr>
        <w:pStyle w:val="11"/>
        <w:spacing w:line="420" w:lineRule="atLeast"/>
        <w:ind w:firstLine="516"/>
        <w:rPr>
          <w:rFonts w:ascii="仿宋_GB2312" w:hAnsi="仿宋_GB2312"/>
          <w:sz w:val="25"/>
          <w:szCs w:val="25"/>
        </w:rPr>
      </w:pPr>
      <w:r>
        <w:rPr>
          <w:rFonts w:ascii="仿宋_GB2312" w:hAnsi="仿宋_GB2312"/>
          <w:sz w:val="25"/>
          <w:szCs w:val="25"/>
        </w:rPr>
        <w:t>根据年度、季度设置年度完成投资目标，项目办每周到现场督促施工进度及跟进每周实际完成投资情况，最终2022年度超额完成投资目标。</w:t>
      </w:r>
    </w:p>
    <w:p>
      <w:pPr>
        <w:pStyle w:val="11"/>
        <w:spacing w:line="420" w:lineRule="atLeast"/>
        <w:ind w:firstLine="516"/>
      </w:pPr>
      <w:r>
        <w:rPr>
          <w:rFonts w:ascii="仿宋_GB2312" w:hAnsi="仿宋_GB2312"/>
          <w:sz w:val="25"/>
          <w:szCs w:val="25"/>
        </w:rPr>
        <w:t>（二）项目资金（包括财政资金、自筹资金等）安排落实、总投入等情况</w:t>
      </w:r>
    </w:p>
    <w:p>
      <w:pPr>
        <w:pStyle w:val="11"/>
        <w:spacing w:line="420" w:lineRule="atLeast"/>
        <w:ind w:firstLine="516"/>
        <w:rPr>
          <w:rFonts w:hint="eastAsia"/>
        </w:rPr>
      </w:pPr>
      <w:r>
        <w:rPr>
          <w:rFonts w:ascii="仿宋_GB2312" w:hAnsi="仿宋_GB2312"/>
          <w:sz w:val="25"/>
          <w:szCs w:val="25"/>
        </w:rPr>
        <w:t>预算情况如下：</w:t>
      </w:r>
    </w:p>
    <w:p>
      <w:pPr>
        <w:pStyle w:val="11"/>
        <w:spacing w:line="420" w:lineRule="atLeast"/>
        <w:ind w:firstLine="132"/>
        <w:rPr>
          <w:rFonts w:hint="eastAsia"/>
        </w:rPr>
      </w:pPr>
      <w:r>
        <w:rPr>
          <w:rFonts w:ascii="楷体_GB2312" w:hAnsi="楷体_GB2312"/>
          <w:sz w:val="25"/>
          <w:szCs w:val="25"/>
        </w:rPr>
        <w:t>资金总额</w:t>
      </w:r>
      <w:r>
        <w:rPr>
          <w:rFonts w:ascii="楷体_GB2312"/>
          <w:sz w:val="25"/>
          <w:szCs w:val="25"/>
        </w:rPr>
        <w:t>-年初预算数400000000</w:t>
      </w:r>
      <w:r>
        <w:rPr>
          <w:rFonts w:ascii="仿宋_GB2312" w:hAnsi="仿宋_GB2312"/>
          <w:sz w:val="25"/>
          <w:szCs w:val="25"/>
        </w:rPr>
        <w:t>元，</w:t>
      </w:r>
      <w:r>
        <w:rPr>
          <w:rFonts w:ascii="楷体_GB2312" w:hAnsi="楷体_GB2312"/>
          <w:sz w:val="25"/>
          <w:szCs w:val="25"/>
        </w:rPr>
        <w:t>资金总额</w:t>
      </w:r>
      <w:r>
        <w:rPr>
          <w:rFonts w:ascii="楷体_GB2312"/>
          <w:sz w:val="25"/>
          <w:szCs w:val="25"/>
        </w:rPr>
        <w:t>-全年预算数</w:t>
      </w:r>
      <w:r>
        <w:rPr>
          <w:rFonts w:hint="eastAsia"/>
        </w:rPr>
        <w:t>400000000</w:t>
      </w:r>
      <w:r>
        <w:rPr>
          <w:rFonts w:ascii="仿宋_GB2312" w:hAnsi="仿宋_GB2312"/>
          <w:sz w:val="25"/>
          <w:szCs w:val="25"/>
        </w:rPr>
        <w:t>元，</w:t>
      </w:r>
    </w:p>
    <w:p>
      <w:pPr>
        <w:pStyle w:val="11"/>
        <w:spacing w:line="420" w:lineRule="atLeast"/>
        <w:ind w:firstLine="132"/>
        <w:rPr>
          <w:rFonts w:hint="eastAsia"/>
        </w:rPr>
      </w:pPr>
      <w:r>
        <w:rPr>
          <w:rFonts w:ascii="楷体_GB2312" w:hAnsi="楷体_GB2312"/>
          <w:sz w:val="25"/>
          <w:szCs w:val="25"/>
        </w:rPr>
        <w:t>财政资金</w:t>
      </w:r>
      <w:r>
        <w:rPr>
          <w:rFonts w:ascii="楷体_GB2312"/>
          <w:sz w:val="25"/>
          <w:szCs w:val="25"/>
        </w:rPr>
        <w:t>-年初预算数</w:t>
      </w:r>
      <w:r>
        <w:rPr>
          <w:rFonts w:hint="eastAsia"/>
        </w:rPr>
        <w:t>400000000</w:t>
      </w:r>
      <w:r>
        <w:rPr>
          <w:rFonts w:ascii="楷体_GB2312" w:hAnsi="楷体_GB2312"/>
          <w:sz w:val="25"/>
          <w:szCs w:val="25"/>
        </w:rPr>
        <w:t>元财政资金</w:t>
      </w:r>
      <w:r>
        <w:rPr>
          <w:rFonts w:ascii="楷体_GB2312"/>
          <w:sz w:val="25"/>
          <w:szCs w:val="25"/>
        </w:rPr>
        <w:t>-全年预算数</w:t>
      </w:r>
      <w:r>
        <w:rPr>
          <w:rFonts w:hint="eastAsia"/>
        </w:rPr>
        <w:t>400000000</w:t>
      </w:r>
      <w:r>
        <w:rPr>
          <w:rFonts w:ascii="仿宋_GB2312" w:hAnsi="仿宋_GB2312"/>
          <w:sz w:val="25"/>
          <w:szCs w:val="25"/>
        </w:rPr>
        <w:t>元，</w:t>
      </w:r>
    </w:p>
    <w:p>
      <w:pPr>
        <w:pStyle w:val="11"/>
        <w:spacing w:line="420" w:lineRule="atLeast"/>
        <w:ind w:firstLine="132"/>
        <w:rPr>
          <w:rFonts w:hint="eastAsia"/>
        </w:rPr>
      </w:pPr>
      <w:r>
        <w:rPr>
          <w:rFonts w:ascii="楷体_GB2312" w:hAnsi="楷体_GB2312"/>
          <w:sz w:val="25"/>
          <w:szCs w:val="25"/>
        </w:rPr>
        <w:t>专户</w:t>
      </w:r>
      <w:r>
        <w:rPr>
          <w:rFonts w:ascii="楷体_GB2312"/>
          <w:sz w:val="25"/>
          <w:szCs w:val="25"/>
        </w:rPr>
        <w:t>-年初预算数0</w:t>
      </w:r>
      <w:r>
        <w:rPr>
          <w:rFonts w:ascii="仿宋_GB2312" w:hAnsi="仿宋_GB2312"/>
          <w:sz w:val="25"/>
          <w:szCs w:val="25"/>
        </w:rPr>
        <w:t>元，</w:t>
      </w:r>
      <w:r>
        <w:rPr>
          <w:rFonts w:ascii="楷体_GB2312" w:hAnsi="楷体_GB2312"/>
          <w:sz w:val="25"/>
          <w:szCs w:val="25"/>
        </w:rPr>
        <w:t>专户全年预算数</w:t>
      </w:r>
      <w:r>
        <w:rPr>
          <w:rFonts w:ascii="楷体_GB2312"/>
          <w:sz w:val="25"/>
          <w:szCs w:val="25"/>
        </w:rPr>
        <w:t>0元，</w:t>
      </w:r>
    </w:p>
    <w:p>
      <w:pPr>
        <w:pStyle w:val="11"/>
        <w:spacing w:line="420" w:lineRule="atLeast"/>
        <w:ind w:firstLine="132"/>
        <w:rPr>
          <w:rFonts w:hint="eastAsia"/>
        </w:rPr>
      </w:pPr>
      <w:r>
        <w:rPr>
          <w:rFonts w:ascii="楷体_GB2312" w:hAnsi="楷体_GB2312"/>
          <w:sz w:val="25"/>
          <w:szCs w:val="25"/>
        </w:rPr>
        <w:t>单位年初预算数</w:t>
      </w:r>
      <w:r>
        <w:rPr>
          <w:rFonts w:ascii="楷体_GB2312"/>
          <w:sz w:val="25"/>
          <w:szCs w:val="25"/>
        </w:rPr>
        <w:t>0元，单位全年预算数0</w:t>
      </w:r>
      <w:r>
        <w:rPr>
          <w:rFonts w:ascii="仿宋_GB2312" w:hAnsi="仿宋_GB2312"/>
          <w:sz w:val="25"/>
          <w:szCs w:val="25"/>
        </w:rPr>
        <w:t>元。</w:t>
      </w:r>
    </w:p>
    <w:p>
      <w:pPr>
        <w:pStyle w:val="11"/>
        <w:spacing w:line="420" w:lineRule="atLeast"/>
        <w:ind w:firstLine="516"/>
        <w:rPr>
          <w:rFonts w:hint="eastAsia"/>
        </w:rPr>
      </w:pPr>
      <w:r>
        <w:rPr>
          <w:rFonts w:ascii="仿宋_GB2312" w:hAnsi="仿宋_GB2312"/>
          <w:sz w:val="25"/>
          <w:szCs w:val="25"/>
        </w:rPr>
        <w:t>（三）项目资金（主要是指财政资金）实际使用情况</w:t>
      </w:r>
    </w:p>
    <w:p>
      <w:pPr>
        <w:pStyle w:val="11"/>
        <w:spacing w:line="420" w:lineRule="atLeast"/>
        <w:ind w:firstLine="516"/>
        <w:rPr>
          <w:rFonts w:hint="eastAsia"/>
        </w:rPr>
      </w:pPr>
      <w:r>
        <w:rPr>
          <w:rFonts w:ascii="仿宋_GB2312" w:hAnsi="仿宋_GB2312"/>
          <w:sz w:val="25"/>
          <w:szCs w:val="25"/>
        </w:rPr>
        <w:t>资金执行情况如下：</w:t>
      </w:r>
    </w:p>
    <w:p>
      <w:pPr>
        <w:pStyle w:val="11"/>
        <w:spacing w:line="420" w:lineRule="atLeast"/>
        <w:ind w:firstLine="132"/>
        <w:rPr>
          <w:rFonts w:hint="eastAsia"/>
        </w:rPr>
      </w:pPr>
      <w:r>
        <w:rPr>
          <w:rFonts w:ascii="楷体_GB2312" w:hAnsi="楷体_GB2312"/>
          <w:sz w:val="25"/>
          <w:szCs w:val="25"/>
        </w:rPr>
        <w:t>资金总额</w:t>
      </w:r>
      <w:r>
        <w:rPr>
          <w:rFonts w:ascii="楷体_GB2312"/>
          <w:sz w:val="25"/>
          <w:szCs w:val="25"/>
        </w:rPr>
        <w:t>-全年执行数400000000.00元，资金总额-执行率</w:t>
      </w:r>
      <w:r>
        <w:rPr>
          <w:rFonts w:hint="eastAsia"/>
        </w:rPr>
        <w:t>100.00%</w:t>
      </w:r>
      <w:r>
        <w:rPr>
          <w:rFonts w:ascii="楷体_GB2312" w:hAnsi="楷体_GB2312"/>
          <w:sz w:val="25"/>
          <w:szCs w:val="25"/>
        </w:rPr>
        <w:t>元</w:t>
      </w:r>
    </w:p>
    <w:p>
      <w:pPr>
        <w:pStyle w:val="11"/>
        <w:spacing w:line="420" w:lineRule="atLeast"/>
        <w:ind w:firstLine="132"/>
        <w:rPr>
          <w:rFonts w:hint="eastAsia"/>
        </w:rPr>
      </w:pPr>
      <w:r>
        <w:rPr>
          <w:rFonts w:ascii="楷体_GB2312" w:hAnsi="楷体_GB2312"/>
          <w:sz w:val="25"/>
          <w:szCs w:val="25"/>
        </w:rPr>
        <w:t>其中：</w:t>
      </w:r>
    </w:p>
    <w:p>
      <w:pPr>
        <w:pStyle w:val="11"/>
        <w:spacing w:line="420" w:lineRule="atLeast"/>
        <w:ind w:firstLine="132"/>
        <w:rPr>
          <w:rFonts w:hint="eastAsia"/>
        </w:rPr>
      </w:pPr>
      <w:r>
        <w:rPr>
          <w:rFonts w:ascii="楷体_GB2312" w:hAnsi="楷体_GB2312"/>
          <w:sz w:val="25"/>
          <w:szCs w:val="25"/>
        </w:rPr>
        <w:t>财政资金</w:t>
      </w:r>
      <w:r>
        <w:rPr>
          <w:rFonts w:ascii="楷体_GB2312"/>
          <w:sz w:val="25"/>
          <w:szCs w:val="25"/>
        </w:rPr>
        <w:t>-全年执行数400000000.00元，财政资金-执行率</w:t>
      </w:r>
      <w:r>
        <w:rPr>
          <w:rFonts w:hint="eastAsia"/>
        </w:rPr>
        <w:t>100.00%</w:t>
      </w:r>
    </w:p>
    <w:p>
      <w:pPr>
        <w:pStyle w:val="11"/>
        <w:spacing w:line="420" w:lineRule="atLeast"/>
        <w:ind w:firstLine="132"/>
        <w:rPr>
          <w:rFonts w:hint="eastAsia"/>
        </w:rPr>
      </w:pPr>
      <w:r>
        <w:rPr>
          <w:rFonts w:ascii="楷体_GB2312" w:hAnsi="楷体_GB2312"/>
          <w:sz w:val="25"/>
          <w:szCs w:val="25"/>
        </w:rPr>
        <w:t>专户全年执行数</w:t>
      </w:r>
      <w:r>
        <w:rPr>
          <w:rFonts w:ascii="楷体_GB2312"/>
          <w:sz w:val="25"/>
          <w:szCs w:val="25"/>
        </w:rPr>
        <w:t>0元，专户-执行率</w:t>
      </w:r>
      <w:r>
        <w:rPr>
          <w:rFonts w:hint="eastAsia"/>
        </w:rPr>
        <w:t>0</w:t>
      </w:r>
    </w:p>
    <w:p>
      <w:pPr>
        <w:pStyle w:val="11"/>
        <w:spacing w:line="420" w:lineRule="atLeast"/>
        <w:ind w:firstLine="132"/>
        <w:rPr>
          <w:rFonts w:hint="eastAsia"/>
        </w:rPr>
      </w:pPr>
      <w:r>
        <w:rPr>
          <w:rFonts w:ascii="楷体_GB2312" w:hAnsi="楷体_GB2312"/>
          <w:sz w:val="25"/>
          <w:szCs w:val="25"/>
        </w:rPr>
        <w:t>单位全年执行数</w:t>
      </w:r>
      <w:r>
        <w:rPr>
          <w:rFonts w:ascii="楷体_GB2312"/>
          <w:sz w:val="25"/>
          <w:szCs w:val="25"/>
        </w:rPr>
        <w:t>0元，单位全年执行率</w:t>
      </w:r>
      <w:r>
        <w:rPr>
          <w:rFonts w:hint="eastAsia"/>
        </w:rPr>
        <w:t>0.00%</w:t>
      </w:r>
    </w:p>
    <w:p>
      <w:pPr>
        <w:pStyle w:val="11"/>
        <w:numPr>
          <w:ilvl w:val="0"/>
          <w:numId w:val="1"/>
        </w:numPr>
        <w:spacing w:line="420" w:lineRule="atLeast"/>
        <w:ind w:firstLine="516"/>
        <w:rPr>
          <w:rFonts w:ascii="仿宋_GB2312" w:hAnsi="仿宋_GB2312"/>
          <w:sz w:val="25"/>
          <w:szCs w:val="25"/>
        </w:rPr>
      </w:pPr>
      <w:r>
        <w:rPr>
          <w:rFonts w:ascii="仿宋_GB2312" w:hAnsi="仿宋_GB2312"/>
          <w:sz w:val="25"/>
          <w:szCs w:val="25"/>
        </w:rPr>
        <w:t>项目资金管理情况（包括管理制度、办法的制订及执行情况）</w:t>
      </w:r>
    </w:p>
    <w:p>
      <w:pPr>
        <w:keepNext w:val="0"/>
        <w:keepLines w:val="0"/>
        <w:widowControl/>
        <w:suppressLineNumbers w:val="0"/>
        <w:spacing w:before="0" w:beforeAutospacing="0" w:after="0" w:afterAutospacing="0"/>
        <w:ind w:left="36" w:leftChars="15" w:right="0" w:firstLine="500" w:firstLineChars="200"/>
        <w:jc w:val="left"/>
        <w:rPr>
          <w:rFonts w:hint="eastAsia" w:ascii="仿宋_GB2312" w:hAnsi="仿宋_GB2312"/>
          <w:sz w:val="25"/>
          <w:szCs w:val="25"/>
        </w:rPr>
      </w:pPr>
      <w:r>
        <w:rPr>
          <w:rFonts w:hint="eastAsia" w:ascii="仿宋_GB2312" w:hAnsi="仿宋_GB2312" w:eastAsia="宋体" w:cs="宋体"/>
          <w:sz w:val="25"/>
          <w:szCs w:val="25"/>
          <w:lang w:val="en-US" w:eastAsia="zh-CN" w:bidi="ar-SA"/>
        </w:rPr>
        <w:t>医院有健全的项目资金管理办法，能够按照上级要求，强化项目管理。根据《政府会计制度》、《政府采购法》、《合同法》等法律、法规，结合医院实际，制定了《重大经济事项决策制度》、《项目资金使用管理暂行规定》、《大额资金支付制度》。财政拨款做到专款专用，并在实施过程中能够得到认真执行。项目经费使用由医院计划财务部统一管理，项目支出严格按照合同进行支付。</w:t>
      </w:r>
    </w:p>
    <w:p>
      <w:pPr>
        <w:pStyle w:val="11"/>
        <w:spacing w:line="420" w:lineRule="atLeast"/>
        <w:ind w:firstLine="516"/>
        <w:rPr>
          <w:rFonts w:hint="eastAsia"/>
        </w:rPr>
      </w:pPr>
      <w:r>
        <w:rPr>
          <w:rFonts w:hint="eastAsia" w:ascii="黑体" w:hAnsi="黑体" w:eastAsia="黑体"/>
          <w:sz w:val="25"/>
          <w:szCs w:val="25"/>
        </w:rPr>
        <w:t>三、项目组织实施情况</w:t>
      </w:r>
    </w:p>
    <w:p>
      <w:pPr>
        <w:pStyle w:val="11"/>
        <w:spacing w:line="420" w:lineRule="atLeast"/>
        <w:ind w:firstLine="516"/>
        <w:rPr>
          <w:rFonts w:hint="eastAsia" w:ascii="仿宋_GB2312"/>
          <w:sz w:val="25"/>
          <w:szCs w:val="25"/>
        </w:rPr>
      </w:pPr>
      <w:r>
        <w:rPr>
          <w:rFonts w:ascii="仿宋_GB2312" w:hAnsi="仿宋_GB2312"/>
          <w:sz w:val="25"/>
          <w:szCs w:val="25"/>
        </w:rPr>
        <w:t>（一）项目组织情况（包括项目招投标情况、调整情况、完成验收等）</w:t>
      </w:r>
    </w:p>
    <w:p>
      <w:pPr>
        <w:pStyle w:val="11"/>
        <w:spacing w:line="420" w:lineRule="atLeast"/>
        <w:ind w:firstLine="516"/>
        <w:rPr>
          <w:rFonts w:ascii="仿宋_GB2312" w:hAnsi="仿宋_GB2312"/>
          <w:sz w:val="25"/>
          <w:szCs w:val="25"/>
        </w:rPr>
      </w:pPr>
      <w:r>
        <w:rPr>
          <w:rFonts w:ascii="仿宋_GB2312" w:hAnsi="仿宋_GB2312"/>
          <w:sz w:val="25"/>
          <w:szCs w:val="25"/>
        </w:rPr>
        <w:t>本项目为EPC项目，由施工单位对各分项任务进行招标，根据项目施工进度有序招标；分项工程完工后由监理单位及时组织各参建单位完成验收。</w:t>
      </w:r>
    </w:p>
    <w:p>
      <w:pPr>
        <w:pStyle w:val="11"/>
        <w:numPr>
          <w:ilvl w:val="0"/>
          <w:numId w:val="2"/>
        </w:numPr>
        <w:spacing w:line="420" w:lineRule="atLeast"/>
        <w:ind w:firstLine="516"/>
        <w:rPr>
          <w:rFonts w:ascii="仿宋_GB2312"/>
          <w:sz w:val="25"/>
          <w:szCs w:val="25"/>
        </w:rPr>
      </w:pPr>
      <w:r>
        <w:rPr>
          <w:rFonts w:ascii="仿宋_GB2312" w:hAnsi="仿宋_GB2312"/>
          <w:sz w:val="25"/>
          <w:szCs w:val="25"/>
        </w:rPr>
        <w:t>项目管理情况（包括项目管理制度建设、日常检查监督等情况）</w:t>
      </w:r>
    </w:p>
    <w:p>
      <w:pPr>
        <w:pStyle w:val="11"/>
        <w:spacing w:line="420" w:lineRule="atLeast"/>
        <w:ind w:firstLine="516"/>
        <w:rPr>
          <w:rFonts w:ascii="仿宋_GB2312" w:hAnsi="仿宋_GB2312"/>
          <w:sz w:val="25"/>
          <w:szCs w:val="25"/>
        </w:rPr>
      </w:pPr>
      <w:r>
        <w:rPr>
          <w:rFonts w:ascii="仿宋_GB2312" w:hAnsi="仿宋_GB2312"/>
          <w:sz w:val="25"/>
          <w:szCs w:val="25"/>
        </w:rPr>
        <w:t>1.加强项目制度建设。针对公共工程项目，坚持以制度集成创新为抓手，建立健全规章制度，从制度上做好风险防控工作，管好用好国有资产。2021年以来医院已制定《合同管理暂行办法》《廉政工作守则》《后勤管理部内控管理制度》、《基建工程项目第三方服务单位监管办法》《基建工程管理办法等》等制度，进一步明确基建项目各环节的责任；加强基建工程项目全过程的管理，控制建设成本并加强对施工单位的监管，2022年我院招聘高级工程师进驻现场，对工程质量及监理等重要环节进行监管。</w:t>
      </w:r>
    </w:p>
    <w:p>
      <w:pPr>
        <w:pStyle w:val="11"/>
        <w:spacing w:line="420" w:lineRule="atLeast"/>
        <w:ind w:firstLine="516"/>
        <w:rPr>
          <w:rFonts w:ascii="仿宋_GB2312" w:hAnsi="仿宋_GB2312"/>
          <w:sz w:val="25"/>
          <w:szCs w:val="25"/>
        </w:rPr>
      </w:pPr>
      <w:r>
        <w:rPr>
          <w:rFonts w:ascii="仿宋_GB2312" w:hAnsi="仿宋_GB2312"/>
          <w:sz w:val="25"/>
          <w:szCs w:val="25"/>
        </w:rPr>
        <w:t>2.成立项目领导小组。由党委书记、院长担任组长，加强和发挥我院项目领导小组的作用，定期召开领导小组会讨论会及每周开展重大项目院务例会，对重大事项及重要工作进行讨论，确保领导小组在项目实施过程中起到有效监管、有力统筹项目建设的作用。</w:t>
      </w:r>
    </w:p>
    <w:p>
      <w:pPr>
        <w:pStyle w:val="11"/>
        <w:spacing w:line="420" w:lineRule="atLeast"/>
        <w:ind w:firstLine="516"/>
        <w:rPr>
          <w:rFonts w:ascii="仿宋_GB2312" w:hAnsi="仿宋_GB2312"/>
          <w:sz w:val="25"/>
          <w:szCs w:val="25"/>
        </w:rPr>
      </w:pPr>
      <w:r>
        <w:rPr>
          <w:rFonts w:ascii="仿宋_GB2312" w:hAnsi="仿宋_GB2312"/>
          <w:sz w:val="25"/>
          <w:szCs w:val="25"/>
        </w:rPr>
        <w:t>3.建立项目每日进度汇报机制。由专人每天紧密跟进监督公共工程项目施工进展情况，并将每日施工情况汇报至“医院江东重大项目建设群”，领导小组成员及科室主任监督。制定现场例会制度、完善工作沟通机制。目前已制定公共工程项目现场每周例会制度、监理例会等，并完善各参建单位沟通机制，建立代管、施工、设计等参建单位共同参与沟通和监督的项目微信群。紧密跟进项目工作进度，了解项目存在的问题，协调各参建单位及时沟通和解决问题，积极推进项目建设进度。</w:t>
      </w:r>
    </w:p>
    <w:p>
      <w:pPr>
        <w:pStyle w:val="11"/>
        <w:spacing w:line="420" w:lineRule="atLeast"/>
        <w:ind w:firstLine="516"/>
        <w:rPr>
          <w:rFonts w:ascii="仿宋_GB2312" w:hAnsi="仿宋_GB2312"/>
          <w:sz w:val="25"/>
          <w:szCs w:val="25"/>
        </w:rPr>
      </w:pPr>
      <w:r>
        <w:rPr>
          <w:rFonts w:ascii="仿宋_GB2312" w:hAnsi="仿宋_GB2312"/>
          <w:sz w:val="25"/>
          <w:szCs w:val="25"/>
        </w:rPr>
        <w:t>4.定期向上级主管部门汇报项目进展情况。每周向省卫健委及省发改委汇报项目施工形象进度及投资完成额等工作进展情况；每月在省卫健委组织召开的月调度会上汇报项目进展情况，反映项目存在的问题及下一步工作计划。</w:t>
      </w:r>
    </w:p>
    <w:p>
      <w:pPr>
        <w:pStyle w:val="11"/>
        <w:spacing w:line="420" w:lineRule="atLeast"/>
        <w:ind w:firstLine="516"/>
        <w:rPr>
          <w:rFonts w:ascii="仿宋_GB2312" w:hAnsi="仿宋_GB2312"/>
          <w:sz w:val="25"/>
          <w:szCs w:val="25"/>
        </w:rPr>
      </w:pPr>
      <w:r>
        <w:rPr>
          <w:rFonts w:ascii="仿宋_GB2312" w:hAnsi="仿宋_GB2312"/>
          <w:sz w:val="25"/>
          <w:szCs w:val="25"/>
        </w:rPr>
        <w:t>5.落实省纪检与学校纪检的监督指导。在省纪检与海南医学院纪检的监督下，严格贯彻落实相关廉洁风险防控制度，坚定不移的通过跟踪监督，及时防范与化解公共工程领域的廉政风险。落实省纪检陈泽龙处长到项目现场进行“公共工程廉洁风险防控的提示”调研，指导建立廉洁风险防控机制，打造廉洁工程；落实2022年9月16日，学校纪检陈雄主任现场调研强调相关职能部门要认真梳理工程项目建设过程中存在的廉政风险点，推动完善体制机制建设，用好海南省公共工程跟踪监督平台，及时录入更新有关信息等要求。</w:t>
      </w:r>
    </w:p>
    <w:p>
      <w:pPr>
        <w:pStyle w:val="11"/>
        <w:spacing w:line="420" w:lineRule="atLeast"/>
        <w:ind w:firstLine="516"/>
        <w:rPr>
          <w:rFonts w:ascii="仿宋_GB2312" w:hAnsi="仿宋_GB2312"/>
          <w:sz w:val="25"/>
          <w:szCs w:val="25"/>
        </w:rPr>
      </w:pPr>
      <w:r>
        <w:rPr>
          <w:rFonts w:ascii="仿宋_GB2312" w:hAnsi="仿宋_GB2312"/>
          <w:sz w:val="25"/>
          <w:szCs w:val="25"/>
        </w:rPr>
        <w:t>6.严格监督施工及投资计划实施。定期督促代管单位及施工单位根据实际施工情况，更新并提供项目施工及投资计划，强调必须严格把控工程质量，严格按照省发改委批复的项目概算及年度中央财政、省财政资金拨款情况进行施工，杜绝违规超概建设的情况。保障建设资金专款专用。严格落实国库集中支付制度规范代管制项目资金支付管理，每月支付资金必须经过代管单位及跟踪审计单位审核后提交医院后勤、财务审核并经医院办公会及党委会审议后支付，杜绝超前支付。项目资金直接支付到项目施工单位。资金不再通过代管单位转拨。（其中属于代管单位的管理费，支付到代管单位账户）。目前在建的江东新院区项目进度款支付正常。截至目前已累计收到建设资金</w:t>
      </w:r>
      <w:r>
        <w:rPr>
          <w:rFonts w:hint="eastAsia" w:ascii="仿宋_GB2312" w:hAnsi="仿宋_GB2312"/>
          <w:sz w:val="25"/>
          <w:szCs w:val="25"/>
        </w:rPr>
        <w:t>117918</w:t>
      </w:r>
      <w:r>
        <w:rPr>
          <w:rFonts w:ascii="仿宋_GB2312" w:hAnsi="仿宋_GB2312"/>
          <w:sz w:val="25"/>
          <w:szCs w:val="25"/>
        </w:rPr>
        <w:t>万元（含土地款 38175 万元），已累计用于项目建设支出</w:t>
      </w:r>
      <w:r>
        <w:rPr>
          <w:rFonts w:hint="eastAsia" w:ascii="仿宋_GB2312" w:hAnsi="仿宋_GB2312"/>
          <w:sz w:val="25"/>
          <w:szCs w:val="25"/>
        </w:rPr>
        <w:t>117918</w:t>
      </w:r>
      <w:r>
        <w:rPr>
          <w:rFonts w:ascii="仿宋_GB2312" w:hAnsi="仿宋_GB2312"/>
          <w:sz w:val="25"/>
          <w:szCs w:val="25"/>
        </w:rPr>
        <w:t>万元，全部支出完成。</w:t>
      </w:r>
    </w:p>
    <w:p>
      <w:pPr>
        <w:pStyle w:val="11"/>
        <w:spacing w:line="420" w:lineRule="atLeast"/>
        <w:ind w:firstLine="516"/>
        <w:rPr>
          <w:rFonts w:ascii="仿宋_GB2312" w:hAnsi="仿宋_GB2312"/>
          <w:sz w:val="25"/>
          <w:szCs w:val="25"/>
        </w:rPr>
      </w:pPr>
      <w:r>
        <w:rPr>
          <w:rFonts w:ascii="仿宋_GB2312" w:hAnsi="仿宋_GB2312"/>
          <w:sz w:val="25"/>
          <w:szCs w:val="25"/>
        </w:rPr>
        <w:t>7.落实审计监督工作，按照省卫健委要求，通过公开招投标方式确定全过程跟踪审计单位，对公共工程项目进行全过程（造价、咨询、财务）跟踪审计，要求全过程跟踪审计单位要做到及时发现项目中存在的问题和漏洞，随时对建设项目提出建议和意见，监督项目工作进程，提高项目建设论证的可靠性，从源头上遏制在资金管理领域的腐败现象，起到更好的监督作用，最大限度地发挥投资效益。审计单位监督审查主要内容：收集项目相关资料。如项目立项、可研批复、概算批复、总承包（EPC）招标文件、中标通知书、总承包合同、监理规划等；在施工现场参与隐蔽工程的验收并核实工程量的真实性，记录施工方法、材料品牌，见证计量清表工程，实测土方外弃运距；拍照取证并编制跟踪审计取证单，编写跟踪审计周报、月报等；跟踪审计现阶段对工程造价影响较大的工序进行重点跟踪，关注施工进度及质量；审核进度款，确保资金安全及支出合规性。</w:t>
      </w:r>
    </w:p>
    <w:p>
      <w:pPr>
        <w:pStyle w:val="11"/>
        <w:spacing w:line="420" w:lineRule="atLeast"/>
        <w:ind w:firstLine="516"/>
      </w:pPr>
      <w:r>
        <w:rPr>
          <w:rFonts w:hint="eastAsia" w:ascii="黑体" w:hAnsi="黑体" w:eastAsia="黑体"/>
          <w:sz w:val="25"/>
          <w:szCs w:val="25"/>
        </w:rPr>
        <w:t>四、项目绩效情况</w:t>
      </w:r>
    </w:p>
    <w:p>
      <w:pPr>
        <w:pStyle w:val="11"/>
        <w:spacing w:line="420" w:lineRule="atLeast"/>
        <w:ind w:firstLine="516"/>
        <w:rPr>
          <w:rFonts w:hint="eastAsia" w:ascii="仿宋_GB2312" w:hAnsi="仿宋_GB2312"/>
          <w:sz w:val="25"/>
          <w:szCs w:val="25"/>
        </w:rPr>
      </w:pPr>
      <w:r>
        <w:rPr>
          <w:rFonts w:ascii="仿宋_GB2312" w:hAnsi="仿宋_GB2312"/>
          <w:sz w:val="25"/>
          <w:szCs w:val="25"/>
        </w:rPr>
        <w:t>（一）项目绩效目标完成情况。将项目实际完成情况与申报的绩效目标对比，从项目的经济性、效率性、有效性和可持续性等方面对项目绩效进行量化、具体分析。</w:t>
      </w:r>
    </w:p>
    <w:p>
      <w:pPr>
        <w:pStyle w:val="11"/>
        <w:spacing w:line="420" w:lineRule="atLeast"/>
        <w:ind w:firstLine="516"/>
        <w:rPr>
          <w:rFonts w:ascii="仿宋_GB2312" w:hAnsi="仿宋_GB2312"/>
          <w:sz w:val="25"/>
          <w:szCs w:val="25"/>
        </w:rPr>
      </w:pPr>
      <w:r>
        <w:rPr>
          <w:rFonts w:ascii="仿宋_GB2312" w:hAnsi="仿宋_GB2312"/>
          <w:sz w:val="25"/>
          <w:szCs w:val="25"/>
        </w:rPr>
        <w:t>1.项目经济性分析：当年年度目标完成情况：2022年实际完成年度投资85159万元，完成率为106.45%。在项目施工过程中，由全过程跟踪审计单位及代管单位对项目对项目成本（预算）进行控制，实际实行情况较合理；</w:t>
      </w:r>
    </w:p>
    <w:p>
      <w:pPr>
        <w:pStyle w:val="11"/>
        <w:spacing w:line="420" w:lineRule="atLeast"/>
        <w:ind w:firstLine="516"/>
        <w:rPr>
          <w:rFonts w:ascii="仿宋_GB2312" w:hAnsi="仿宋_GB2312"/>
          <w:sz w:val="25"/>
          <w:szCs w:val="25"/>
        </w:rPr>
      </w:pPr>
      <w:r>
        <w:rPr>
          <w:rFonts w:ascii="仿宋_GB2312" w:hAnsi="仿宋_GB2312"/>
          <w:sz w:val="25"/>
          <w:szCs w:val="25"/>
        </w:rPr>
        <w:t>2.项目效率性分析：由项目监理及代管单位、我院驻场代表对项目实施的进度及质量等情况进行监督，保障项目进度与质量；</w:t>
      </w:r>
    </w:p>
    <w:p>
      <w:pPr>
        <w:pStyle w:val="11"/>
        <w:spacing w:line="420" w:lineRule="atLeast"/>
        <w:ind w:firstLine="516"/>
        <w:rPr>
          <w:rFonts w:ascii="仿宋_GB2312" w:hAnsi="仿宋_GB2312"/>
          <w:sz w:val="25"/>
          <w:szCs w:val="25"/>
        </w:rPr>
      </w:pPr>
      <w:r>
        <w:rPr>
          <w:rFonts w:ascii="仿宋_GB2312" w:hAnsi="仿宋_GB2312"/>
          <w:sz w:val="25"/>
          <w:szCs w:val="25"/>
        </w:rPr>
        <w:t>3.项目有效性分析：本项目资金使用效果较合理，已下达资金全部用于支付项目建设，无结转资金;</w:t>
      </w:r>
    </w:p>
    <w:p>
      <w:pPr>
        <w:pStyle w:val="11"/>
        <w:spacing w:line="420" w:lineRule="atLeast"/>
        <w:ind w:firstLine="516"/>
        <w:rPr>
          <w:rFonts w:ascii="仿宋_GB2312" w:hAnsi="仿宋_GB2312"/>
          <w:sz w:val="25"/>
          <w:szCs w:val="25"/>
        </w:rPr>
      </w:pPr>
      <w:r>
        <w:rPr>
          <w:rFonts w:ascii="仿宋_GB2312" w:hAnsi="仿宋_GB2312"/>
          <w:sz w:val="25"/>
          <w:szCs w:val="25"/>
        </w:rPr>
        <w:t>4.项目可持续性分析：项目计划于2024年3月竣工，项目完成投入后，将严谨制定投入使用的开业资金，并安排好前期运营所需人员、资金，确保项目持续发展。</w:t>
      </w:r>
    </w:p>
    <w:p>
      <w:pPr>
        <w:pStyle w:val="11"/>
        <w:spacing w:line="420" w:lineRule="atLeast"/>
        <w:ind w:firstLine="516"/>
        <w:rPr>
          <w:rFonts w:hint="eastAsia" w:ascii="仿宋_GB2312"/>
          <w:sz w:val="25"/>
          <w:szCs w:val="25"/>
        </w:rPr>
      </w:pPr>
      <w:r>
        <w:rPr>
          <w:rFonts w:ascii="仿宋_GB2312" w:hAnsi="仿宋_GB2312"/>
          <w:sz w:val="25"/>
          <w:szCs w:val="25"/>
        </w:rPr>
        <w:t>（二）项目绩效目标未完成情况及原因分析</w:t>
      </w:r>
    </w:p>
    <w:p>
      <w:pPr>
        <w:pStyle w:val="11"/>
        <w:spacing w:line="420" w:lineRule="atLeast"/>
        <w:ind w:firstLine="516"/>
        <w:rPr>
          <w:rFonts w:ascii="仿宋_GB2312" w:hAnsi="仿宋_GB2312"/>
          <w:sz w:val="25"/>
          <w:szCs w:val="25"/>
        </w:rPr>
      </w:pPr>
      <w:r>
        <w:rPr>
          <w:rFonts w:ascii="仿宋_GB2312" w:hAnsi="仿宋_GB2312"/>
          <w:sz w:val="25"/>
          <w:szCs w:val="25"/>
        </w:rPr>
        <w:t>无</w:t>
      </w:r>
    </w:p>
    <w:p>
      <w:pPr>
        <w:pStyle w:val="11"/>
        <w:spacing w:line="420" w:lineRule="atLeast"/>
        <w:ind w:firstLine="516"/>
      </w:pPr>
      <w:r>
        <w:rPr>
          <w:rFonts w:hint="eastAsia" w:ascii="黑体" w:hAnsi="黑体" w:eastAsia="黑体"/>
          <w:sz w:val="25"/>
          <w:szCs w:val="25"/>
        </w:rPr>
        <w:t>五、其他需要说明的问题</w:t>
      </w:r>
    </w:p>
    <w:p>
      <w:pPr>
        <w:pStyle w:val="11"/>
        <w:spacing w:line="420" w:lineRule="atLeast"/>
        <w:ind w:firstLine="516"/>
        <w:rPr>
          <w:rFonts w:hint="eastAsia" w:ascii="仿宋_GB2312" w:hAnsi="仿宋_GB2312"/>
          <w:sz w:val="25"/>
          <w:szCs w:val="25"/>
        </w:rPr>
      </w:pPr>
      <w:r>
        <w:rPr>
          <w:rFonts w:ascii="仿宋_GB2312" w:hAnsi="仿宋_GB2312"/>
          <w:sz w:val="25"/>
          <w:szCs w:val="25"/>
        </w:rPr>
        <w:t>（一）后续工作计划</w:t>
      </w:r>
    </w:p>
    <w:p>
      <w:pPr>
        <w:pStyle w:val="11"/>
        <w:spacing w:line="420" w:lineRule="atLeast"/>
        <w:ind w:firstLine="516"/>
        <w:rPr>
          <w:rFonts w:ascii="仿宋_GB2312" w:hAnsi="仿宋_GB2312"/>
          <w:sz w:val="25"/>
          <w:szCs w:val="25"/>
        </w:rPr>
      </w:pPr>
      <w:r>
        <w:rPr>
          <w:rFonts w:ascii="仿宋_GB2312" w:hAnsi="仿宋_GB2312"/>
          <w:sz w:val="25"/>
          <w:szCs w:val="25"/>
        </w:rPr>
        <w:t>2023年计划完成投资80000万元。2023年计划完成建设内容如下：</w:t>
      </w:r>
    </w:p>
    <w:p>
      <w:pPr>
        <w:pStyle w:val="11"/>
        <w:spacing w:line="420" w:lineRule="atLeast"/>
        <w:ind w:firstLine="516"/>
        <w:rPr>
          <w:rFonts w:ascii="仿宋_GB2312" w:hAnsi="仿宋_GB2312"/>
          <w:sz w:val="25"/>
          <w:szCs w:val="25"/>
        </w:rPr>
      </w:pPr>
      <w:r>
        <w:rPr>
          <w:rFonts w:ascii="仿宋_GB2312" w:hAnsi="仿宋_GB2312"/>
          <w:sz w:val="25"/>
          <w:szCs w:val="25"/>
        </w:rPr>
        <w:t>一季度完成:  外装修完成40%;内装修、消防工程、水电安装完成28%、通风工程完成28%;弱电工程完成9%。</w:t>
      </w:r>
    </w:p>
    <w:p>
      <w:pPr>
        <w:pStyle w:val="11"/>
        <w:spacing w:line="420" w:lineRule="atLeast"/>
        <w:ind w:firstLine="516"/>
        <w:rPr>
          <w:rFonts w:ascii="仿宋_GB2312" w:hAnsi="仿宋_GB2312"/>
          <w:sz w:val="25"/>
          <w:szCs w:val="25"/>
        </w:rPr>
      </w:pPr>
      <w:r>
        <w:rPr>
          <w:rFonts w:ascii="仿宋_GB2312" w:hAnsi="仿宋_GB2312"/>
          <w:sz w:val="25"/>
          <w:szCs w:val="25"/>
        </w:rPr>
        <w:t>二季度完成：外装修完成90%;内装修、消防工程、水电安装、通风工程 完成52%;弱电工程完成36%;医疗净化完成15%;医用气体、医用物流完成20%;水电气引入工程完90%。</w:t>
      </w:r>
    </w:p>
    <w:p>
      <w:pPr>
        <w:pStyle w:val="11"/>
        <w:spacing w:line="420" w:lineRule="atLeast"/>
        <w:ind w:firstLine="516"/>
        <w:rPr>
          <w:rFonts w:ascii="仿宋_GB2312" w:hAnsi="仿宋_GB2312"/>
          <w:sz w:val="25"/>
          <w:szCs w:val="25"/>
        </w:rPr>
      </w:pPr>
      <w:r>
        <w:rPr>
          <w:rFonts w:ascii="仿宋_GB2312" w:hAnsi="仿宋_GB2312"/>
          <w:sz w:val="25"/>
          <w:szCs w:val="25"/>
        </w:rPr>
        <w:t xml:space="preserve"> 三季度完成内装修、消防工程、水电安装、通风工程完成74%;弱电工 程完成63%;医疗净化完成45%;医用气体、医用物流完成50%;园林工程完成20%。</w:t>
      </w:r>
    </w:p>
    <w:p>
      <w:pPr>
        <w:pStyle w:val="11"/>
        <w:spacing w:line="420" w:lineRule="atLeast"/>
        <w:ind w:firstLine="516"/>
        <w:rPr>
          <w:rFonts w:ascii="仿宋_GB2312" w:hAnsi="仿宋_GB2312"/>
          <w:sz w:val="25"/>
          <w:szCs w:val="25"/>
        </w:rPr>
      </w:pPr>
      <w:r>
        <w:rPr>
          <w:rFonts w:ascii="仿宋_GB2312" w:hAnsi="仿宋_GB2312"/>
          <w:sz w:val="25"/>
          <w:szCs w:val="25"/>
        </w:rPr>
        <w:t>四季度完成内装修、消防工程、水电安装、通风工程完成90%;弱电工 程完成90%;医疗净化完成75%;医用气体、医用物流完成80%;园林工程完成60%。</w:t>
      </w:r>
    </w:p>
    <w:p>
      <w:pPr>
        <w:pStyle w:val="11"/>
        <w:spacing w:line="420" w:lineRule="atLeast"/>
        <w:ind w:firstLine="516"/>
        <w:rPr>
          <w:rFonts w:ascii="仿宋_GB2312" w:hAnsi="仿宋_GB2312"/>
          <w:sz w:val="25"/>
          <w:szCs w:val="25"/>
        </w:rPr>
      </w:pPr>
      <w:r>
        <w:rPr>
          <w:rFonts w:ascii="仿宋_GB2312" w:hAnsi="仿宋_GB2312"/>
          <w:sz w:val="25"/>
          <w:szCs w:val="25"/>
        </w:rPr>
        <w:t>（二）主要经验及做法、存在问题和建议</w:t>
      </w:r>
    </w:p>
    <w:p>
      <w:pPr>
        <w:pStyle w:val="11"/>
        <w:spacing w:line="420" w:lineRule="atLeast"/>
        <w:ind w:firstLine="516"/>
        <w:rPr>
          <w:rFonts w:ascii="仿宋_GB2312" w:hAnsi="仿宋_GB2312"/>
          <w:sz w:val="25"/>
          <w:szCs w:val="25"/>
        </w:rPr>
      </w:pPr>
      <w:r>
        <w:rPr>
          <w:rFonts w:ascii="仿宋_GB2312" w:hAnsi="仿宋_GB2312"/>
          <w:sz w:val="25"/>
          <w:szCs w:val="25"/>
        </w:rPr>
        <w:t>1.主要经验如下：</w:t>
      </w:r>
    </w:p>
    <w:p>
      <w:pPr>
        <w:pStyle w:val="11"/>
        <w:spacing w:line="420" w:lineRule="atLeast"/>
        <w:ind w:firstLine="516"/>
        <w:rPr>
          <w:rFonts w:ascii="仿宋_GB2312" w:hAnsi="仿宋_GB2312"/>
          <w:sz w:val="25"/>
          <w:szCs w:val="25"/>
        </w:rPr>
      </w:pPr>
      <w:r>
        <w:rPr>
          <w:rFonts w:ascii="仿宋_GB2312" w:hAnsi="仿宋_GB2312"/>
          <w:sz w:val="25"/>
          <w:szCs w:val="25"/>
        </w:rPr>
        <w:t>（1）以投资计划落实推进项目建设进度，每季度完成1.5-2亿元以上投资额。</w:t>
      </w:r>
    </w:p>
    <w:p>
      <w:pPr>
        <w:pStyle w:val="11"/>
        <w:spacing w:line="420" w:lineRule="atLeast"/>
        <w:ind w:firstLine="516"/>
        <w:rPr>
          <w:rFonts w:ascii="仿宋_GB2312" w:hAnsi="仿宋_GB2312"/>
          <w:sz w:val="25"/>
          <w:szCs w:val="25"/>
        </w:rPr>
      </w:pPr>
      <w:r>
        <w:rPr>
          <w:rFonts w:ascii="仿宋_GB2312" w:hAnsi="仿宋_GB2312"/>
          <w:sz w:val="25"/>
          <w:szCs w:val="25"/>
        </w:rPr>
        <w:t>（2） 加强工作沟通，发挥项目领导小组、 专家组作用，每周召开现场项目周会，协调解決问题，高效高质推进项目建设。</w:t>
      </w:r>
    </w:p>
    <w:p>
      <w:pPr>
        <w:pStyle w:val="11"/>
        <w:spacing w:line="420" w:lineRule="atLeast"/>
        <w:ind w:firstLine="516"/>
        <w:rPr>
          <w:rFonts w:ascii="仿宋_GB2312" w:hAnsi="仿宋_GB2312"/>
          <w:sz w:val="25"/>
          <w:szCs w:val="25"/>
        </w:rPr>
      </w:pPr>
      <w:r>
        <w:rPr>
          <w:rFonts w:ascii="仿宋_GB2312" w:hAnsi="仿宋_GB2312"/>
          <w:sz w:val="25"/>
          <w:szCs w:val="25"/>
        </w:rPr>
        <w:t>（3）积极与省卫健委、省发改委、省财政厅、江东管理局等政府部门汇报项目进展并取得支持，保障建设资金的拨款进度与项目建设进度同步，推进项目建设过程中相关问题的协调解决。</w:t>
      </w:r>
    </w:p>
    <w:p>
      <w:pPr>
        <w:pStyle w:val="11"/>
        <w:spacing w:line="420" w:lineRule="atLeast"/>
        <w:ind w:firstLine="516"/>
        <w:rPr>
          <w:rFonts w:ascii="仿宋_GB2312" w:hAnsi="仿宋_GB2312"/>
          <w:sz w:val="25"/>
          <w:szCs w:val="25"/>
        </w:rPr>
      </w:pPr>
      <w:r>
        <w:rPr>
          <w:rFonts w:ascii="仿宋_GB2312" w:hAnsi="仿宋_GB2312"/>
          <w:sz w:val="25"/>
          <w:szCs w:val="25"/>
        </w:rPr>
        <w:t>2.存在问题</w:t>
      </w:r>
      <w:bookmarkStart w:id="0" w:name="_GoBack"/>
      <w:bookmarkEnd w:id="0"/>
    </w:p>
    <w:p>
      <w:pPr>
        <w:pStyle w:val="11"/>
        <w:spacing w:line="420" w:lineRule="atLeast"/>
        <w:ind w:firstLine="516"/>
        <w:rPr>
          <w:rFonts w:ascii="仿宋_GB2312" w:hAnsi="仿宋_GB2312"/>
          <w:sz w:val="25"/>
          <w:szCs w:val="25"/>
        </w:rPr>
      </w:pPr>
      <w:r>
        <w:rPr>
          <w:rFonts w:ascii="仿宋_GB2312" w:hAnsi="仿宋_GB2312"/>
          <w:sz w:val="25"/>
          <w:szCs w:val="25"/>
        </w:rPr>
        <w:t>由于项目建设较快，存在年终时，已下达资金不足以支付进度款的情况。</w:t>
      </w:r>
    </w:p>
    <w:p>
      <w:pPr>
        <w:pStyle w:val="11"/>
        <w:spacing w:line="420" w:lineRule="atLeast"/>
        <w:ind w:firstLine="516"/>
        <w:rPr>
          <w:rFonts w:ascii="仿宋_GB2312" w:hAnsi="仿宋_GB2312"/>
          <w:sz w:val="25"/>
          <w:szCs w:val="25"/>
        </w:rPr>
      </w:pPr>
      <w:r>
        <w:rPr>
          <w:rFonts w:ascii="仿宋_GB2312" w:hAnsi="仿宋_GB2312"/>
          <w:sz w:val="25"/>
          <w:szCs w:val="25"/>
        </w:rPr>
        <w:t>建议</w:t>
      </w:r>
    </w:p>
    <w:p>
      <w:pPr>
        <w:pStyle w:val="11"/>
        <w:spacing w:line="420" w:lineRule="atLeast"/>
        <w:ind w:firstLine="516"/>
        <w:rPr>
          <w:rFonts w:ascii="仿宋_GB2312" w:hAnsi="仿宋_GB2312"/>
          <w:sz w:val="25"/>
          <w:szCs w:val="25"/>
        </w:rPr>
      </w:pPr>
      <w:r>
        <w:rPr>
          <w:rFonts w:ascii="仿宋_GB2312" w:hAnsi="仿宋_GB2312"/>
          <w:sz w:val="25"/>
          <w:szCs w:val="25"/>
        </w:rPr>
        <w:t>建议根据第三季度实际完成投资情况及时追加拨付资金。</w:t>
      </w:r>
    </w:p>
    <w:p>
      <w:pPr>
        <w:pStyle w:val="11"/>
        <w:rPr>
          <w:rFonts w:ascii="仿宋_GB2312"/>
          <w:sz w:val="25"/>
          <w:szCs w:val="25"/>
        </w:rPr>
      </w:pPr>
      <w:r>
        <w:rPr>
          <w:rFonts w:ascii="仿宋_GB2312"/>
          <w:sz w:val="25"/>
          <w:szCs w:val="25"/>
        </w:rPr>
        <w:t xml:space="preserve"> </w:t>
      </w:r>
    </w:p>
    <w:sectPr>
      <w:pgSz w:w="11906" w:h="16839"/>
      <w:pgMar w:top="1440" w:right="1800" w:bottom="1440" w:left="180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B1D667"/>
    <w:multiLevelType w:val="singleLevel"/>
    <w:tmpl w:val="53B1D667"/>
    <w:lvl w:ilvl="0" w:tentative="0">
      <w:start w:val="4"/>
      <w:numFmt w:val="chineseCounting"/>
      <w:suff w:val="nothing"/>
      <w:lvlText w:val="（%1）"/>
      <w:lvlJc w:val="left"/>
      <w:rPr>
        <w:rFonts w:hint="eastAsia"/>
      </w:rPr>
    </w:lvl>
  </w:abstractNum>
  <w:abstractNum w:abstractNumId="1">
    <w:nsid w:val="5C7835C4"/>
    <w:multiLevelType w:val="multilevel"/>
    <w:tmpl w:val="5C7835C4"/>
    <w:lvl w:ilvl="0" w:tentative="0">
      <w:start w:val="2"/>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kNzI5NjE3NzM2MGQ5YzA5OTQ3NmM0N2JjZjcyNGEifQ=="/>
  </w:docVars>
  <w:rsids>
    <w:rsidRoot w:val="3E8B368D"/>
    <w:rsid w:val="009B3BEF"/>
    <w:rsid w:val="00E0674C"/>
    <w:rsid w:val="3E8B368D"/>
    <w:rsid w:val="5B5A3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4"/>
    <w:qFormat/>
    <w:uiPriority w:val="0"/>
    <w:pPr>
      <w:spacing w:before="100" w:beforeAutospacing="1" w:after="100" w:afterAutospacing="1"/>
      <w:outlineLvl w:val="0"/>
    </w:pPr>
    <w:rPr>
      <w:b/>
      <w:bCs/>
      <w:kern w:val="44"/>
      <w:sz w:val="48"/>
      <w:szCs w:val="48"/>
    </w:rPr>
  </w:style>
  <w:style w:type="paragraph" w:styleId="3">
    <w:name w:val="heading 2"/>
    <w:basedOn w:val="1"/>
    <w:next w:val="1"/>
    <w:link w:val="15"/>
    <w:qFormat/>
    <w:uiPriority w:val="0"/>
    <w:pPr>
      <w:spacing w:before="100" w:beforeAutospacing="1" w:after="100" w:afterAutospacing="1"/>
      <w:outlineLvl w:val="1"/>
    </w:pPr>
    <w:rPr>
      <w:b/>
      <w:bCs/>
      <w:sz w:val="36"/>
      <w:szCs w:val="36"/>
    </w:rPr>
  </w:style>
  <w:style w:type="paragraph" w:styleId="4">
    <w:name w:val="heading 3"/>
    <w:basedOn w:val="1"/>
    <w:next w:val="1"/>
    <w:link w:val="16"/>
    <w:qFormat/>
    <w:uiPriority w:val="0"/>
    <w:pPr>
      <w:spacing w:before="100" w:beforeAutospacing="1" w:after="100" w:afterAutospacing="1"/>
      <w:outlineLvl w:val="2"/>
    </w:pPr>
    <w:rPr>
      <w:b/>
      <w:bCs/>
      <w:sz w:val="27"/>
      <w:szCs w:val="27"/>
    </w:rPr>
  </w:style>
  <w:style w:type="paragraph" w:styleId="5">
    <w:name w:val="heading 4"/>
    <w:basedOn w:val="1"/>
    <w:next w:val="1"/>
    <w:link w:val="17"/>
    <w:qFormat/>
    <w:uiPriority w:val="0"/>
    <w:pPr>
      <w:spacing w:before="100" w:beforeAutospacing="1" w:after="100" w:afterAutospacing="1"/>
      <w:outlineLvl w:val="3"/>
    </w:pPr>
    <w:rPr>
      <w:b/>
      <w:bCs/>
    </w:rPr>
  </w:style>
  <w:style w:type="paragraph" w:styleId="6">
    <w:name w:val="heading 5"/>
    <w:basedOn w:val="1"/>
    <w:next w:val="1"/>
    <w:link w:val="18"/>
    <w:qFormat/>
    <w:uiPriority w:val="0"/>
    <w:pPr>
      <w:spacing w:before="100" w:beforeAutospacing="1" w:after="100" w:afterAutospacing="1"/>
      <w:outlineLvl w:val="4"/>
    </w:pPr>
    <w:rPr>
      <w:b/>
      <w:bCs/>
      <w:sz w:val="20"/>
      <w:szCs w:val="20"/>
    </w:rPr>
  </w:style>
  <w:style w:type="paragraph" w:styleId="7">
    <w:name w:val="heading 6"/>
    <w:basedOn w:val="1"/>
    <w:next w:val="1"/>
    <w:link w:val="19"/>
    <w:qFormat/>
    <w:uiPriority w:val="0"/>
    <w:pPr>
      <w:spacing w:before="100" w:beforeAutospacing="1" w:after="100" w:afterAutospacing="1"/>
      <w:outlineLvl w:val="5"/>
    </w:pPr>
    <w:rPr>
      <w:b/>
      <w:bCs/>
      <w:sz w:val="15"/>
      <w:szCs w:val="15"/>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26"/>
    <w:uiPriority w:val="0"/>
    <w:pPr>
      <w:tabs>
        <w:tab w:val="center" w:pos="4153"/>
        <w:tab w:val="right" w:pos="8306"/>
      </w:tabs>
      <w:snapToGrid w:val="0"/>
    </w:pPr>
    <w:rPr>
      <w:sz w:val="18"/>
      <w:szCs w:val="18"/>
    </w:rPr>
  </w:style>
  <w:style w:type="paragraph" w:styleId="9">
    <w:name w:val="header"/>
    <w:basedOn w:val="1"/>
    <w:link w:val="25"/>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link w:val="20"/>
    <w:uiPriority w:val="0"/>
  </w:style>
  <w:style w:type="paragraph" w:styleId="11">
    <w:name w:val="Normal (Web)"/>
    <w:basedOn w:val="1"/>
    <w:uiPriority w:val="0"/>
    <w:pPr>
      <w:spacing w:before="100" w:beforeAutospacing="1" w:after="100" w:afterAutospacing="1"/>
    </w:pPr>
  </w:style>
  <w:style w:type="character" w:customStyle="1" w:styleId="14">
    <w:name w:val="标题 1 Char"/>
    <w:basedOn w:val="13"/>
    <w:link w:val="2"/>
    <w:uiPriority w:val="0"/>
    <w:rPr>
      <w:rFonts w:ascii="宋体" w:hAnsi="宋体" w:eastAsia="宋体" w:cs="宋体"/>
      <w:b/>
      <w:bCs/>
      <w:kern w:val="44"/>
      <w:sz w:val="44"/>
      <w:szCs w:val="44"/>
    </w:rPr>
  </w:style>
  <w:style w:type="character" w:customStyle="1" w:styleId="15">
    <w:name w:val="标题 2 Char"/>
    <w:basedOn w:val="13"/>
    <w:link w:val="3"/>
    <w:qFormat/>
    <w:uiPriority w:val="0"/>
    <w:rPr>
      <w:rFonts w:asciiTheme="majorHAnsi" w:hAnsiTheme="majorHAnsi" w:eastAsiaTheme="majorEastAsia" w:cstheme="majorBidi"/>
      <w:b/>
      <w:bCs/>
      <w:sz w:val="32"/>
      <w:szCs w:val="32"/>
    </w:rPr>
  </w:style>
  <w:style w:type="character" w:customStyle="1" w:styleId="16">
    <w:name w:val="标题 3 Char"/>
    <w:basedOn w:val="13"/>
    <w:link w:val="4"/>
    <w:qFormat/>
    <w:uiPriority w:val="0"/>
    <w:rPr>
      <w:rFonts w:ascii="宋体" w:hAnsi="宋体" w:eastAsia="宋体" w:cs="宋体"/>
      <w:b/>
      <w:bCs/>
      <w:sz w:val="32"/>
      <w:szCs w:val="32"/>
    </w:rPr>
  </w:style>
  <w:style w:type="character" w:customStyle="1" w:styleId="17">
    <w:name w:val="标题 4 Char"/>
    <w:basedOn w:val="13"/>
    <w:link w:val="5"/>
    <w:uiPriority w:val="0"/>
    <w:rPr>
      <w:rFonts w:asciiTheme="majorHAnsi" w:hAnsiTheme="majorHAnsi" w:eastAsiaTheme="majorEastAsia" w:cstheme="majorBidi"/>
      <w:b/>
      <w:bCs/>
      <w:sz w:val="28"/>
      <w:szCs w:val="28"/>
    </w:rPr>
  </w:style>
  <w:style w:type="character" w:customStyle="1" w:styleId="18">
    <w:name w:val="标题 5 Char"/>
    <w:basedOn w:val="13"/>
    <w:link w:val="6"/>
    <w:uiPriority w:val="0"/>
    <w:rPr>
      <w:rFonts w:ascii="宋体" w:hAnsi="宋体" w:eastAsia="宋体" w:cs="宋体"/>
      <w:b/>
      <w:bCs/>
      <w:sz w:val="28"/>
      <w:szCs w:val="28"/>
    </w:rPr>
  </w:style>
  <w:style w:type="character" w:customStyle="1" w:styleId="19">
    <w:name w:val="标题 6 Char"/>
    <w:basedOn w:val="13"/>
    <w:link w:val="7"/>
    <w:uiPriority w:val="0"/>
    <w:rPr>
      <w:rFonts w:asciiTheme="majorHAnsi" w:hAnsiTheme="majorHAnsi" w:eastAsiaTheme="majorEastAsia" w:cstheme="majorBidi"/>
      <w:b/>
      <w:bCs/>
      <w:sz w:val="24"/>
      <w:szCs w:val="24"/>
    </w:rPr>
  </w:style>
  <w:style w:type="character" w:customStyle="1" w:styleId="20">
    <w:name w:val="HTML 预设格式 Char"/>
    <w:basedOn w:val="13"/>
    <w:link w:val="10"/>
    <w:uiPriority w:val="0"/>
    <w:rPr>
      <w:rFonts w:ascii="Courier New" w:hAnsi="Courier New" w:eastAsia="宋体" w:cs="Courier New"/>
    </w:rPr>
  </w:style>
  <w:style w:type="paragraph" w:customStyle="1" w:styleId="21">
    <w:name w:val="BodyTextIndent"/>
    <w:basedOn w:val="1"/>
    <w:uiPriority w:val="0"/>
    <w:pPr>
      <w:ind w:firstLine="640" w:firstLineChars="200"/>
      <w:textAlignment w:val="baseline"/>
    </w:pPr>
    <w:rPr>
      <w:sz w:val="32"/>
      <w:szCs w:val="32"/>
    </w:rPr>
  </w:style>
  <w:style w:type="paragraph" w:customStyle="1" w:styleId="22">
    <w:name w:val="BodyText1I2"/>
    <w:basedOn w:val="21"/>
    <w:next w:val="1"/>
    <w:uiPriority w:val="0"/>
    <w:pPr>
      <w:spacing w:before="100" w:beforeAutospacing="1" w:after="120"/>
      <w:ind w:left="420" w:leftChars="200" w:firstLine="420"/>
    </w:pPr>
    <w:rPr>
      <w:rFonts w:ascii="Calibri" w:hAnsi="Calibri"/>
      <w:sz w:val="28"/>
      <w:szCs w:val="28"/>
    </w:rPr>
  </w:style>
  <w:style w:type="character" w:customStyle="1" w:styleId="23">
    <w:name w:val="10"/>
    <w:basedOn w:val="13"/>
    <w:uiPriority w:val="0"/>
    <w:rPr>
      <w:rFonts w:hint="default" w:ascii="Times New Roman" w:hAnsi="Times New Roman" w:cs="Times New Roman"/>
    </w:rPr>
  </w:style>
  <w:style w:type="character" w:customStyle="1" w:styleId="24">
    <w:name w:val="15"/>
    <w:basedOn w:val="13"/>
    <w:uiPriority w:val="0"/>
    <w:rPr>
      <w:rFonts w:hint="default" w:ascii="Times New Roman" w:hAnsi="Times New Roman" w:cs="Times New Roman"/>
      <w:b/>
    </w:rPr>
  </w:style>
  <w:style w:type="character" w:customStyle="1" w:styleId="25">
    <w:name w:val="页眉 Char"/>
    <w:basedOn w:val="13"/>
    <w:link w:val="9"/>
    <w:uiPriority w:val="0"/>
    <w:rPr>
      <w:rFonts w:ascii="宋体" w:hAnsi="宋体" w:eastAsia="宋体" w:cs="宋体"/>
      <w:sz w:val="18"/>
      <w:szCs w:val="18"/>
    </w:rPr>
  </w:style>
  <w:style w:type="character" w:customStyle="1" w:styleId="26">
    <w:name w:val="页脚 Char"/>
    <w:basedOn w:val="13"/>
    <w:link w:val="8"/>
    <w:uiPriority w:val="0"/>
    <w:rPr>
      <w:rFonts w:ascii="宋体" w:hAnsi="宋体" w:eastAsia="宋体" w:cs="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Desktop\&#27743;&#19996;&#26032;&#38498;&#21306;(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江东新院区(1).dotx</Template>
  <Pages>6</Pages>
  <Words>3680</Words>
  <Characters>3946</Characters>
  <Lines>27</Lines>
  <Paragraphs>7</Paragraphs>
  <TotalTime>3</TotalTime>
  <ScaleCrop>false</ScaleCrop>
  <LinksUpToDate>false</LinksUpToDate>
  <CharactersWithSpaces>3974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2023-04-18T08:54:00Z</dcterms:created>
  <dc:creator>啊雅雅</dc:creator>
  <cp:lastModifiedBy>啊雅雅</cp:lastModifiedBy>
  <dcterms:modified xsi:type="dcterms:W3CDTF">2023-04-18T09:22:17Z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83051A6515D64E8A952C15AFF2A2778D_11</vt:lpwstr>
  </property>
</Properties>
</file>