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spacing w:line="420" w:lineRule="atLeast"/>
        <w:ind w:firstLine="180"/>
        <w:jc w:val="center"/>
      </w:pPr>
      <w:bookmarkStart w:id="0" w:name="_GoBack"/>
      <w:bookmarkEnd w:id="0"/>
      <w:r>
        <w:rPr>
          <w:rStyle w:val="27"/>
          <w:rFonts w:hint="eastAsia" w:ascii="宋体" w:hAnsi="宋体"/>
          <w:sz w:val="34"/>
          <w:szCs w:val="34"/>
        </w:rPr>
        <w:t>项目支出绩效自评报告</w:t>
      </w:r>
      <w:r>
        <w:rPr>
          <w:rStyle w:val="27"/>
          <w:rFonts w:hint="eastAsia" w:ascii="宋体" w:hAnsi="宋体"/>
        </w:rPr>
        <w:t xml:space="preserve"> </w:t>
      </w:r>
    </w:p>
    <w:p>
      <w:pPr>
        <w:pStyle w:val="14"/>
        <w:spacing w:line="420" w:lineRule="atLeast"/>
        <w:ind w:firstLine="132"/>
        <w:jc w:val="center"/>
        <w:rPr>
          <w:rFonts w:hint="eastAsia"/>
        </w:rPr>
      </w:pPr>
      <w:r>
        <w:rPr>
          <w:rFonts w:hint="eastAsia"/>
        </w:rPr>
        <w:t xml:space="preserve"> </w:t>
      </w:r>
    </w:p>
    <w:p>
      <w:pPr>
        <w:pStyle w:val="14"/>
        <w:spacing w:line="420" w:lineRule="atLeast"/>
        <w:ind w:firstLine="444"/>
        <w:rPr>
          <w:rFonts w:hint="eastAsia"/>
        </w:rPr>
      </w:pPr>
      <w:r>
        <w:rPr>
          <w:rFonts w:ascii="仿宋_GB2312"/>
          <w:sz w:val="25"/>
          <w:szCs w:val="25"/>
        </w:rPr>
        <w:t xml:space="preserve"> </w:t>
      </w:r>
    </w:p>
    <w:p>
      <w:pPr>
        <w:pStyle w:val="14"/>
        <w:spacing w:line="420" w:lineRule="atLeast"/>
        <w:ind w:firstLine="516"/>
        <w:rPr>
          <w:rFonts w:hint="eastAsia"/>
        </w:rPr>
      </w:pPr>
      <w:r>
        <w:rPr>
          <w:rFonts w:hint="eastAsia" w:ascii="黑体" w:hAnsi="黑体" w:eastAsia="黑体"/>
          <w:sz w:val="25"/>
          <w:szCs w:val="25"/>
        </w:rPr>
        <w:t>一、项目概况</w:t>
      </w:r>
      <w:r>
        <w:rPr>
          <w:rFonts w:hint="eastAsia" w:ascii="黑体" w:eastAsia="黑体"/>
          <w:sz w:val="25"/>
          <w:szCs w:val="25"/>
        </w:rPr>
        <w:t xml:space="preserve">    </w:t>
      </w:r>
    </w:p>
    <w:p>
      <w:pPr>
        <w:pStyle w:val="14"/>
        <w:spacing w:line="420" w:lineRule="atLeast"/>
        <w:ind w:firstLine="516"/>
        <w:rPr>
          <w:rFonts w:hint="eastAsia"/>
        </w:rPr>
      </w:pPr>
      <w:r>
        <w:rPr>
          <w:rFonts w:ascii="仿宋_GB2312" w:hAnsi="仿宋_GB2312"/>
          <w:sz w:val="25"/>
          <w:szCs w:val="25"/>
        </w:rPr>
        <w:t>（一）项目基本情况：立项情况、实施主体项目、资金及主要内容</w:t>
      </w:r>
      <w:r>
        <w:rPr>
          <w:rFonts w:ascii="仿宋_GB2312"/>
          <w:sz w:val="25"/>
          <w:szCs w:val="25"/>
        </w:rPr>
        <w:t xml:space="preserve">  </w:t>
      </w:r>
    </w:p>
    <w:p>
      <w:pPr>
        <w:pStyle w:val="14"/>
        <w:spacing w:line="420" w:lineRule="atLeast"/>
        <w:ind w:firstLine="516"/>
        <w:rPr>
          <w:rFonts w:hint="eastAsia"/>
        </w:rPr>
      </w:pPr>
      <w:r>
        <w:rPr>
          <w:rFonts w:ascii="仿宋_GB2312" w:hAnsi="仿宋_GB2312"/>
          <w:sz w:val="25"/>
          <w:szCs w:val="25"/>
        </w:rPr>
        <w:t>预算单位</w:t>
      </w:r>
      <w:r>
        <w:rPr>
          <w:rFonts w:ascii="仿宋_GB2312"/>
          <w:sz w:val="25"/>
          <w:szCs w:val="25"/>
        </w:rPr>
        <w:t xml:space="preserve"> </w:t>
      </w:r>
      <w:r>
        <w:rPr>
          <w:rFonts w:ascii="仿宋_GB2312" w:hAnsi="仿宋_GB2312"/>
          <w:sz w:val="25"/>
          <w:szCs w:val="25"/>
        </w:rPr>
        <w:t>海医一附院 的项目 海南医学院第一附属医院江东新院区项目属于部门项目</w:t>
      </w:r>
    </w:p>
    <w:p>
      <w:pPr>
        <w:pStyle w:val="14"/>
        <w:spacing w:line="420" w:lineRule="atLeast"/>
        <w:ind w:firstLine="516"/>
        <w:rPr>
          <w:rFonts w:hint="eastAsia"/>
        </w:rPr>
      </w:pPr>
      <w:r>
        <w:rPr>
          <w:rFonts w:ascii="仿宋_GB2312" w:hAnsi="仿宋_GB2312"/>
          <w:sz w:val="25"/>
          <w:szCs w:val="25"/>
        </w:rPr>
        <w:t>主管部门为省卫生健康委员会</w:t>
      </w:r>
    </w:p>
    <w:p>
      <w:pPr>
        <w:pStyle w:val="14"/>
        <w:spacing w:line="420" w:lineRule="atLeast"/>
        <w:ind w:firstLine="516"/>
        <w:rPr>
          <w:rFonts w:hint="eastAsia"/>
        </w:rPr>
      </w:pPr>
      <w:r>
        <w:rPr>
          <w:rFonts w:ascii="仿宋_GB2312" w:hAnsi="仿宋_GB2312"/>
          <w:sz w:val="25"/>
          <w:szCs w:val="25"/>
        </w:rPr>
        <w:t>项目负责人为：韦盛昌</w:t>
      </w:r>
    </w:p>
    <w:p>
      <w:pPr>
        <w:pStyle w:val="14"/>
        <w:spacing w:line="420" w:lineRule="atLeast"/>
        <w:ind w:firstLine="516"/>
        <w:rPr>
          <w:rFonts w:hint="eastAsia" w:eastAsia="仿宋_GB2312"/>
        </w:rPr>
      </w:pPr>
      <w:r>
        <w:rPr>
          <w:rFonts w:ascii="仿宋_GB2312" w:hAnsi="仿宋_GB2312"/>
          <w:sz w:val="25"/>
          <w:szCs w:val="25"/>
        </w:rPr>
        <w:t>联系电话：18078980809</w:t>
      </w:r>
    </w:p>
    <w:p>
      <w:pPr>
        <w:pStyle w:val="14"/>
        <w:spacing w:line="420" w:lineRule="atLeast"/>
        <w:ind w:firstLine="516"/>
        <w:rPr>
          <w:rFonts w:hint="eastAsia"/>
        </w:rPr>
      </w:pPr>
      <w:r>
        <w:rPr>
          <w:rFonts w:ascii="仿宋_GB2312" w:hAnsi="仿宋_GB2312"/>
          <w:sz w:val="25"/>
          <w:szCs w:val="25"/>
        </w:rPr>
        <w:t>项目概述如下：</w:t>
      </w:r>
      <w:r>
        <w:rPr>
          <w:rFonts w:hint="eastAsia" w:ascii="仿宋_GB2312" w:hAnsi="仿宋_GB2312"/>
          <w:sz w:val="25"/>
          <w:szCs w:val="25"/>
        </w:rPr>
        <w:t>海南医学院第一附属医院是一所集医疗、教学、科研、预防、保健、急救于一体的三级甲等综合医院，致力于打造海南省区域性医疗服务中心、人才培养中心和转化医学研究中心。为应对海南省遭遇突发、群体性的严重创伤和重大灾难事故，解决紧急医学救援能力明显不足、救援效果难等难题，满足海南省全域（本岛和所属海域）范围内危急重症、战创伤救治和重特大突发事件应对需求，全面提升海南自由贸易港医疗服务水平，拟建设国家紧急医学救援基地（海南）项目。2021年3月5日，海南省</w:t>
      </w:r>
      <w:r>
        <w:rPr>
          <w:rFonts w:hint="eastAsia" w:ascii="仿宋_GB2312" w:hAnsi="仿宋_GB2312"/>
          <w:sz w:val="25"/>
          <w:szCs w:val="25"/>
          <w:lang w:eastAsia="zh-CN"/>
        </w:rPr>
        <w:t>发展和改革委员会</w:t>
      </w:r>
      <w:r>
        <w:rPr>
          <w:rFonts w:hint="eastAsia" w:ascii="仿宋_GB2312" w:hAnsi="仿宋_GB2312"/>
          <w:sz w:val="25"/>
          <w:szCs w:val="25"/>
        </w:rPr>
        <w:t>以琼发改投资﹝2021﹞139号文印发关于海南省2021年重点（重大）项目投资计划的通知，计划建设国家紧急医学救援基地（海南）项目，主要建设海上紧急医学救援平台、救援基地中心医院、前线医院、救援专用直升机、队伍建设、信息系统、培训演练中心、国家海（水）上紧急医学救援实验室，以及基地办公、训练用房、训练场地、基地移动（野战）医院设备物资仓库、车库、队员集训宿舍等。2021年4月26日，海南省</w:t>
      </w:r>
      <w:r>
        <w:rPr>
          <w:rFonts w:hint="eastAsia" w:ascii="仿宋_GB2312" w:hAnsi="仿宋_GB2312"/>
          <w:sz w:val="25"/>
          <w:szCs w:val="25"/>
          <w:lang w:eastAsia="zh-CN"/>
        </w:rPr>
        <w:t>发展和改革委员会</w:t>
      </w:r>
      <w:r>
        <w:rPr>
          <w:rFonts w:hint="eastAsia" w:ascii="仿宋_GB2312" w:hAnsi="仿宋_GB2312"/>
          <w:sz w:val="25"/>
          <w:szCs w:val="25"/>
        </w:rPr>
        <w:t>会联合海南省卫生健康委员会组织项目遴选工作，建议推荐海南医学院第一附属医院申报国家紧急医学救援基地项目。</w:t>
      </w:r>
      <w:r>
        <w:rPr>
          <w:rFonts w:ascii="仿宋_GB2312"/>
          <w:sz w:val="25"/>
          <w:szCs w:val="25"/>
        </w:rPr>
        <w:t xml:space="preserve">   </w:t>
      </w:r>
    </w:p>
    <w:p>
      <w:pPr>
        <w:pStyle w:val="14"/>
        <w:spacing w:line="420" w:lineRule="atLeast"/>
        <w:ind w:firstLine="516"/>
        <w:rPr>
          <w:rFonts w:hint="eastAsia"/>
        </w:rPr>
      </w:pPr>
      <w:r>
        <w:rPr>
          <w:rFonts w:ascii="仿宋_GB2312" w:hAnsi="仿宋_GB2312"/>
          <w:sz w:val="25"/>
          <w:szCs w:val="25"/>
        </w:rPr>
        <w:t>（二）项目年度预算绩效目标和绩效指标设定情况</w:t>
      </w:r>
      <w:r>
        <w:rPr>
          <w:rFonts w:ascii="仿宋_GB2312"/>
          <w:sz w:val="25"/>
          <w:szCs w:val="25"/>
        </w:rPr>
        <w:t xml:space="preserve">  </w:t>
      </w:r>
    </w:p>
    <w:p>
      <w:pPr>
        <w:pStyle w:val="14"/>
        <w:spacing w:line="420" w:lineRule="atLeast"/>
        <w:ind w:firstLine="516"/>
        <w:rPr>
          <w:rFonts w:hint="eastAsia"/>
        </w:rPr>
      </w:pPr>
      <w:r>
        <w:rPr>
          <w:rFonts w:ascii="仿宋_GB2312" w:hAnsi="仿宋_GB2312"/>
          <w:sz w:val="25"/>
          <w:szCs w:val="25"/>
        </w:rPr>
        <w:t>（包括预期总目标及阶段性目标，衡量绩效目标实现程度的评价指标、标准等）</w:t>
      </w:r>
    </w:p>
    <w:p>
      <w:pPr>
        <w:ind w:firstLine="500" w:firstLineChars="200"/>
        <w:rPr>
          <w:rFonts w:hint="default" w:ascii="仿宋_GB2312" w:hAnsi="仿宋_GB2312" w:eastAsia="宋体" w:cs="宋体"/>
          <w:sz w:val="25"/>
          <w:szCs w:val="25"/>
          <w:lang w:val="en-US" w:eastAsia="zh-CN" w:bidi="ar-SA"/>
        </w:rPr>
      </w:pPr>
      <w:r>
        <w:rPr>
          <w:rFonts w:hint="eastAsia" w:ascii="仿宋_GB2312" w:hAnsi="仿宋_GB2312" w:eastAsia="宋体" w:cs="宋体"/>
          <w:sz w:val="25"/>
          <w:szCs w:val="25"/>
          <w:lang w:val="en-US" w:eastAsia="zh-CN" w:bidi="ar-SA"/>
        </w:rPr>
        <w:t>2022年度总目标：2022年度项目处于谋划阶段，开工时间待定。</w:t>
      </w:r>
    </w:p>
    <w:p>
      <w:pPr>
        <w:pStyle w:val="14"/>
        <w:ind w:firstLine="500" w:firstLineChars="200"/>
        <w:rPr>
          <w:rFonts w:hint="default" w:ascii="仿宋_GB2312" w:hAnsi="仿宋_GB2312" w:eastAsia="宋体" w:cs="宋体"/>
          <w:sz w:val="25"/>
          <w:szCs w:val="25"/>
          <w:lang w:val="en-US" w:eastAsia="zh-CN" w:bidi="ar-SA"/>
        </w:rPr>
      </w:pPr>
      <w:r>
        <w:rPr>
          <w:rFonts w:hint="eastAsia" w:ascii="仿宋_GB2312" w:hAnsi="仿宋_GB2312" w:eastAsia="宋体" w:cs="宋体"/>
          <w:sz w:val="25"/>
          <w:szCs w:val="25"/>
          <w:lang w:val="en-US" w:eastAsia="zh-CN" w:bidi="ar-SA"/>
        </w:rPr>
        <w:t>当年年度目标完成情况：2021年12月省发改委批复了项目的可研报告，2022年2月完成项目概念性方案评审，3月进行项目初步设计，但是因为救援基地项目与海南医学院第一附属医院江东新院区项目叠加后地块的建筑指标超出国家限制，该项目从2022年4月起进行控规调整，希望提高地块容积率，增加建筑面积约1.17万㎡，以确保地块的建筑容量满足救援功能建设需求；2022年7月项目控规调整方案通过陈景进副市长专题会审议；8月报市规委会审议，调规申请未通过规委会。因为调规问题迟迟无法解决，导致项目初步设计和概算批复等程序无法进行，影响相关报批报建等流程办理。项目设计的经济指标无法确定，项目无法开工。</w:t>
      </w:r>
    </w:p>
    <w:p>
      <w:pPr>
        <w:pStyle w:val="14"/>
        <w:spacing w:line="420" w:lineRule="atLeast"/>
        <w:ind w:firstLine="516"/>
      </w:pPr>
      <w:r>
        <w:rPr>
          <w:rFonts w:hint="eastAsia" w:ascii="黑体" w:hAnsi="黑体" w:eastAsia="黑体"/>
          <w:sz w:val="25"/>
          <w:szCs w:val="25"/>
        </w:rPr>
        <w:t>二、项目决策及资金使用管理情况</w:t>
      </w:r>
    </w:p>
    <w:p>
      <w:pPr>
        <w:pStyle w:val="14"/>
        <w:spacing w:line="420" w:lineRule="atLeast"/>
        <w:ind w:firstLine="516"/>
        <w:rPr>
          <w:rFonts w:hint="eastAsia" w:ascii="仿宋_GB2312"/>
          <w:sz w:val="25"/>
          <w:szCs w:val="25"/>
        </w:rPr>
      </w:pPr>
      <w:r>
        <w:rPr>
          <w:rFonts w:ascii="仿宋_GB2312" w:hAnsi="仿宋_GB2312"/>
          <w:sz w:val="25"/>
          <w:szCs w:val="25"/>
        </w:rPr>
        <w:t>（一）项目决策情况（包括决策过程和结果）</w:t>
      </w:r>
    </w:p>
    <w:p>
      <w:pPr>
        <w:ind w:firstLine="500" w:firstLineChars="200"/>
        <w:rPr>
          <w:rFonts w:hint="default" w:ascii="仿宋_GB2312" w:hAnsi="仿宋_GB2312" w:eastAsia="宋体" w:cs="宋体"/>
          <w:sz w:val="25"/>
          <w:szCs w:val="25"/>
          <w:lang w:val="en-US" w:eastAsia="zh-CN" w:bidi="ar-SA"/>
        </w:rPr>
      </w:pPr>
      <w:r>
        <w:rPr>
          <w:rFonts w:hint="eastAsia" w:ascii="仿宋_GB2312" w:hAnsi="仿宋_GB2312" w:eastAsia="宋体" w:cs="宋体"/>
          <w:sz w:val="25"/>
          <w:szCs w:val="25"/>
          <w:lang w:val="en-US" w:eastAsia="zh-CN" w:bidi="ar-SA"/>
        </w:rPr>
        <w:t>2022全年项目未完成调规，未开工。</w:t>
      </w:r>
    </w:p>
    <w:p>
      <w:pPr>
        <w:pStyle w:val="14"/>
        <w:spacing w:line="420" w:lineRule="atLeast"/>
        <w:ind w:firstLine="516"/>
      </w:pPr>
      <w:r>
        <w:rPr>
          <w:rFonts w:ascii="仿宋_GB2312" w:hAnsi="仿宋_GB2312"/>
          <w:sz w:val="25"/>
          <w:szCs w:val="25"/>
        </w:rPr>
        <w:t>（二）项目资金（包括财政资金、自筹资金等）安排落实、总投入等情况</w:t>
      </w:r>
    </w:p>
    <w:p>
      <w:pPr>
        <w:pStyle w:val="14"/>
        <w:widowControl/>
        <w:spacing w:line="420" w:lineRule="atLeast"/>
        <w:ind w:left="0" w:firstLine="516"/>
      </w:pPr>
      <w:r>
        <w:rPr>
          <w:lang w:eastAsia="zh-CN"/>
        </w:rPr>
        <w:t>预算情况如下：</w:t>
      </w:r>
    </w:p>
    <w:p>
      <w:pPr>
        <w:ind w:firstLine="500" w:firstLineChars="200"/>
        <w:rPr>
          <w:rFonts w:hint="eastAsia" w:ascii="仿宋_GB2312" w:hAnsi="仿宋_GB2312" w:eastAsia="宋体" w:cs="宋体"/>
          <w:sz w:val="25"/>
          <w:szCs w:val="25"/>
          <w:lang w:val="en-US" w:eastAsia="zh-CN" w:bidi="ar-SA"/>
        </w:rPr>
      </w:pPr>
      <w:r>
        <w:rPr>
          <w:rFonts w:hint="eastAsia" w:ascii="仿宋_GB2312" w:hAnsi="仿宋_GB2312" w:eastAsia="宋体" w:cs="宋体"/>
          <w:sz w:val="25"/>
          <w:szCs w:val="25"/>
          <w:lang w:val="en-US" w:eastAsia="zh-CN" w:bidi="ar-SA"/>
        </w:rPr>
        <w:t>资金总额-年初预算数0元，资金总额-全年预算数150000000元，</w:t>
      </w:r>
    </w:p>
    <w:p>
      <w:pPr>
        <w:ind w:firstLine="500" w:firstLineChars="200"/>
        <w:rPr>
          <w:rFonts w:hint="eastAsia" w:ascii="仿宋_GB2312" w:hAnsi="仿宋_GB2312" w:eastAsia="宋体" w:cs="宋体"/>
          <w:sz w:val="25"/>
          <w:szCs w:val="25"/>
          <w:lang w:val="en-US" w:eastAsia="zh-CN" w:bidi="ar-SA"/>
        </w:rPr>
      </w:pPr>
      <w:r>
        <w:rPr>
          <w:rFonts w:hint="eastAsia" w:ascii="仿宋_GB2312" w:hAnsi="仿宋_GB2312" w:eastAsia="宋体" w:cs="宋体"/>
          <w:sz w:val="25"/>
          <w:szCs w:val="25"/>
          <w:lang w:val="en-US" w:eastAsia="zh-CN" w:bidi="ar-SA"/>
        </w:rPr>
        <w:t>财政资金-年初预算数0元财政资金-全年预算数150000000元，</w:t>
      </w:r>
    </w:p>
    <w:p>
      <w:pPr>
        <w:ind w:firstLine="500" w:firstLineChars="200"/>
        <w:rPr>
          <w:rFonts w:hint="eastAsia" w:ascii="仿宋_GB2312" w:hAnsi="仿宋_GB2312" w:eastAsia="宋体" w:cs="宋体"/>
          <w:sz w:val="25"/>
          <w:szCs w:val="25"/>
          <w:lang w:val="en-US" w:eastAsia="zh-CN" w:bidi="ar-SA"/>
        </w:rPr>
      </w:pPr>
      <w:r>
        <w:rPr>
          <w:rFonts w:hint="eastAsia" w:ascii="仿宋_GB2312" w:hAnsi="仿宋_GB2312" w:eastAsia="宋体" w:cs="宋体"/>
          <w:sz w:val="25"/>
          <w:szCs w:val="25"/>
          <w:lang w:val="en-US" w:eastAsia="zh-CN" w:bidi="ar-SA"/>
        </w:rPr>
        <w:t>专户-年初预算数0元，专户全年预算数0元，</w:t>
      </w:r>
    </w:p>
    <w:p>
      <w:pPr>
        <w:ind w:firstLine="500" w:firstLineChars="200"/>
        <w:rPr>
          <w:rFonts w:hint="eastAsia" w:ascii="仿宋_GB2312" w:hAnsi="仿宋_GB2312" w:eastAsia="宋体" w:cs="宋体"/>
          <w:sz w:val="25"/>
          <w:szCs w:val="25"/>
          <w:lang w:val="en-US" w:eastAsia="zh-CN" w:bidi="ar-SA"/>
        </w:rPr>
      </w:pPr>
      <w:r>
        <w:rPr>
          <w:rFonts w:hint="eastAsia" w:ascii="仿宋_GB2312" w:hAnsi="仿宋_GB2312" w:eastAsia="宋体" w:cs="宋体"/>
          <w:sz w:val="25"/>
          <w:szCs w:val="25"/>
          <w:lang w:val="en-US" w:eastAsia="zh-CN" w:bidi="ar-SA"/>
        </w:rPr>
        <w:t>单位年初预算数0元，单位全年预算数0元。</w:t>
      </w:r>
    </w:p>
    <w:p>
      <w:pPr>
        <w:pStyle w:val="14"/>
        <w:spacing w:line="420" w:lineRule="atLeast"/>
        <w:ind w:firstLine="516"/>
        <w:rPr>
          <w:rFonts w:hint="eastAsia"/>
        </w:rPr>
      </w:pPr>
      <w:r>
        <w:rPr>
          <w:rFonts w:ascii="仿宋_GB2312" w:hAnsi="仿宋_GB2312"/>
          <w:sz w:val="25"/>
          <w:szCs w:val="25"/>
        </w:rPr>
        <w:t>（三）项目资金（主要是指财政资金）实际使用情况</w:t>
      </w:r>
    </w:p>
    <w:p>
      <w:pPr>
        <w:pStyle w:val="14"/>
        <w:spacing w:line="420" w:lineRule="atLeast"/>
        <w:ind w:firstLine="516"/>
        <w:rPr>
          <w:rFonts w:hint="eastAsia"/>
        </w:rPr>
      </w:pPr>
      <w:r>
        <w:rPr>
          <w:rFonts w:ascii="仿宋_GB2312" w:hAnsi="仿宋_GB2312"/>
          <w:sz w:val="25"/>
          <w:szCs w:val="25"/>
        </w:rPr>
        <w:t>资金执行情况如下：</w:t>
      </w:r>
    </w:p>
    <w:p>
      <w:pPr>
        <w:pStyle w:val="14"/>
        <w:widowControl/>
        <w:spacing w:line="420" w:lineRule="atLeast"/>
        <w:ind w:left="0" w:firstLine="516"/>
      </w:pPr>
      <w:r>
        <w:rPr>
          <w:rFonts w:hint="eastAsia" w:ascii="仿宋_GB2312" w:eastAsia="仿宋_GB2312" w:cs="仿宋_GB2312"/>
          <w:sz w:val="25"/>
          <w:szCs w:val="25"/>
          <w:lang w:eastAsia="zh-CN"/>
        </w:rPr>
        <w:t>资金执行情况如下：</w:t>
      </w:r>
    </w:p>
    <w:p>
      <w:pPr>
        <w:ind w:firstLine="500" w:firstLineChars="200"/>
        <w:rPr>
          <w:rFonts w:hint="eastAsia" w:ascii="仿宋_GB2312" w:hAnsi="仿宋_GB2312" w:eastAsia="宋体" w:cs="宋体"/>
          <w:sz w:val="25"/>
          <w:szCs w:val="25"/>
          <w:lang w:val="en-US" w:eastAsia="zh-CN" w:bidi="ar-SA"/>
        </w:rPr>
      </w:pPr>
      <w:r>
        <w:rPr>
          <w:rFonts w:hint="eastAsia" w:ascii="仿宋_GB2312" w:hAnsi="仿宋_GB2312" w:eastAsia="宋体" w:cs="宋体"/>
          <w:sz w:val="25"/>
          <w:szCs w:val="25"/>
          <w:lang w:val="en-US" w:eastAsia="zh-CN" w:bidi="ar-SA"/>
        </w:rPr>
        <w:t>资金总额-全年执行数2322000元，资金总额-执行率0元</w:t>
      </w:r>
    </w:p>
    <w:p>
      <w:pPr>
        <w:ind w:firstLine="500" w:firstLineChars="200"/>
        <w:rPr>
          <w:rFonts w:hint="eastAsia" w:ascii="仿宋_GB2312" w:hAnsi="仿宋_GB2312" w:eastAsia="宋体" w:cs="宋体"/>
          <w:sz w:val="25"/>
          <w:szCs w:val="25"/>
          <w:lang w:val="en-US" w:eastAsia="zh-CN" w:bidi="ar-SA"/>
        </w:rPr>
      </w:pPr>
      <w:r>
        <w:rPr>
          <w:rFonts w:hint="eastAsia" w:ascii="仿宋_GB2312" w:hAnsi="仿宋_GB2312" w:eastAsia="宋体" w:cs="宋体"/>
          <w:sz w:val="25"/>
          <w:szCs w:val="25"/>
          <w:lang w:val="en-US" w:eastAsia="zh-CN" w:bidi="ar-SA"/>
        </w:rPr>
        <w:t>其中：</w:t>
      </w:r>
    </w:p>
    <w:p>
      <w:pPr>
        <w:ind w:firstLine="500" w:firstLineChars="200"/>
        <w:rPr>
          <w:rFonts w:hint="eastAsia" w:ascii="仿宋_GB2312" w:hAnsi="仿宋_GB2312" w:eastAsia="宋体" w:cs="宋体"/>
          <w:sz w:val="25"/>
          <w:szCs w:val="25"/>
          <w:lang w:val="en-US" w:eastAsia="zh-CN" w:bidi="ar-SA"/>
        </w:rPr>
      </w:pPr>
      <w:r>
        <w:rPr>
          <w:rFonts w:hint="eastAsia" w:ascii="仿宋_GB2312" w:hAnsi="仿宋_GB2312" w:eastAsia="宋体" w:cs="宋体"/>
          <w:sz w:val="25"/>
          <w:szCs w:val="25"/>
          <w:lang w:val="en-US" w:eastAsia="zh-CN" w:bidi="ar-SA"/>
        </w:rPr>
        <w:t>财政资金-全年执行数2322000元，财政资金-执行率1.55%</w:t>
      </w:r>
    </w:p>
    <w:p>
      <w:pPr>
        <w:ind w:firstLine="500" w:firstLineChars="200"/>
        <w:rPr>
          <w:rFonts w:hint="eastAsia" w:ascii="仿宋_GB2312" w:hAnsi="仿宋_GB2312" w:eastAsia="宋体" w:cs="宋体"/>
          <w:sz w:val="25"/>
          <w:szCs w:val="25"/>
          <w:lang w:val="en-US" w:eastAsia="zh-CN" w:bidi="ar-SA"/>
        </w:rPr>
      </w:pPr>
      <w:r>
        <w:rPr>
          <w:rFonts w:hint="eastAsia" w:ascii="仿宋_GB2312" w:hAnsi="仿宋_GB2312" w:eastAsia="宋体" w:cs="宋体"/>
          <w:sz w:val="25"/>
          <w:szCs w:val="25"/>
          <w:lang w:val="en-US" w:eastAsia="zh-CN" w:bidi="ar-SA"/>
        </w:rPr>
        <w:t>专户全年执行数0元，专户-执行率0</w:t>
      </w:r>
    </w:p>
    <w:p>
      <w:pPr>
        <w:ind w:firstLine="500" w:firstLineChars="200"/>
        <w:rPr>
          <w:rFonts w:hint="eastAsia" w:ascii="仿宋_GB2312" w:hAnsi="仿宋_GB2312" w:eastAsia="宋体" w:cs="宋体"/>
          <w:sz w:val="25"/>
          <w:szCs w:val="25"/>
          <w:lang w:val="en-US" w:eastAsia="zh-CN" w:bidi="ar-SA"/>
        </w:rPr>
      </w:pPr>
      <w:r>
        <w:rPr>
          <w:rFonts w:hint="eastAsia" w:ascii="仿宋_GB2312" w:hAnsi="仿宋_GB2312" w:eastAsia="宋体" w:cs="宋体"/>
          <w:sz w:val="25"/>
          <w:szCs w:val="25"/>
          <w:lang w:val="en-US" w:eastAsia="zh-CN" w:bidi="ar-SA"/>
        </w:rPr>
        <w:t>单位全年执行数0元，单位全年执行率0.00%</w:t>
      </w:r>
    </w:p>
    <w:p>
      <w:pPr>
        <w:pStyle w:val="14"/>
        <w:numPr>
          <w:ilvl w:val="0"/>
          <w:numId w:val="1"/>
        </w:numPr>
        <w:spacing w:line="420" w:lineRule="atLeast"/>
        <w:ind w:firstLine="516"/>
        <w:rPr>
          <w:rFonts w:ascii="仿宋_GB2312" w:hAnsi="仿宋_GB2312"/>
          <w:sz w:val="25"/>
          <w:szCs w:val="25"/>
        </w:rPr>
      </w:pPr>
      <w:r>
        <w:rPr>
          <w:rFonts w:ascii="仿宋_GB2312" w:hAnsi="仿宋_GB2312"/>
          <w:sz w:val="25"/>
          <w:szCs w:val="25"/>
        </w:rPr>
        <w:t>项目资金管理情况（包括管理制度、办法的制订及执行情况）</w:t>
      </w:r>
    </w:p>
    <w:p>
      <w:pPr>
        <w:ind w:firstLine="500" w:firstLineChars="200"/>
        <w:rPr>
          <w:rFonts w:hint="eastAsia" w:ascii="仿宋_GB2312" w:hAnsi="仿宋_GB2312" w:eastAsia="宋体" w:cs="宋体"/>
          <w:sz w:val="25"/>
          <w:szCs w:val="25"/>
          <w:lang w:val="en-US" w:eastAsia="zh-CN" w:bidi="ar-SA"/>
        </w:rPr>
      </w:pPr>
      <w:r>
        <w:rPr>
          <w:rFonts w:hint="eastAsia" w:ascii="仿宋_GB2312" w:hAnsi="仿宋_GB2312" w:eastAsia="宋体" w:cs="宋体"/>
          <w:sz w:val="25"/>
          <w:szCs w:val="25"/>
          <w:lang w:val="en-US" w:eastAsia="zh-CN" w:bidi="ar-SA"/>
        </w:rPr>
        <w:t>医院有健全的项目资金管理办法，能够按照上级要求，强化项目管理。根据《政府会计制度》、《政府采购法》、《合同法》等法律、法规，结合医院实际，制定了《重大经济事项决策制度》、《项目资金使用管理暂行规定》、《大额资金支付制度》。财政拨款做到专款专用，并在实施过程中能够得到认真执行。项目经费使用由医院计划财务部统一管理，项目支出严格按照合同进行支付。</w:t>
      </w:r>
    </w:p>
    <w:p>
      <w:pPr>
        <w:pStyle w:val="14"/>
        <w:numPr>
          <w:ilvl w:val="0"/>
          <w:numId w:val="1"/>
        </w:numPr>
        <w:spacing w:line="420" w:lineRule="atLeast"/>
        <w:ind w:firstLine="516"/>
        <w:rPr>
          <w:rFonts w:hint="eastAsia" w:ascii="仿宋_GB2312" w:hAnsi="仿宋_GB2312"/>
          <w:sz w:val="25"/>
          <w:szCs w:val="25"/>
        </w:rPr>
      </w:pPr>
    </w:p>
    <w:p>
      <w:pPr>
        <w:pStyle w:val="14"/>
        <w:spacing w:line="420" w:lineRule="atLeast"/>
        <w:ind w:firstLine="516"/>
        <w:rPr>
          <w:rFonts w:hint="eastAsia"/>
        </w:rPr>
      </w:pPr>
      <w:r>
        <w:rPr>
          <w:rFonts w:hint="eastAsia" w:ascii="黑体" w:hAnsi="黑体" w:eastAsia="黑体"/>
          <w:sz w:val="25"/>
          <w:szCs w:val="25"/>
        </w:rPr>
        <w:t>三、项目组织实施情况</w:t>
      </w:r>
    </w:p>
    <w:p>
      <w:pPr>
        <w:pStyle w:val="14"/>
        <w:spacing w:line="420" w:lineRule="atLeast"/>
        <w:ind w:firstLine="516"/>
        <w:rPr>
          <w:rFonts w:hint="eastAsia" w:ascii="仿宋_GB2312"/>
          <w:sz w:val="25"/>
          <w:szCs w:val="25"/>
        </w:rPr>
      </w:pPr>
      <w:r>
        <w:rPr>
          <w:rFonts w:ascii="仿宋_GB2312" w:hAnsi="仿宋_GB2312"/>
          <w:sz w:val="25"/>
          <w:szCs w:val="25"/>
        </w:rPr>
        <w:t>（一）项目组织情况（包括项目招投标情况、调整情况、完成验收等）</w:t>
      </w:r>
    </w:p>
    <w:p>
      <w:pPr>
        <w:ind w:firstLine="500" w:firstLineChars="200"/>
        <w:rPr>
          <w:rFonts w:hint="default" w:ascii="仿宋_GB2312" w:hAnsi="仿宋_GB2312" w:eastAsia="宋体" w:cs="宋体"/>
          <w:sz w:val="25"/>
          <w:szCs w:val="25"/>
          <w:lang w:val="en-US" w:eastAsia="zh-CN" w:bidi="ar-SA"/>
        </w:rPr>
      </w:pPr>
      <w:r>
        <w:rPr>
          <w:rFonts w:hint="eastAsia" w:ascii="仿宋_GB2312" w:hAnsi="仿宋_GB2312" w:eastAsia="宋体" w:cs="宋体"/>
          <w:sz w:val="25"/>
          <w:szCs w:val="25"/>
          <w:lang w:val="en-US" w:eastAsia="zh-CN" w:bidi="ar-SA"/>
        </w:rPr>
        <w:t>2022全年项目未完成调规，未开工。</w:t>
      </w:r>
    </w:p>
    <w:p>
      <w:pPr>
        <w:pStyle w:val="14"/>
        <w:numPr>
          <w:ilvl w:val="0"/>
          <w:numId w:val="2"/>
        </w:numPr>
        <w:spacing w:line="420" w:lineRule="atLeast"/>
        <w:ind w:firstLine="516"/>
        <w:rPr>
          <w:rFonts w:ascii="仿宋_GB2312"/>
          <w:sz w:val="25"/>
          <w:szCs w:val="25"/>
        </w:rPr>
      </w:pPr>
      <w:r>
        <w:rPr>
          <w:rFonts w:ascii="仿宋_GB2312" w:hAnsi="仿宋_GB2312"/>
          <w:sz w:val="25"/>
          <w:szCs w:val="25"/>
        </w:rPr>
        <w:t>项目管理情况（包括项目管理制度建设、日常检查监督等情况）</w:t>
      </w:r>
    </w:p>
    <w:p>
      <w:pPr>
        <w:ind w:firstLine="500" w:firstLineChars="200"/>
        <w:rPr>
          <w:rFonts w:hint="default" w:ascii="仿宋_GB2312" w:hAnsi="仿宋_GB2312" w:eastAsia="宋体" w:cs="宋体"/>
          <w:sz w:val="25"/>
          <w:szCs w:val="25"/>
          <w:lang w:val="en-US" w:eastAsia="zh-CN" w:bidi="ar-SA"/>
        </w:rPr>
      </w:pPr>
      <w:r>
        <w:rPr>
          <w:rFonts w:hint="eastAsia" w:ascii="仿宋_GB2312" w:hAnsi="仿宋_GB2312" w:eastAsia="宋体" w:cs="宋体"/>
          <w:sz w:val="25"/>
          <w:szCs w:val="25"/>
          <w:lang w:val="en-US" w:eastAsia="zh-CN" w:bidi="ar-SA"/>
        </w:rPr>
        <w:t>2022全年项目未完成调规，未开工。</w:t>
      </w:r>
    </w:p>
    <w:p>
      <w:pPr>
        <w:pStyle w:val="14"/>
        <w:spacing w:line="420" w:lineRule="atLeast"/>
        <w:ind w:firstLine="516"/>
      </w:pPr>
      <w:r>
        <w:rPr>
          <w:rFonts w:hint="eastAsia" w:ascii="黑体" w:hAnsi="黑体" w:eastAsia="黑体"/>
          <w:sz w:val="25"/>
          <w:szCs w:val="25"/>
        </w:rPr>
        <w:t>四、项目绩效情况</w:t>
      </w:r>
    </w:p>
    <w:p>
      <w:pPr>
        <w:ind w:firstLine="500" w:firstLineChars="200"/>
        <w:rPr>
          <w:rFonts w:hint="eastAsia" w:ascii="仿宋_GB2312" w:hAnsi="仿宋_GB2312" w:eastAsia="宋体" w:cs="宋体"/>
          <w:sz w:val="25"/>
          <w:szCs w:val="25"/>
          <w:lang w:val="en-US" w:eastAsia="zh-CN" w:bidi="ar-SA"/>
        </w:rPr>
      </w:pPr>
      <w:r>
        <w:rPr>
          <w:rFonts w:hint="eastAsia" w:ascii="仿宋_GB2312" w:hAnsi="仿宋_GB2312" w:eastAsia="宋体" w:cs="宋体"/>
          <w:sz w:val="25"/>
          <w:szCs w:val="25"/>
          <w:lang w:val="en-US" w:eastAsia="zh-CN" w:bidi="ar-SA"/>
        </w:rPr>
        <w:t>（一）项目绩效目标完成情况。将项目实际完成情况与申报的绩效目标对比，从项目的经济性、效率性、有效性和可持续性等方面对项目绩效进行量化、具体分析。</w:t>
      </w:r>
    </w:p>
    <w:p>
      <w:pPr>
        <w:ind w:firstLine="500" w:firstLineChars="200"/>
        <w:rPr>
          <w:rFonts w:hint="eastAsia" w:ascii="仿宋_GB2312" w:hAnsi="仿宋_GB2312" w:eastAsia="宋体" w:cs="宋体"/>
          <w:sz w:val="25"/>
          <w:szCs w:val="25"/>
          <w:lang w:val="en-US" w:eastAsia="zh-CN" w:bidi="ar-SA"/>
        </w:rPr>
      </w:pPr>
      <w:r>
        <w:rPr>
          <w:rFonts w:hint="eastAsia" w:ascii="仿宋_GB2312" w:hAnsi="仿宋_GB2312" w:eastAsia="宋体" w:cs="宋体"/>
          <w:sz w:val="25"/>
          <w:szCs w:val="25"/>
          <w:lang w:val="en-US" w:eastAsia="zh-CN" w:bidi="ar-SA"/>
        </w:rPr>
        <w:t>1.项目经济性分析：当年年度目标完成情况：2022年实际完成年度投资321.34万元，完成率为2.14%。</w:t>
      </w:r>
    </w:p>
    <w:p>
      <w:pPr>
        <w:ind w:firstLine="500" w:firstLineChars="200"/>
        <w:rPr>
          <w:rFonts w:hint="default" w:ascii="仿宋_GB2312" w:hAnsi="仿宋_GB2312" w:eastAsia="宋体" w:cs="宋体"/>
          <w:sz w:val="25"/>
          <w:szCs w:val="25"/>
          <w:lang w:val="en-US" w:eastAsia="zh-CN" w:bidi="ar-SA"/>
        </w:rPr>
      </w:pPr>
      <w:r>
        <w:rPr>
          <w:rFonts w:hint="eastAsia" w:ascii="仿宋_GB2312" w:hAnsi="仿宋_GB2312" w:eastAsia="宋体" w:cs="宋体"/>
          <w:sz w:val="25"/>
          <w:szCs w:val="25"/>
          <w:lang w:val="en-US" w:eastAsia="zh-CN" w:bidi="ar-SA"/>
        </w:rPr>
        <w:t>2.项目效率性分析：项目调规未完成导致无法开工，绩效目标未完成。</w:t>
      </w:r>
    </w:p>
    <w:p>
      <w:pPr>
        <w:ind w:firstLine="500" w:firstLineChars="200"/>
        <w:rPr>
          <w:rFonts w:hint="eastAsia" w:ascii="仿宋_GB2312" w:hAnsi="仿宋_GB2312" w:eastAsia="宋体" w:cs="宋体"/>
          <w:sz w:val="25"/>
          <w:szCs w:val="25"/>
          <w:lang w:val="en-US" w:eastAsia="zh-CN" w:bidi="ar-SA"/>
        </w:rPr>
      </w:pPr>
      <w:r>
        <w:rPr>
          <w:rFonts w:hint="eastAsia" w:ascii="仿宋_GB2312" w:hAnsi="仿宋_GB2312" w:eastAsia="宋体" w:cs="宋体"/>
          <w:sz w:val="25"/>
          <w:szCs w:val="25"/>
          <w:lang w:val="en-US" w:eastAsia="zh-CN" w:bidi="ar-SA"/>
        </w:rPr>
        <w:t>3.项目有效性分析：项目调规未完成导致无法开工，绩效目标未完成。</w:t>
      </w:r>
    </w:p>
    <w:p>
      <w:pPr>
        <w:ind w:firstLine="500" w:firstLineChars="200"/>
        <w:rPr>
          <w:rFonts w:hint="eastAsia" w:ascii="仿宋_GB2312" w:hAnsi="仿宋_GB2312" w:eastAsia="宋体" w:cs="宋体"/>
          <w:sz w:val="25"/>
          <w:szCs w:val="25"/>
          <w:lang w:val="en-US" w:eastAsia="zh-CN" w:bidi="ar-SA"/>
        </w:rPr>
      </w:pPr>
      <w:r>
        <w:rPr>
          <w:rFonts w:hint="eastAsia" w:ascii="仿宋_GB2312" w:hAnsi="仿宋_GB2312" w:eastAsia="宋体" w:cs="宋体"/>
          <w:sz w:val="25"/>
          <w:szCs w:val="25"/>
          <w:lang w:val="en-US" w:eastAsia="zh-CN" w:bidi="ar-SA"/>
        </w:rPr>
        <w:t>4.项目可持续性分析：项目计划于2023年5月开工，项目开工后，将安排好建设前期所需人员、资金，确保项目持续发展。</w:t>
      </w:r>
    </w:p>
    <w:p>
      <w:pPr>
        <w:pStyle w:val="14"/>
        <w:spacing w:line="420" w:lineRule="atLeast"/>
        <w:ind w:firstLine="516"/>
        <w:rPr>
          <w:rFonts w:hint="eastAsia" w:ascii="仿宋_GB2312"/>
          <w:sz w:val="25"/>
          <w:szCs w:val="25"/>
        </w:rPr>
      </w:pPr>
      <w:r>
        <w:rPr>
          <w:rFonts w:ascii="仿宋_GB2312" w:hAnsi="仿宋_GB2312"/>
          <w:sz w:val="25"/>
          <w:szCs w:val="25"/>
        </w:rPr>
        <w:t>（二）项目绩效目标未完成情况及原因分析</w:t>
      </w:r>
    </w:p>
    <w:p>
      <w:pPr>
        <w:ind w:firstLine="500" w:firstLineChars="200"/>
        <w:rPr>
          <w:rFonts w:hint="eastAsia" w:ascii="仿宋_GB2312" w:hAnsi="仿宋_GB2312" w:eastAsia="宋体" w:cs="宋体"/>
          <w:sz w:val="25"/>
          <w:szCs w:val="25"/>
          <w:lang w:val="en-US" w:eastAsia="zh-CN" w:bidi="ar-SA"/>
        </w:rPr>
      </w:pPr>
      <w:r>
        <w:rPr>
          <w:rFonts w:hint="eastAsia" w:ascii="仿宋_GB2312" w:hAnsi="仿宋_GB2312" w:eastAsia="宋体" w:cs="宋体"/>
          <w:sz w:val="25"/>
          <w:szCs w:val="25"/>
          <w:lang w:val="en-US" w:eastAsia="zh-CN" w:bidi="ar-SA"/>
        </w:rPr>
        <w:t>2022年根据海南省发展改革委中央预算内投资项目调度详情表，项目预计开工时间为2022年7月，预计完工时间为2026年12月。截至2022年底，救援基地项目初步概算仍未批复，主体工程尚未开工；项目共支付代管费等前期费用321.34万元。</w:t>
      </w:r>
    </w:p>
    <w:p>
      <w:pPr>
        <w:ind w:firstLine="500" w:firstLineChars="200"/>
        <w:rPr>
          <w:rFonts w:hint="eastAsia" w:ascii="仿宋_GB2312" w:hAnsi="仿宋_GB2312" w:eastAsia="宋体" w:cs="宋体"/>
          <w:sz w:val="25"/>
          <w:szCs w:val="25"/>
          <w:lang w:val="en-US" w:eastAsia="zh-CN" w:bidi="ar-SA"/>
        </w:rPr>
      </w:pPr>
      <w:r>
        <w:rPr>
          <w:rFonts w:hint="eastAsia" w:ascii="仿宋_GB2312" w:hAnsi="仿宋_GB2312" w:eastAsia="宋体" w:cs="宋体"/>
          <w:sz w:val="25"/>
          <w:szCs w:val="25"/>
          <w:lang w:val="en-US" w:eastAsia="zh-CN" w:bidi="ar-SA"/>
        </w:rPr>
        <w:t>救援基地项目未按期开工、年度绩效目标未完成的原因为：项目建设选址位于海口市江东新区海南医学院第一附属医院江东新院区项目地块二、地块三范围内，根据江东管理局《关于海南医学院第一附属医院江东新院区项目地块相关地块规划图及指标的复函》，JDGJ-11-F01地块、JDGJ-11-F02地块、JDGJ-12-B01地块规划指标为：容积率≤1.5，建筑密度≤30%、建筑限高≤36米、绿地率≥35%，海南医学院第一附属医院江东新院区项目已于2021年3月开工建设，若救援基地项目按照可研方案进行建设，与江东新院区项目合并计算后建筑密度、容积率将超过原本江东新院区项目获批的总体地块的规划指标。2021年12月，救援基地项目取得海南省发展改革委可研批复；2022年2月，海口市江东新区管理局组织专家对规划指标调整方案进行评审；2022年6月至7月，海口市江东新区管理局对规划指标调整方案进行社会公示；2022年8月海口市规划委员会审议未通过项目地块规划调整方案。截至审计时，海南省卫健委、海南医学院第一附属医院正与海口市沟通协调规划指标调整事宜，相关地块控规调整尚未批复。</w:t>
      </w:r>
    </w:p>
    <w:p>
      <w:pPr>
        <w:pStyle w:val="14"/>
        <w:spacing w:line="420" w:lineRule="atLeast"/>
        <w:ind w:firstLine="516"/>
      </w:pPr>
      <w:r>
        <w:rPr>
          <w:rFonts w:hint="eastAsia" w:ascii="黑体" w:hAnsi="黑体" w:eastAsia="黑体"/>
          <w:sz w:val="25"/>
          <w:szCs w:val="25"/>
        </w:rPr>
        <w:t>五、其他需要说明的问题</w:t>
      </w:r>
    </w:p>
    <w:p>
      <w:pPr>
        <w:ind w:firstLine="500" w:firstLineChars="200"/>
        <w:rPr>
          <w:rFonts w:hint="eastAsia" w:ascii="仿宋_GB2312" w:hAnsi="仿宋_GB2312" w:eastAsia="宋体" w:cs="宋体"/>
          <w:sz w:val="25"/>
          <w:szCs w:val="25"/>
          <w:lang w:val="en-US" w:eastAsia="zh-CN" w:bidi="ar-SA"/>
        </w:rPr>
      </w:pPr>
      <w:r>
        <w:rPr>
          <w:rFonts w:hint="eastAsia" w:ascii="仿宋_GB2312" w:hAnsi="仿宋_GB2312" w:eastAsia="宋体" w:cs="宋体"/>
          <w:sz w:val="25"/>
          <w:szCs w:val="25"/>
          <w:lang w:val="en-US" w:eastAsia="zh-CN" w:bidi="ar-SA"/>
        </w:rPr>
        <w:t>（一）后续工作计划</w:t>
      </w:r>
    </w:p>
    <w:p>
      <w:pPr>
        <w:ind w:firstLine="500" w:firstLineChars="200"/>
        <w:rPr>
          <w:rFonts w:hint="default" w:ascii="仿宋_GB2312" w:hAnsi="仿宋_GB2312" w:eastAsia="宋体" w:cs="宋体"/>
          <w:sz w:val="25"/>
          <w:szCs w:val="25"/>
          <w:lang w:val="en-US" w:eastAsia="zh-CN" w:bidi="ar-SA"/>
        </w:rPr>
      </w:pPr>
      <w:r>
        <w:rPr>
          <w:rFonts w:hint="eastAsia" w:ascii="仿宋_GB2312" w:hAnsi="仿宋_GB2312" w:eastAsia="宋体" w:cs="宋体"/>
          <w:sz w:val="25"/>
          <w:szCs w:val="25"/>
          <w:lang w:val="en-US" w:eastAsia="zh-CN" w:bidi="ar-SA"/>
        </w:rPr>
        <w:t>项目预计于2023年5月31日开工，截至年底完成大部分地下室工程。</w:t>
      </w:r>
    </w:p>
    <w:p>
      <w:pPr>
        <w:pStyle w:val="14"/>
        <w:spacing w:line="420" w:lineRule="atLeast"/>
        <w:ind w:firstLine="516"/>
        <w:rPr>
          <w:rFonts w:ascii="仿宋_GB2312"/>
          <w:sz w:val="25"/>
          <w:szCs w:val="25"/>
        </w:rPr>
      </w:pPr>
      <w:r>
        <w:rPr>
          <w:rFonts w:ascii="仿宋_GB2312" w:hAnsi="仿宋_GB2312"/>
          <w:sz w:val="25"/>
          <w:szCs w:val="25"/>
        </w:rPr>
        <w:t>（二）主要经验及做法、存在问题和建议</w:t>
      </w:r>
    </w:p>
    <w:p>
      <w:pPr>
        <w:pStyle w:val="14"/>
        <w:ind w:firstLine="1000" w:firstLineChars="400"/>
        <w:rPr>
          <w:rFonts w:hint="default" w:ascii="仿宋_GB2312" w:eastAsia="宋体"/>
          <w:sz w:val="25"/>
          <w:szCs w:val="25"/>
          <w:lang w:val="en-US" w:eastAsia="zh-CN"/>
        </w:rPr>
      </w:pPr>
      <w:r>
        <w:rPr>
          <w:rFonts w:hint="eastAsia" w:ascii="仿宋_GB2312"/>
          <w:sz w:val="25"/>
          <w:szCs w:val="25"/>
          <w:lang w:val="en-US" w:eastAsia="zh-CN"/>
        </w:rPr>
        <w:t>无</w:t>
      </w:r>
    </w:p>
    <w:sectPr>
      <w:pgSz w:w="11906" w:h="16839"/>
      <w:pgMar w:top="1440" w:right="1800" w:bottom="1440" w:left="1800"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720DD5"/>
    <w:multiLevelType w:val="singleLevel"/>
    <w:tmpl w:val="ED720DD5"/>
    <w:lvl w:ilvl="0" w:tentative="0">
      <w:start w:val="4"/>
      <w:numFmt w:val="chineseCounting"/>
      <w:suff w:val="nothing"/>
      <w:lvlText w:val="（%1）"/>
      <w:lvlJc w:val="left"/>
      <w:rPr>
        <w:rFonts w:hint="eastAsia"/>
      </w:rPr>
    </w:lvl>
  </w:abstractNum>
  <w:abstractNum w:abstractNumId="1">
    <w:nsid w:val="5C7835C4"/>
    <w:multiLevelType w:val="multilevel"/>
    <w:tmpl w:val="5C7835C4"/>
    <w:lvl w:ilvl="0" w:tentative="0">
      <w:start w:val="2"/>
      <w:numFmt w:val="chineseCounting"/>
      <w:suff w:val="nothing"/>
      <w:lvlText w:val="（%1）"/>
      <w:lvlJc w:val="left"/>
      <w:pPr>
        <w:ind w:left="0" w:firstLine="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doNotCompress"/>
  <w:compat>
    <w:balanceSingleByteDoubleByteWidth/>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5YjBiYmNmMWVhM2RkOWYwYmViNTM0Mzg5MmQ0ZDEifQ=="/>
  </w:docVars>
  <w:rsids>
    <w:rsidRoot w:val="020B08B8"/>
    <w:rsid w:val="009B3BEF"/>
    <w:rsid w:val="00E0674C"/>
    <w:rsid w:val="020B08B8"/>
    <w:rsid w:val="3A584037"/>
    <w:rsid w:val="6F276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paragraph" w:styleId="5">
    <w:name w:val="heading 1"/>
    <w:basedOn w:val="1"/>
    <w:next w:val="1"/>
    <w:link w:val="17"/>
    <w:qFormat/>
    <w:uiPriority w:val="0"/>
    <w:pPr>
      <w:spacing w:before="100" w:beforeAutospacing="1" w:after="100" w:afterAutospacing="1"/>
      <w:outlineLvl w:val="0"/>
    </w:pPr>
    <w:rPr>
      <w:b/>
      <w:bCs/>
      <w:kern w:val="44"/>
      <w:sz w:val="48"/>
      <w:szCs w:val="48"/>
    </w:rPr>
  </w:style>
  <w:style w:type="paragraph" w:styleId="6">
    <w:name w:val="heading 2"/>
    <w:basedOn w:val="1"/>
    <w:next w:val="1"/>
    <w:link w:val="18"/>
    <w:qFormat/>
    <w:uiPriority w:val="0"/>
    <w:pPr>
      <w:spacing w:before="100" w:beforeAutospacing="1" w:after="100" w:afterAutospacing="1"/>
      <w:outlineLvl w:val="1"/>
    </w:pPr>
    <w:rPr>
      <w:b/>
      <w:bCs/>
      <w:sz w:val="36"/>
      <w:szCs w:val="36"/>
    </w:rPr>
  </w:style>
  <w:style w:type="paragraph" w:styleId="7">
    <w:name w:val="heading 3"/>
    <w:basedOn w:val="1"/>
    <w:next w:val="1"/>
    <w:link w:val="19"/>
    <w:qFormat/>
    <w:uiPriority w:val="0"/>
    <w:pPr>
      <w:spacing w:before="100" w:beforeAutospacing="1" w:after="100" w:afterAutospacing="1"/>
      <w:outlineLvl w:val="2"/>
    </w:pPr>
    <w:rPr>
      <w:b/>
      <w:bCs/>
      <w:sz w:val="27"/>
      <w:szCs w:val="27"/>
    </w:rPr>
  </w:style>
  <w:style w:type="paragraph" w:styleId="8">
    <w:name w:val="heading 4"/>
    <w:basedOn w:val="1"/>
    <w:next w:val="1"/>
    <w:link w:val="20"/>
    <w:qFormat/>
    <w:uiPriority w:val="0"/>
    <w:pPr>
      <w:spacing w:before="100" w:beforeAutospacing="1" w:after="100" w:afterAutospacing="1"/>
      <w:outlineLvl w:val="3"/>
    </w:pPr>
    <w:rPr>
      <w:b/>
      <w:bCs/>
    </w:rPr>
  </w:style>
  <w:style w:type="paragraph" w:styleId="9">
    <w:name w:val="heading 5"/>
    <w:basedOn w:val="1"/>
    <w:next w:val="1"/>
    <w:link w:val="21"/>
    <w:qFormat/>
    <w:uiPriority w:val="0"/>
    <w:pPr>
      <w:spacing w:before="100" w:beforeAutospacing="1" w:after="100" w:afterAutospacing="1"/>
      <w:outlineLvl w:val="4"/>
    </w:pPr>
    <w:rPr>
      <w:b/>
      <w:bCs/>
      <w:sz w:val="20"/>
      <w:szCs w:val="20"/>
    </w:rPr>
  </w:style>
  <w:style w:type="paragraph" w:styleId="10">
    <w:name w:val="heading 6"/>
    <w:basedOn w:val="1"/>
    <w:next w:val="1"/>
    <w:link w:val="22"/>
    <w:qFormat/>
    <w:uiPriority w:val="0"/>
    <w:pPr>
      <w:spacing w:before="100" w:beforeAutospacing="1" w:after="100" w:afterAutospacing="1"/>
      <w:outlineLvl w:val="5"/>
    </w:pPr>
    <w:rPr>
      <w:b/>
      <w:bCs/>
      <w:sz w:val="15"/>
      <w:szCs w:val="15"/>
    </w:rPr>
  </w:style>
  <w:style w:type="character" w:default="1" w:styleId="16">
    <w:name w:val="Default Paragraph Font"/>
    <w:semiHidden/>
    <w:unhideWhenUsed/>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cs="Times New Roman"/>
      <w:kern w:val="2"/>
      <w:sz w:val="21"/>
      <w:szCs w:val="22"/>
    </w:rPr>
    <w:tblPr>
      <w:tblCellMar>
        <w:top w:w="0" w:type="dxa"/>
        <w:left w:w="108" w:type="dxa"/>
        <w:bottom w:w="0" w:type="dxa"/>
        <w:right w:w="108" w:type="dxa"/>
      </w:tblCellMar>
    </w:tblPr>
  </w:style>
  <w:style w:type="paragraph" w:styleId="2">
    <w:name w:val="footnote text"/>
    <w:basedOn w:val="1"/>
    <w:next w:val="3"/>
    <w:qFormat/>
    <w:uiPriority w:val="0"/>
    <w:pPr>
      <w:snapToGrid w:val="0"/>
      <w:ind w:firstLine="880" w:firstLineChars="200"/>
      <w:jc w:val="left"/>
    </w:pPr>
    <w:rPr>
      <w:rFonts w:eastAsia="宋体"/>
      <w:sz w:val="18"/>
      <w:szCs w:val="18"/>
    </w:rPr>
  </w:style>
  <w:style w:type="paragraph" w:styleId="3">
    <w:name w:val="Body Text First Indent 2"/>
    <w:basedOn w:val="4"/>
    <w:next w:val="1"/>
    <w:qFormat/>
    <w:uiPriority w:val="0"/>
    <w:pPr>
      <w:ind w:firstLine="420" w:firstLineChars="200"/>
    </w:pPr>
    <w:rPr>
      <w:rFonts w:ascii="Times New Roman" w:hAnsi="Times New Roman" w:eastAsia="仿宋_GB2312"/>
      <w:sz w:val="32"/>
    </w:rPr>
  </w:style>
  <w:style w:type="paragraph" w:styleId="4">
    <w:name w:val="Body Text Indent"/>
    <w:basedOn w:val="1"/>
    <w:next w:val="3"/>
    <w:qFormat/>
    <w:uiPriority w:val="0"/>
    <w:pPr>
      <w:ind w:firstLine="540"/>
    </w:pPr>
    <w:rPr>
      <w:sz w:val="30"/>
    </w:rPr>
  </w:style>
  <w:style w:type="paragraph" w:styleId="11">
    <w:name w:val="footer"/>
    <w:basedOn w:val="1"/>
    <w:link w:val="29"/>
    <w:uiPriority w:val="0"/>
    <w:pPr>
      <w:tabs>
        <w:tab w:val="center" w:pos="4153"/>
        <w:tab w:val="right" w:pos="8306"/>
      </w:tabs>
      <w:snapToGrid w:val="0"/>
    </w:pPr>
    <w:rPr>
      <w:sz w:val="18"/>
      <w:szCs w:val="18"/>
    </w:rPr>
  </w:style>
  <w:style w:type="paragraph" w:styleId="12">
    <w:name w:val="header"/>
    <w:basedOn w:val="1"/>
    <w:link w:val="28"/>
    <w:uiPriority w:val="0"/>
    <w:pPr>
      <w:pBdr>
        <w:bottom w:val="single" w:color="auto" w:sz="6" w:space="1"/>
      </w:pBdr>
      <w:tabs>
        <w:tab w:val="center" w:pos="4153"/>
        <w:tab w:val="right" w:pos="8306"/>
      </w:tabs>
      <w:snapToGrid w:val="0"/>
      <w:jc w:val="center"/>
    </w:pPr>
    <w:rPr>
      <w:sz w:val="18"/>
      <w:szCs w:val="18"/>
    </w:rPr>
  </w:style>
  <w:style w:type="paragraph" w:styleId="13">
    <w:name w:val="HTML Preformatted"/>
    <w:basedOn w:val="1"/>
    <w:link w:val="23"/>
    <w:uiPriority w:val="0"/>
  </w:style>
  <w:style w:type="paragraph" w:styleId="14">
    <w:name w:val="Normal (Web)"/>
    <w:basedOn w:val="1"/>
    <w:uiPriority w:val="0"/>
    <w:pPr>
      <w:spacing w:before="100" w:beforeAutospacing="1" w:after="100" w:afterAutospacing="1"/>
    </w:pPr>
  </w:style>
  <w:style w:type="character" w:customStyle="1" w:styleId="17">
    <w:name w:val="标题 1 Char"/>
    <w:basedOn w:val="16"/>
    <w:link w:val="5"/>
    <w:uiPriority w:val="0"/>
    <w:rPr>
      <w:rFonts w:ascii="宋体" w:hAnsi="宋体" w:eastAsia="宋体" w:cs="宋体"/>
      <w:b/>
      <w:bCs/>
      <w:kern w:val="44"/>
      <w:sz w:val="44"/>
      <w:szCs w:val="44"/>
    </w:rPr>
  </w:style>
  <w:style w:type="character" w:customStyle="1" w:styleId="18">
    <w:name w:val="标题 2 Char"/>
    <w:basedOn w:val="16"/>
    <w:link w:val="6"/>
    <w:uiPriority w:val="0"/>
    <w:rPr>
      <w:rFonts w:asciiTheme="majorHAnsi" w:hAnsiTheme="majorHAnsi" w:eastAsiaTheme="majorEastAsia" w:cstheme="majorBidi"/>
      <w:b/>
      <w:bCs/>
      <w:sz w:val="32"/>
      <w:szCs w:val="32"/>
    </w:rPr>
  </w:style>
  <w:style w:type="character" w:customStyle="1" w:styleId="19">
    <w:name w:val="标题 3 Char"/>
    <w:basedOn w:val="16"/>
    <w:link w:val="7"/>
    <w:uiPriority w:val="0"/>
    <w:rPr>
      <w:rFonts w:ascii="宋体" w:hAnsi="宋体" w:eastAsia="宋体" w:cs="宋体"/>
      <w:b/>
      <w:bCs/>
      <w:sz w:val="32"/>
      <w:szCs w:val="32"/>
    </w:rPr>
  </w:style>
  <w:style w:type="character" w:customStyle="1" w:styleId="20">
    <w:name w:val="标题 4 Char"/>
    <w:basedOn w:val="16"/>
    <w:link w:val="8"/>
    <w:uiPriority w:val="0"/>
    <w:rPr>
      <w:rFonts w:asciiTheme="majorHAnsi" w:hAnsiTheme="majorHAnsi" w:eastAsiaTheme="majorEastAsia" w:cstheme="majorBidi"/>
      <w:b/>
      <w:bCs/>
      <w:sz w:val="28"/>
      <w:szCs w:val="28"/>
    </w:rPr>
  </w:style>
  <w:style w:type="character" w:customStyle="1" w:styleId="21">
    <w:name w:val="标题 5 Char"/>
    <w:basedOn w:val="16"/>
    <w:link w:val="9"/>
    <w:uiPriority w:val="0"/>
    <w:rPr>
      <w:rFonts w:ascii="宋体" w:hAnsi="宋体" w:eastAsia="宋体" w:cs="宋体"/>
      <w:b/>
      <w:bCs/>
      <w:sz w:val="28"/>
      <w:szCs w:val="28"/>
    </w:rPr>
  </w:style>
  <w:style w:type="character" w:customStyle="1" w:styleId="22">
    <w:name w:val="标题 6 Char"/>
    <w:basedOn w:val="16"/>
    <w:link w:val="10"/>
    <w:uiPriority w:val="0"/>
    <w:rPr>
      <w:rFonts w:asciiTheme="majorHAnsi" w:hAnsiTheme="majorHAnsi" w:eastAsiaTheme="majorEastAsia" w:cstheme="majorBidi"/>
      <w:b/>
      <w:bCs/>
      <w:sz w:val="24"/>
      <w:szCs w:val="24"/>
    </w:rPr>
  </w:style>
  <w:style w:type="character" w:customStyle="1" w:styleId="23">
    <w:name w:val="HTML 预设格式 Char"/>
    <w:basedOn w:val="16"/>
    <w:link w:val="13"/>
    <w:uiPriority w:val="0"/>
    <w:rPr>
      <w:rFonts w:ascii="Courier New" w:hAnsi="Courier New" w:eastAsia="宋体" w:cs="Courier New"/>
    </w:rPr>
  </w:style>
  <w:style w:type="paragraph" w:customStyle="1" w:styleId="24">
    <w:name w:val="BodyTextIndent"/>
    <w:basedOn w:val="1"/>
    <w:uiPriority w:val="0"/>
    <w:pPr>
      <w:ind w:firstLine="640" w:firstLineChars="200"/>
      <w:textAlignment w:val="baseline"/>
    </w:pPr>
    <w:rPr>
      <w:sz w:val="32"/>
      <w:szCs w:val="32"/>
    </w:rPr>
  </w:style>
  <w:style w:type="paragraph" w:customStyle="1" w:styleId="25">
    <w:name w:val="BodyText1I2"/>
    <w:basedOn w:val="24"/>
    <w:next w:val="1"/>
    <w:uiPriority w:val="0"/>
    <w:pPr>
      <w:spacing w:before="100" w:beforeAutospacing="1" w:after="120"/>
      <w:ind w:left="420" w:leftChars="200" w:firstLine="420"/>
    </w:pPr>
    <w:rPr>
      <w:rFonts w:ascii="Calibri" w:hAnsi="Calibri"/>
      <w:sz w:val="28"/>
      <w:szCs w:val="28"/>
    </w:rPr>
  </w:style>
  <w:style w:type="character" w:customStyle="1" w:styleId="26">
    <w:name w:val="10"/>
    <w:basedOn w:val="16"/>
    <w:uiPriority w:val="0"/>
    <w:rPr>
      <w:rFonts w:hint="default" w:ascii="Times New Roman" w:hAnsi="Times New Roman" w:cs="Times New Roman"/>
    </w:rPr>
  </w:style>
  <w:style w:type="character" w:customStyle="1" w:styleId="27">
    <w:name w:val="15"/>
    <w:basedOn w:val="16"/>
    <w:uiPriority w:val="0"/>
    <w:rPr>
      <w:rFonts w:hint="default" w:ascii="Times New Roman" w:hAnsi="Times New Roman" w:cs="Times New Roman"/>
      <w:b/>
    </w:rPr>
  </w:style>
  <w:style w:type="character" w:customStyle="1" w:styleId="28">
    <w:name w:val="页眉 Char"/>
    <w:basedOn w:val="16"/>
    <w:link w:val="12"/>
    <w:uiPriority w:val="0"/>
    <w:rPr>
      <w:rFonts w:ascii="宋体" w:hAnsi="宋体" w:eastAsia="宋体" w:cs="宋体"/>
      <w:sz w:val="18"/>
      <w:szCs w:val="18"/>
    </w:rPr>
  </w:style>
  <w:style w:type="character" w:customStyle="1" w:styleId="29">
    <w:name w:val="页脚 Char"/>
    <w:basedOn w:val="16"/>
    <w:link w:val="11"/>
    <w:uiPriority w:val="0"/>
    <w:rPr>
      <w:rFonts w:ascii="宋体" w:hAnsi="宋体" w:eastAsia="宋体" w:cs="宋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4494;&#20449;&#25991;&#20214;\WeChat%20Files\by-Brenda\FileStorage\File\2023-04\&#27743;&#19996;&#26032;&#38498;&#21306;(&#36130;&#21153;&#20462;&#25913;&#2925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江东新院区(财务修改版).dotx</Template>
  <Pages>4</Pages>
  <Words>2400</Words>
  <Characters>2586</Characters>
  <Lines>27</Lines>
  <Paragraphs>7</Paragraphs>
  <TotalTime>1</TotalTime>
  <ScaleCrop>false</ScaleCrop>
  <LinksUpToDate>false</LinksUpToDate>
  <CharactersWithSpaces>2603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2023-04-18T07:06:00Z</dcterms:created>
  <dc:creator>maetamong</dc:creator>
  <cp:lastModifiedBy>Lnini</cp:lastModifiedBy>
  <dcterms:modified xsi:type="dcterms:W3CDTF">2024-06-11T09:14:12Z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5178EB07F9C54F55AE8D2E87414F37D5_11</vt:lpwstr>
  </property>
</Properties>
</file>