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0"/>
          <w:szCs w:val="40"/>
        </w:rPr>
      </w:pPr>
    </w:p>
    <w:p>
      <w:pPr>
        <w:jc w:val="center"/>
        <w:rPr>
          <w:rFonts w:hint="eastAsia"/>
          <w:b/>
          <w:bCs/>
          <w:sz w:val="40"/>
          <w:szCs w:val="40"/>
        </w:rPr>
      </w:pPr>
      <w:r>
        <w:rPr>
          <w:rFonts w:hint="eastAsia"/>
          <w:b/>
          <w:bCs/>
          <w:sz w:val="40"/>
          <w:szCs w:val="40"/>
        </w:rPr>
        <w:t>项目支出绩效自评报告</w:t>
      </w:r>
    </w:p>
    <w:p>
      <w:pPr>
        <w:pStyle w:val="2"/>
        <w:keepNext w:val="0"/>
        <w:keepLines w:val="0"/>
        <w:pageBreakBefore w:val="0"/>
        <w:kinsoku/>
        <w:wordWrap/>
        <w:overflowPunct/>
        <w:topLinePunct w:val="0"/>
        <w:autoSpaceDN/>
        <w:bidi w:val="0"/>
        <w:adjustRightInd/>
        <w:snapToGrid/>
        <w:spacing w:line="560" w:lineRule="exact"/>
        <w:textAlignment w:val="auto"/>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pPr>
      <w:r>
        <w:rPr>
          <w:rFonts w:hint="eastAsia" w:ascii="黑体" w:hAnsi="黑体" w:eastAsia="黑体" w:cs="黑体"/>
          <w:sz w:val="32"/>
          <w:szCs w:val="32"/>
        </w:rPr>
        <w:t xml:space="preserve">一、项目概况  </w:t>
      </w:r>
      <w:r>
        <w:t>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（一）项目基本情况：立项情况、实施主体项目、资金及主要内容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预算单位 海南卫生健康职业学院 的项目 现代职业教育质量提升计划项目属于部门项目</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主管部门为省卫生健康委员会</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项目负责人为：吴军/李赫男/朱文冰</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联系电话：68652993</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项目概述如下：</w:t>
      </w:r>
    </w:p>
    <w:p>
      <w:pPr>
        <w:keepNext w:val="0"/>
        <w:keepLines w:val="0"/>
        <w:pageBreakBefore w:val="0"/>
        <w:widowControl w:val="0"/>
        <w:suppressLineNumbers w:val="0"/>
        <w:kinsoku/>
        <w:wordWrap/>
        <w:overflowPunct/>
        <w:topLinePunct w:val="0"/>
        <w:autoSpaceDE w:val="0"/>
        <w:autoSpaceDN/>
        <w:bidi w:val="0"/>
        <w:adjustRightInd/>
        <w:snapToGrid/>
        <w:spacing w:line="560" w:lineRule="exact"/>
        <w:ind w:left="0" w:leftChars="0" w:firstLine="640" w:firstLineChars="200"/>
        <w:textAlignment w:val="auto"/>
        <w:outlineLvl w:val="0"/>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1.支持我校巩固和完善以改革和绩效为导向的高等职业院校生均拨款制度，逐步提高生均拨款水平；支持我校开展高职院校</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1+X</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证书制度试以及中国特色高水平高职学校和专业建设等。</w:t>
      </w:r>
    </w:p>
    <w:p>
      <w:pPr>
        <w:keepNext w:val="0"/>
        <w:keepLines w:val="0"/>
        <w:pageBreakBefore w:val="0"/>
        <w:widowControl w:val="0"/>
        <w:suppressLineNumbers w:val="0"/>
        <w:kinsoku/>
        <w:wordWrap/>
        <w:overflowPunct/>
        <w:topLinePunct w:val="0"/>
        <w:autoSpaceDE w:val="0"/>
        <w:autoSpaceDN/>
        <w:bidi w:val="0"/>
        <w:adjustRightInd/>
        <w:snapToGrid/>
        <w:spacing w:line="560" w:lineRule="exact"/>
        <w:ind w:left="0" w:leftChars="0" w:firstLine="640" w:firstLineChars="200"/>
        <w:textAlignment w:val="auto"/>
        <w:outlineLvl w:val="0"/>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2.支持我校在优化布局结构的基础上，改扩建职业学校校舍、实验实训场地以及其他附属设施，配置图书和教学仪器设备等；推动建立完善学校生均拨款制度，进一步提高学校生均拨款水平；支持学校开展</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1+X</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证书制度试点。</w:t>
      </w:r>
    </w:p>
    <w:p>
      <w:pPr>
        <w:keepNext w:val="0"/>
        <w:keepLines w:val="0"/>
        <w:pageBreakBefore w:val="0"/>
        <w:widowControl w:val="0"/>
        <w:suppressLineNumbers w:val="0"/>
        <w:kinsoku/>
        <w:wordWrap/>
        <w:overflowPunct/>
        <w:topLinePunct w:val="0"/>
        <w:autoSpaceDE w:val="0"/>
        <w:autoSpaceDN/>
        <w:bidi w:val="0"/>
        <w:adjustRightInd/>
        <w:snapToGrid/>
        <w:spacing w:line="560" w:lineRule="exact"/>
        <w:ind w:left="0" w:leftChars="0" w:firstLine="640" w:firstLineChars="200"/>
        <w:textAlignment w:val="auto"/>
        <w:outlineLvl w:val="0"/>
        <w:rPr>
          <w:rFonts w:hint="eastAsia" w:ascii="仿宋" w:hAnsi="仿宋" w:eastAsia="仿宋" w:cs="仿宋"/>
          <w:sz w:val="32"/>
          <w:szCs w:val="32"/>
        </w:rPr>
      </w:pPr>
      <w:r>
        <w:rPr>
          <w:rFonts w:hint="default" w:ascii="仿宋_GB2312" w:hAnsi="宋体" w:eastAsia="仿宋_GB2312" w:cs="仿宋_GB2312"/>
          <w:kern w:val="0"/>
          <w:sz w:val="32"/>
          <w:szCs w:val="32"/>
        </w:rPr>
        <w:t>3.支持我校加强</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双师型</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专任教师和</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1+X</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师资培养培训，提高教师教育教学水平。</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（二）项目年度预算绩效目标和绩效指标设定情况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总体目标：1、1+X证书制度试点项目投入成本逐步扩大 2、改善学校的教学条件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2022年年度目标是1、1+X证书制度试点项目投入成本逐步扩大 2、改善学校的教学条件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当年年度目标完成情况：</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right="0" w:rightChars="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1.202</w:t>
      </w:r>
      <w:r>
        <w:rPr>
          <w:rFonts w:hint="eastAsia" w:ascii="仿宋_GB2312" w:eastAsia="仿宋_GB2312" w:cs="仿宋_GB2312"/>
          <w:kern w:val="0"/>
          <w:sz w:val="31"/>
          <w:szCs w:val="31"/>
          <w:lang w:val="en-US" w:eastAsia="zh-CN"/>
        </w:rPr>
        <w:t>2</w:t>
      </w:r>
      <w:r>
        <w:rPr>
          <w:rFonts w:hint="default" w:ascii="仿宋_GB2312" w:hAnsi="宋体" w:eastAsia="仿宋_GB2312" w:cs="仿宋_GB2312"/>
          <w:kern w:val="0"/>
          <w:sz w:val="31"/>
          <w:szCs w:val="31"/>
        </w:rPr>
        <w:t>年我校一般公共预算财政拨款收入99289922.79元，按年末学生人数</w:t>
      </w:r>
      <w:r>
        <w:rPr>
          <w:rFonts w:hint="eastAsia" w:ascii="仿宋_GB2312" w:eastAsia="仿宋_GB2312" w:cs="仿宋_GB2312"/>
          <w:kern w:val="0"/>
          <w:sz w:val="31"/>
          <w:szCs w:val="31"/>
          <w:lang w:val="en-US" w:eastAsia="zh-CN"/>
        </w:rPr>
        <w:t>4848</w:t>
      </w:r>
      <w:r>
        <w:rPr>
          <w:rFonts w:hint="default" w:ascii="仿宋_GB2312" w:hAnsi="宋体" w:eastAsia="仿宋_GB2312" w:cs="仿宋_GB2312"/>
          <w:kern w:val="0"/>
          <w:sz w:val="31"/>
          <w:szCs w:val="31"/>
        </w:rPr>
        <w:t>人测算，生均拨款为</w:t>
      </w:r>
      <w:r>
        <w:rPr>
          <w:rFonts w:hint="eastAsia" w:ascii="仿宋_GB2312" w:eastAsia="仿宋_GB2312" w:cs="仿宋_GB2312"/>
          <w:kern w:val="0"/>
          <w:sz w:val="31"/>
          <w:szCs w:val="31"/>
          <w:lang w:val="en-US" w:eastAsia="zh-CN"/>
        </w:rPr>
        <w:t>20480.6</w:t>
      </w:r>
      <w:r>
        <w:rPr>
          <w:rFonts w:hint="default" w:ascii="仿宋_GB2312" w:hAnsi="宋体" w:eastAsia="仿宋_GB2312" w:cs="仿宋_GB2312"/>
          <w:kern w:val="0"/>
          <w:sz w:val="31"/>
          <w:szCs w:val="31"/>
        </w:rPr>
        <w:t>元，实现了生均拨款不低于12000元目标；</w:t>
      </w:r>
    </w:p>
    <w:p>
      <w:pPr>
        <w:pStyle w:val="8"/>
        <w:keepNext w:val="0"/>
        <w:keepLines w:val="0"/>
        <w:pageBreakBefore w:val="0"/>
        <w:widowControl/>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textAlignment w:val="auto"/>
        <w:rPr>
          <w:rFonts w:hint="eastAsia"/>
        </w:rPr>
      </w:pPr>
      <w:r>
        <w:rPr>
          <w:rFonts w:hint="eastAsia" w:ascii="仿宋" w:hAnsi="仿宋" w:eastAsia="仿宋" w:cs="仿宋"/>
          <w:sz w:val="32"/>
          <w:szCs w:val="32"/>
          <w:lang w:val="en-US" w:eastAsia="zh-CN"/>
        </w:rPr>
        <w:t>2.</w:t>
      </w:r>
      <w:r>
        <w:rPr>
          <w:rFonts w:hint="eastAsia" w:ascii="仿宋" w:hAnsi="仿宋" w:eastAsia="仿宋" w:cs="仿宋"/>
          <w:sz w:val="32"/>
          <w:szCs w:val="32"/>
        </w:rPr>
        <w:t>继续深化教育部</w:t>
      </w:r>
      <w:r>
        <w:rPr>
          <w:rFonts w:hint="eastAsia" w:ascii="仿宋" w:hAnsi="仿宋" w:eastAsia="仿宋" w:cs="仿宋"/>
          <w:sz w:val="32"/>
          <w:szCs w:val="32"/>
          <w:lang w:eastAsia="zh-CN"/>
        </w:rPr>
        <w:t>“</w:t>
      </w:r>
      <w:r>
        <w:rPr>
          <w:rFonts w:hint="eastAsia" w:ascii="仿宋" w:hAnsi="仿宋" w:eastAsia="仿宋" w:cs="仿宋"/>
          <w:sz w:val="32"/>
          <w:szCs w:val="32"/>
        </w:rPr>
        <w:t>1+X</w:t>
      </w:r>
      <w:r>
        <w:rPr>
          <w:rFonts w:hint="eastAsia" w:ascii="仿宋" w:hAnsi="仿宋" w:eastAsia="仿宋" w:cs="仿宋"/>
          <w:sz w:val="32"/>
          <w:szCs w:val="32"/>
          <w:lang w:eastAsia="zh-CN"/>
        </w:rPr>
        <w:t>”</w:t>
      </w:r>
      <w:r>
        <w:rPr>
          <w:rFonts w:hint="eastAsia" w:ascii="仿宋" w:hAnsi="仿宋" w:eastAsia="仿宋" w:cs="仿宋"/>
          <w:sz w:val="32"/>
          <w:szCs w:val="32"/>
        </w:rPr>
        <w:t>证书制度试点工作，贯彻“覆盖全生命周期的健康管理”理念，成功新增申报建设家庭保健按摩、中医体质评估与应用等5个试点项目</w:t>
      </w:r>
      <w:r>
        <w:rPr>
          <w:rFonts w:hint="eastAsia" w:ascii="仿宋" w:hAnsi="仿宋" w:eastAsia="仿宋" w:cs="仿宋"/>
          <w:sz w:val="32"/>
          <w:szCs w:val="32"/>
          <w:lang w:eastAsia="zh-CN"/>
        </w:rPr>
        <w:t>“1+X”</w:t>
      </w:r>
      <w:r>
        <w:rPr>
          <w:rFonts w:hint="eastAsia" w:ascii="仿宋" w:hAnsi="仿宋" w:eastAsia="仿宋" w:cs="仿宋"/>
          <w:sz w:val="32"/>
          <w:szCs w:val="32"/>
        </w:rPr>
        <w:t>证书试点项目总数达到14个，其中医养个案管理成为海南省牵头院校并获优秀考核站点，运动营养咨询与指导获优秀试点院校和优秀实训室建设院校</w:t>
      </w:r>
      <w:r>
        <w:rPr>
          <w:rFonts w:hint="eastAsia" w:ascii="仿宋" w:hAnsi="仿宋" w:eastAsia="仿宋" w:cs="仿宋"/>
          <w:sz w:val="32"/>
          <w:szCs w:val="32"/>
          <w:lang w:eastAsia="zh-CN"/>
        </w:rPr>
        <w:t>。2022年“1+X”报名考证1520人，通过取证1439人，通过率为</w:t>
      </w:r>
      <w:r>
        <w:rPr>
          <w:rFonts w:hint="eastAsia" w:ascii="仿宋" w:hAnsi="仿宋" w:eastAsia="仿宋" w:cs="仿宋"/>
          <w:sz w:val="32"/>
          <w:szCs w:val="32"/>
          <w:lang w:val="en-US" w:eastAsia="zh-CN"/>
        </w:rPr>
        <w:t>94.67%。</w:t>
      </w:r>
    </w:p>
    <w:p>
      <w:pPr>
        <w:pStyle w:val="8"/>
        <w:keepNext w:val="0"/>
        <w:keepLines w:val="0"/>
        <w:pageBreakBefore w:val="0"/>
        <w:widowControl/>
        <w:numPr>
          <w:ilvl w:val="0"/>
          <w:numId w:val="0"/>
        </w:numPr>
        <w:suppressLineNumbers w:val="0"/>
        <w:kinsoku/>
        <w:wordWrap/>
        <w:overflowPunct/>
        <w:topLinePunct w:val="0"/>
        <w:autoSpaceDE w:val="0"/>
        <w:autoSpaceDN/>
        <w:bidi w:val="0"/>
        <w:adjustRightInd/>
        <w:snapToGrid/>
        <w:spacing w:beforeAutospacing="0" w:afterAutospacing="0" w:line="560" w:lineRule="exact"/>
        <w:ind w:right="0" w:rightChars="0" w:firstLine="640" w:firstLineChars="200"/>
        <w:textAlignment w:val="auto"/>
        <w:rPr>
          <w:rFonts w:hint="eastAsia"/>
        </w:rPr>
      </w:pPr>
      <w:r>
        <w:rPr>
          <w:rFonts w:hint="eastAsia" w:ascii="仿宋_GB2312" w:eastAsia="仿宋_GB2312"/>
          <w:sz w:val="32"/>
          <w:szCs w:val="32"/>
          <w:lang w:val="en-US" w:eastAsia="zh-CN"/>
        </w:rPr>
        <w:t>3.</w:t>
      </w:r>
      <w:r>
        <w:rPr>
          <w:rFonts w:hint="eastAsia" w:ascii="仿宋_GB2312" w:eastAsia="仿宋_GB2312"/>
          <w:sz w:val="32"/>
          <w:szCs w:val="32"/>
          <w:lang w:eastAsia="zh-CN"/>
        </w:rPr>
        <w:t>坚</w:t>
      </w:r>
      <w:r>
        <w:rPr>
          <w:rFonts w:hint="eastAsia" w:ascii="仿宋_GB2312" w:eastAsia="仿宋_GB2312"/>
          <w:sz w:val="32"/>
          <w:szCs w:val="32"/>
        </w:rPr>
        <w:t>持“以师生为本，为师生所急、为师生所难，为师生所愁，为师生所盼”，进一步调整校园功能布局，加强保障性建设，营造绿色、安全和温馨的校园。明确校园功能区定位方向，</w:t>
      </w:r>
      <w:r>
        <w:rPr>
          <w:rFonts w:hint="eastAsia" w:ascii="仿宋_GB2312" w:eastAsia="仿宋_GB2312"/>
          <w:bCs/>
          <w:sz w:val="32"/>
          <w:szCs w:val="32"/>
        </w:rPr>
        <w:t>划分教工生活区与教学办公区；</w:t>
      </w:r>
      <w:r>
        <w:rPr>
          <w:rFonts w:hint="eastAsia" w:ascii="仿宋_GB2312" w:eastAsia="仿宋_GB2312"/>
          <w:sz w:val="32"/>
          <w:szCs w:val="32"/>
        </w:rPr>
        <w:t>优化实验实训室建设布局，加大校内实验实训室建设投入，推动医学美容、健康与社会照护、眼视光技术、康复治疗技术实验实训室新建与改造；营造浓郁舒适的阅读学习氛围，新增学生宿舍园区智慧阅读空间建设；启动校园环境提升工程，完成秀华校区南门、中医药文化园建设；推进基础保障性建设，对宿舍给水管改造、增设宿舍衣柜、书桌等、椰海校区安装太阳能热水系统等，进一步合理整合校园布局。</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项目决策及资金使用管理情况</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项目决策情况</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我校重大事项决算严格遵循“三重一大”、党委议事规则、校长办公会议事规则的等。5万元-20万元（不含20万元）经费支出，呈校长办公会通过，校长审批。20万元以上经费支出，呈党委会会议通过，校长审批。</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（二）项目资金（包括财政资金、自筹资金等）安排落实、总投入等情况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预算情况如下：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资金总额-年初预算数13900000元，资金总额-全年预算数16910000元，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财政资金-年初预算数13900000元财政资金-全年预算数16910000元，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专户-年初预算数0元，专户全年预算数0元，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单位年初预算数0元，单位全年预算数0元。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（三）项目资金（主要是指财政资金）实际使用情况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资金执行情况如下：</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资金总额-全年执行数16662962.65元，资金总额-执行率98.54%元</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其中：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财政资金-全年执行数16662962.65元，财政资金-执行率98.54%</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专户全年执行数0元，专户-执行率0</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单位全年执行数0元，单位全年执行率0.00%</w:t>
      </w:r>
    </w:p>
    <w:p>
      <w:pPr>
        <w:keepNext w:val="0"/>
        <w:keepLines w:val="0"/>
        <w:pageBreakBefore w:val="0"/>
        <w:widowControl/>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sz w:val="32"/>
          <w:szCs w:val="32"/>
        </w:rPr>
        <w:t>项目资金管理情况</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 w:hAnsi="仿宋" w:eastAsia="仿宋" w:cs="仿宋"/>
          <w:kern w:val="0"/>
          <w:sz w:val="32"/>
          <w:szCs w:val="32"/>
        </w:rPr>
        <w:t>项目资金管理严格按照《海南卫生健康职业学院经费支出管理办法（试行）》等制度执行，账务由省财政国库支付局会计核算站集中核算。由相关处室、二级单位提出支付申请，财务处审核，校领导审签，会计核算站审批，经过层层把关，严格落实财务制度，保证资金支付安全、合规、合法，保证资金专款专用。</w:t>
      </w:r>
      <w:r>
        <w:rPr>
          <w:rFonts w:hint="eastAsia" w:ascii="仿宋" w:hAnsi="仿宋" w:eastAsia="仿宋" w:cs="仿宋"/>
          <w:color w:val="000000"/>
          <w:kern w:val="0"/>
          <w:sz w:val="32"/>
          <w:szCs w:val="32"/>
        </w:rPr>
        <w:t>项目资金下达后，将项目资金及时分解，下达至责任处室，把项目支出责任落实到具体处室和明确责任人；财务处按月通报项目资金的支出进度，与纪检监察处联合督促加快预算执行进度，审计处全程监督项目的规范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三、项目组织实施情况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（一）项目组织情况</w:t>
      </w:r>
    </w:p>
    <w:p>
      <w:pPr>
        <w:pStyle w:val="2"/>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eastAsia"/>
        </w:rPr>
      </w:pPr>
      <w:r>
        <w:rPr>
          <w:rFonts w:hint="eastAsia" w:ascii="仿宋" w:hAnsi="仿宋" w:eastAsia="仿宋" w:cs="仿宋"/>
          <w:kern w:val="0"/>
          <w:sz w:val="32"/>
          <w:szCs w:val="32"/>
        </w:rPr>
        <w:t>本项目资金用于支持我校开展“1+X”证书制度试点,改扩建我校基础设施、配置图书及实训设备等。</w:t>
      </w:r>
      <w:r>
        <w:rPr>
          <w:rFonts w:hint="eastAsia" w:ascii="仿宋" w:hAnsi="仿宋" w:eastAsia="仿宋" w:cs="仿宋"/>
          <w:color w:val="000000"/>
          <w:kern w:val="0"/>
          <w:sz w:val="32"/>
          <w:szCs w:val="32"/>
        </w:rPr>
        <w:t>项目的实施严格按照我校相关制度执行，办公用品及设备购置、实训设备购置、教职工出差等业务均落实事前审批制度；2000元以上的业务（含2000元），需签订合同；</w:t>
      </w:r>
      <w:r>
        <w:rPr>
          <w:rFonts w:hint="default" w:ascii="仿宋_GB2312" w:hAnsi="宋体" w:eastAsia="仿宋_GB2312" w:cs="仿宋_GB2312"/>
          <w:color w:val="000000"/>
          <w:kern w:val="0"/>
          <w:sz w:val="32"/>
          <w:szCs w:val="32"/>
        </w:rPr>
        <w:t>采购金额在5000-100000元以下的物品、工程、服务需三方比价，采购预算金额在10万元及以上的各类物资、软件与服务类项目、基建与修缮工程等项目均需采用招标方式进行采购，</w:t>
      </w:r>
      <w:r>
        <w:rPr>
          <w:rFonts w:hint="eastAsia" w:ascii="仿宋" w:hAnsi="仿宋" w:eastAsia="仿宋" w:cs="仿宋"/>
          <w:color w:val="000000"/>
          <w:kern w:val="0"/>
          <w:sz w:val="32"/>
          <w:szCs w:val="32"/>
        </w:rPr>
        <w:t>严格规范学校内控流程。</w:t>
      </w:r>
    </w:p>
    <w:p>
      <w:pPr>
        <w:keepNext w:val="0"/>
        <w:keepLines w:val="0"/>
        <w:pageBreakBefore w:val="0"/>
        <w:widowControl/>
        <w:numPr>
          <w:ilvl w:val="0"/>
          <w:numId w:val="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项目管理情况</w:t>
      </w:r>
    </w:p>
    <w:p>
      <w:pPr>
        <w:pStyle w:val="2"/>
        <w:keepNext w:val="0"/>
        <w:keepLines w:val="0"/>
        <w:pageBreakBefore w:val="0"/>
        <w:numPr>
          <w:ilvl w:val="0"/>
          <w:numId w:val="0"/>
        </w:numPr>
        <w:kinsoku/>
        <w:wordWrap/>
        <w:overflowPunct/>
        <w:topLinePunct w:val="0"/>
        <w:autoSpaceDN/>
        <w:bidi w:val="0"/>
        <w:adjustRightInd/>
        <w:snapToGrid/>
        <w:spacing w:line="560" w:lineRule="exact"/>
        <w:ind w:right="0" w:rightChars="0" w:firstLine="640" w:firstLineChars="200"/>
        <w:textAlignment w:val="auto"/>
        <w:rPr>
          <w:rFonts w:hint="eastAsia"/>
        </w:rPr>
      </w:pPr>
      <w:r>
        <w:rPr>
          <w:rFonts w:hint="eastAsia" w:ascii="仿宋" w:hAnsi="仿宋" w:eastAsia="仿宋" w:cs="仿宋"/>
          <w:kern w:val="0"/>
          <w:sz w:val="32"/>
          <w:szCs w:val="32"/>
        </w:rPr>
        <w:t>学校严格把关项目预算编制及审核，坚决做到专款专用，落实责任主体；全过程跟踪监管，确保项目顺利推进、资金使用和管理规范。加强项目管理，认真组织实施项目，确保项目顺利推进；对项目全过程跟踪，及时解决项目实施过程中存在的问题。</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四、项目绩效情况</w:t>
      </w:r>
      <w:bookmarkStart w:id="0" w:name="_GoBack"/>
      <w:bookmarkEnd w:id="0"/>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（一）项目绩效目标完成情况。</w:t>
      </w:r>
    </w:p>
    <w:p>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1.项目的经济性分析</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（1）项目成本（预算）控制情况</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项目经费全部用于业务的开展，无挪用，超支情况。</w:t>
      </w:r>
    </w:p>
    <w:p>
      <w:pPr>
        <w:keepNext w:val="0"/>
        <w:keepLines w:val="0"/>
        <w:pageBreakBefore w:val="0"/>
        <w:widowControl/>
        <w:numPr>
          <w:ilvl w:val="0"/>
          <w:numId w:val="4"/>
        </w:numPr>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项目成本（预算）节约情况</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40" w:firstLineChars="200"/>
        <w:textAlignment w:val="auto"/>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项目的实施严格落实中央和省委省政府相关规定，厉行节约，反对铺张浪费，精打细算，在保证项目正常开展的情况，严格各项支出，</w:t>
      </w:r>
      <w:r>
        <w:rPr>
          <w:rFonts w:hint="default" w:ascii="仿宋_GB2312" w:hAnsi="宋体" w:eastAsia="仿宋_GB2312" w:cs="仿宋_GB2312"/>
          <w:color w:val="000000"/>
          <w:kern w:val="0"/>
          <w:sz w:val="32"/>
          <w:szCs w:val="32"/>
        </w:rPr>
        <w:t>采购金额在5000-100000元以下的物品、工程、服务需三方比价，采购预算金额在10万元及以上的各类物资、软件与服务类项目、基建与修缮工程等项目均需采用招标方式进行采购，</w:t>
      </w:r>
      <w:r>
        <w:rPr>
          <w:rFonts w:hint="default" w:ascii="仿宋_GB2312" w:hAnsi="宋体" w:eastAsia="仿宋_GB2312" w:cs="仿宋_GB2312"/>
          <w:kern w:val="0"/>
          <w:sz w:val="32"/>
          <w:szCs w:val="32"/>
        </w:rPr>
        <w:t>节约成本。</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textAlignment w:val="auto"/>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2.项目的效率性分析</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default" w:ascii="仿宋_GB2312" w:hAnsi="宋体" w:eastAsia="仿宋_GB2312" w:cs="宋体"/>
          <w:kern w:val="0"/>
          <w:sz w:val="32"/>
          <w:szCs w:val="32"/>
        </w:rPr>
      </w:pPr>
      <w:r>
        <w:rPr>
          <w:rFonts w:hint="default" w:ascii="仿宋_GB2312" w:hAnsi="宋体" w:eastAsia="仿宋_GB2312" w:cs="仿宋_GB2312"/>
          <w:kern w:val="0"/>
          <w:sz w:val="32"/>
          <w:szCs w:val="32"/>
        </w:rPr>
        <w:t>（1）项目的实施进度</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项目资金用于支持我校</w:t>
      </w:r>
      <w:r>
        <w:rPr>
          <w:rFonts w:hint="default" w:ascii="仿宋_GB2312" w:hAnsi="宋体" w:eastAsia="仿宋_GB2312" w:cs="仿宋_GB2312"/>
          <w:kern w:val="0"/>
          <w:sz w:val="32"/>
          <w:szCs w:val="32"/>
        </w:rPr>
        <w:t>开展</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1+X</w:t>
      </w:r>
      <w:r>
        <w:rPr>
          <w:rFonts w:hint="eastAsia" w:ascii="宋体" w:hAnsi="宋体" w:eastAsia="宋体" w:cs="宋体"/>
          <w:kern w:val="0"/>
          <w:sz w:val="32"/>
          <w:szCs w:val="32"/>
        </w:rPr>
        <w:t>”</w:t>
      </w:r>
      <w:r>
        <w:rPr>
          <w:rFonts w:hint="default" w:ascii="仿宋_GB2312" w:hAnsi="宋体" w:eastAsia="仿宋_GB2312" w:cs="仿宋_GB2312"/>
          <w:kern w:val="0"/>
          <w:sz w:val="32"/>
          <w:szCs w:val="32"/>
        </w:rPr>
        <w:t>证书制度试点,改扩建我校基础设施、配置图书及实训设备等，</w:t>
      </w:r>
      <w:r>
        <w:rPr>
          <w:rFonts w:hint="default" w:ascii="仿宋_GB2312" w:hAnsi="宋体" w:eastAsia="仿宋_GB2312" w:cs="仿宋_GB2312"/>
          <w:kern w:val="0"/>
          <w:sz w:val="31"/>
          <w:szCs w:val="31"/>
        </w:rPr>
        <w:t>项目资金按计划支付，202</w:t>
      </w:r>
      <w:r>
        <w:rPr>
          <w:rFonts w:hint="eastAsia" w:ascii="仿宋_GB2312" w:eastAsia="仿宋_GB2312" w:cs="仿宋_GB2312"/>
          <w:kern w:val="0"/>
          <w:sz w:val="31"/>
          <w:szCs w:val="31"/>
          <w:lang w:val="en-US" w:eastAsia="zh-CN"/>
        </w:rPr>
        <w:t>2</w:t>
      </w:r>
      <w:r>
        <w:rPr>
          <w:rFonts w:hint="default" w:ascii="仿宋_GB2312" w:hAnsi="宋体" w:eastAsia="仿宋_GB2312" w:cs="仿宋_GB2312"/>
          <w:kern w:val="0"/>
          <w:sz w:val="31"/>
          <w:szCs w:val="31"/>
        </w:rPr>
        <w:t>年各季度实际支付情况如下：</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20" w:firstLineChars="200"/>
        <w:textAlignment w:val="auto"/>
        <w:rPr>
          <w:rFonts w:hint="default" w:ascii="仿宋_GB2312" w:hAnsi="宋体" w:eastAsia="仿宋_GB2312" w:cs="仿宋_GB2312"/>
          <w:kern w:val="0"/>
          <w:sz w:val="31"/>
          <w:szCs w:val="31"/>
        </w:rPr>
      </w:pP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leftChars="0" w:firstLine="620" w:firstLineChars="200"/>
        <w:textAlignment w:val="auto"/>
        <w:rPr>
          <w:rFonts w:hint="default" w:ascii="仿宋_GB2312" w:hAnsi="宋体" w:eastAsia="仿宋_GB2312" w:cs="仿宋_GB2312"/>
          <w:kern w:val="0"/>
          <w:sz w:val="31"/>
          <w:szCs w:val="31"/>
        </w:rPr>
      </w:pPr>
    </w:p>
    <w:tbl>
      <w:tblPr>
        <w:tblStyle w:val="5"/>
        <w:tblpPr w:leftFromText="180" w:rightFromText="180" w:vertAnchor="text" w:horzAnchor="page" w:tblpX="2132" w:tblpY="368"/>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150"/>
        <w:gridCol w:w="2095"/>
        <w:gridCol w:w="2521"/>
        <w:gridCol w:w="2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2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季度</w:t>
            </w:r>
          </w:p>
        </w:tc>
        <w:tc>
          <w:tcPr>
            <w:tcW w:w="20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支付金额（万元）</w:t>
            </w:r>
          </w:p>
        </w:tc>
        <w:tc>
          <w:tcPr>
            <w:tcW w:w="252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项目资金总额（万元）</w:t>
            </w:r>
          </w:p>
        </w:tc>
        <w:tc>
          <w:tcPr>
            <w:tcW w:w="201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第一季度</w:t>
            </w:r>
          </w:p>
        </w:tc>
        <w:tc>
          <w:tcPr>
            <w:tcW w:w="20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82.09</w:t>
            </w:r>
          </w:p>
        </w:tc>
        <w:tc>
          <w:tcPr>
            <w:tcW w:w="2521" w:type="dxa"/>
            <w:vMerge w:val="restar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1691</w:t>
            </w:r>
          </w:p>
        </w:tc>
        <w:tc>
          <w:tcPr>
            <w:tcW w:w="201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第二季度</w:t>
            </w:r>
          </w:p>
        </w:tc>
        <w:tc>
          <w:tcPr>
            <w:tcW w:w="20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296.62</w:t>
            </w:r>
          </w:p>
        </w:tc>
        <w:tc>
          <w:tcPr>
            <w:tcW w:w="2521" w:type="dxa"/>
            <w:vMerge w:val="continue"/>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Times New Roman" w:hAnsi="Times New Roman" w:cs="Times New Roman"/>
                <w:sz w:val="24"/>
                <w:szCs w:val="24"/>
              </w:rPr>
            </w:pPr>
          </w:p>
        </w:tc>
        <w:tc>
          <w:tcPr>
            <w:tcW w:w="201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17.55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第三季度</w:t>
            </w:r>
          </w:p>
        </w:tc>
        <w:tc>
          <w:tcPr>
            <w:tcW w:w="20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680.05</w:t>
            </w:r>
          </w:p>
        </w:tc>
        <w:tc>
          <w:tcPr>
            <w:tcW w:w="2521" w:type="dxa"/>
            <w:vMerge w:val="continue"/>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Times New Roman" w:hAnsi="Times New Roman" w:cs="Times New Roman"/>
                <w:sz w:val="24"/>
                <w:szCs w:val="24"/>
              </w:rPr>
            </w:pPr>
          </w:p>
        </w:tc>
        <w:tc>
          <w:tcPr>
            <w:tcW w:w="201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40.21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rPr>
            </w:pPr>
            <w:r>
              <w:rPr>
                <w:rFonts w:hint="default" w:ascii="仿宋_GB2312" w:hAnsi="宋体" w:eastAsia="仿宋_GB2312" w:cs="仿宋_GB2312"/>
                <w:kern w:val="0"/>
                <w:sz w:val="24"/>
                <w:szCs w:val="24"/>
              </w:rPr>
              <w:t>第四季度</w:t>
            </w:r>
          </w:p>
        </w:tc>
        <w:tc>
          <w:tcPr>
            <w:tcW w:w="20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607.54</w:t>
            </w:r>
          </w:p>
        </w:tc>
        <w:tc>
          <w:tcPr>
            <w:tcW w:w="2521" w:type="dxa"/>
            <w:vMerge w:val="continue"/>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Times New Roman" w:hAnsi="Times New Roman" w:cs="Times New Roman"/>
                <w:sz w:val="24"/>
                <w:szCs w:val="24"/>
              </w:rPr>
            </w:pPr>
          </w:p>
        </w:tc>
        <w:tc>
          <w:tcPr>
            <w:tcW w:w="201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80" w:firstLineChars="200"/>
              <w:jc w:val="center"/>
              <w:textAlignment w:val="auto"/>
              <w:rPr>
                <w:rFonts w:hint="default" w:ascii="仿宋_GB2312" w:hAnsi="宋体" w:eastAsia="仿宋_GB2312" w:cs="宋体"/>
                <w:kern w:val="0"/>
                <w:sz w:val="24"/>
                <w:szCs w:val="24"/>
                <w:lang w:val="en-US" w:eastAsia="zh-CN"/>
              </w:rPr>
            </w:pPr>
            <w:r>
              <w:rPr>
                <w:rFonts w:hint="eastAsia" w:ascii="仿宋_GB2312" w:hAnsi="宋体" w:eastAsia="仿宋_GB2312" w:cs="宋体"/>
                <w:kern w:val="0"/>
                <w:sz w:val="24"/>
                <w:szCs w:val="24"/>
                <w:lang w:val="en-US" w:eastAsia="zh-CN"/>
              </w:rPr>
              <w:t>35.93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合计</w:t>
            </w:r>
          </w:p>
        </w:tc>
        <w:tc>
          <w:tcPr>
            <w:tcW w:w="209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jc w:val="center"/>
              <w:textAlignment w:val="auto"/>
              <w:rPr>
                <w:rFonts w:hint="default" w:ascii="仿宋_GB2312" w:hAnsi="宋体" w:eastAsia="仿宋_GB2312" w:cs="宋体"/>
                <w:kern w:val="0"/>
                <w:sz w:val="32"/>
                <w:szCs w:val="32"/>
              </w:rPr>
            </w:pPr>
            <w:r>
              <w:rPr>
                <w:rFonts w:hint="default" w:ascii="仿宋_GB2312" w:hAnsi="宋体" w:eastAsia="仿宋_GB2312" w:cs="宋体"/>
                <w:kern w:val="0"/>
                <w:sz w:val="32"/>
                <w:szCs w:val="32"/>
              </w:rPr>
              <w:fldChar w:fldCharType="begin"/>
            </w:r>
            <w:r>
              <w:rPr>
                <w:rFonts w:hint="default" w:ascii="仿宋_GB2312" w:hAnsi="宋体" w:eastAsia="仿宋_GB2312" w:cs="宋体"/>
                <w:kern w:val="0"/>
                <w:sz w:val="32"/>
                <w:szCs w:val="32"/>
              </w:rPr>
              <w:instrText xml:space="preserve"> = sum(B2:B5) \* MERGEFORMAT </w:instrText>
            </w:r>
            <w:r>
              <w:rPr>
                <w:rFonts w:hint="default" w:ascii="仿宋_GB2312" w:hAnsi="宋体" w:eastAsia="仿宋_GB2312" w:cs="宋体"/>
                <w:kern w:val="0"/>
                <w:sz w:val="32"/>
                <w:szCs w:val="32"/>
              </w:rPr>
              <w:fldChar w:fldCharType="separate"/>
            </w:r>
            <w:r>
              <w:rPr>
                <w:rFonts w:hint="default" w:ascii="仿宋_GB2312" w:hAnsi="宋体" w:eastAsia="仿宋_GB2312" w:cs="宋体"/>
                <w:kern w:val="0"/>
                <w:sz w:val="32"/>
                <w:szCs w:val="32"/>
              </w:rPr>
              <w:t>1666.3</w:t>
            </w:r>
            <w:r>
              <w:rPr>
                <w:rFonts w:hint="default" w:ascii="仿宋_GB2312" w:hAnsi="宋体" w:eastAsia="仿宋_GB2312" w:cs="宋体"/>
                <w:kern w:val="0"/>
                <w:sz w:val="32"/>
                <w:szCs w:val="32"/>
              </w:rPr>
              <w:fldChar w:fldCharType="end"/>
            </w:r>
          </w:p>
        </w:tc>
        <w:tc>
          <w:tcPr>
            <w:tcW w:w="2521" w:type="dxa"/>
            <w:vMerge w:val="continue"/>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400" w:firstLineChars="200"/>
              <w:jc w:val="center"/>
              <w:textAlignment w:val="auto"/>
              <w:rPr>
                <w:rFonts w:hint="default" w:ascii="Times New Roman" w:hAnsi="Times New Roman" w:cs="Times New Roman"/>
                <w:sz w:val="20"/>
                <w:szCs w:val="20"/>
              </w:rPr>
            </w:pPr>
          </w:p>
        </w:tc>
        <w:tc>
          <w:tcPr>
            <w:tcW w:w="2014"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560" w:lineRule="exact"/>
              <w:ind w:left="0" w:right="0" w:firstLine="640" w:firstLineChars="200"/>
              <w:jc w:val="center"/>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98.54</w:t>
            </w:r>
          </w:p>
        </w:tc>
      </w:tr>
    </w:tbl>
    <w:p>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textAlignment w:val="auto"/>
        <w:rPr>
          <w:rFonts w:hint="eastAsia" w:ascii="仿宋" w:hAnsi="仿宋" w:eastAsia="仿宋" w:cs="仿宋"/>
          <w:kern w:val="0"/>
          <w:sz w:val="32"/>
          <w:szCs w:val="32"/>
        </w:rPr>
      </w:pPr>
    </w:p>
    <w:p>
      <w:pPr>
        <w:pStyle w:val="8"/>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（2）项目完成质量</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按质按量，完成项目资金的使用。基本办学条件得到改善，教师队伍素质显著提升。</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3.项目的</w:t>
      </w:r>
      <w:r>
        <w:rPr>
          <w:rFonts w:hint="eastAsia" w:ascii="仿宋" w:hAnsi="仿宋" w:eastAsia="仿宋" w:cs="仿宋"/>
          <w:kern w:val="0"/>
          <w:sz w:val="32"/>
          <w:szCs w:val="32"/>
        </w:rPr>
        <w:t>效益性分析</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（1）项目预期目标完成程度</w:t>
      </w:r>
    </w:p>
    <w:p>
      <w:pPr>
        <w:pStyle w:val="2"/>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项目的实施基本达到预期目标。</w:t>
      </w:r>
    </w:p>
    <w:p>
      <w:pPr>
        <w:pStyle w:val="2"/>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一是</w:t>
      </w:r>
      <w:r>
        <w:rPr>
          <w:rFonts w:hint="eastAsia" w:ascii="仿宋" w:hAnsi="仿宋" w:eastAsia="仿宋" w:cs="仿宋"/>
          <w:kern w:val="0"/>
          <w:sz w:val="32"/>
          <w:szCs w:val="32"/>
          <w:highlight w:val="none"/>
          <w:lang w:eastAsia="zh-CN"/>
        </w:rPr>
        <w:t>安排</w:t>
      </w:r>
      <w:r>
        <w:rPr>
          <w:rFonts w:hint="eastAsia" w:ascii="仿宋" w:hAnsi="仿宋" w:eastAsia="仿宋" w:cs="仿宋"/>
          <w:kern w:val="0"/>
          <w:sz w:val="32"/>
          <w:szCs w:val="32"/>
          <w:highlight w:val="none"/>
          <w:lang w:val="en-US" w:eastAsia="zh-CN"/>
        </w:rPr>
        <w:t>807.97</w:t>
      </w:r>
      <w:r>
        <w:rPr>
          <w:rFonts w:hint="eastAsia" w:ascii="仿宋" w:hAnsi="仿宋" w:eastAsia="仿宋" w:cs="仿宋"/>
          <w:kern w:val="0"/>
          <w:sz w:val="32"/>
          <w:szCs w:val="32"/>
          <w:highlight w:val="none"/>
        </w:rPr>
        <w:t>万元用于康复实训中心改造修缮</w:t>
      </w:r>
      <w:r>
        <w:rPr>
          <w:rFonts w:hint="eastAsia" w:ascii="仿宋" w:hAnsi="仿宋" w:eastAsia="仿宋" w:cs="仿宋"/>
          <w:kern w:val="0"/>
          <w:sz w:val="32"/>
          <w:szCs w:val="32"/>
          <w:highlight w:val="none"/>
          <w:lang w:eastAsia="zh-CN"/>
        </w:rPr>
        <w:t>、医美实训基地装修、C栋学生宿舍水管改造、秀华南门改造工程、秀华三楼礼堂改造、学生铁床购置、椰海课桌椅购置</w:t>
      </w:r>
      <w:r>
        <w:rPr>
          <w:rFonts w:hint="eastAsia" w:ascii="仿宋" w:hAnsi="仿宋" w:eastAsia="仿宋" w:cs="仿宋"/>
          <w:kern w:val="0"/>
          <w:sz w:val="32"/>
          <w:szCs w:val="32"/>
          <w:highlight w:val="none"/>
        </w:rPr>
        <w:t>等基础功能建设，</w:t>
      </w:r>
      <w:r>
        <w:rPr>
          <w:rFonts w:hint="eastAsia" w:ascii="仿宋" w:hAnsi="仿宋" w:eastAsia="仿宋" w:cs="仿宋"/>
          <w:kern w:val="0"/>
          <w:sz w:val="32"/>
          <w:szCs w:val="32"/>
          <w:highlight w:val="none"/>
          <w:lang w:eastAsia="zh-CN"/>
        </w:rPr>
        <w:t>共涉及装修改善面积</w:t>
      </w:r>
      <w:r>
        <w:rPr>
          <w:rFonts w:hint="eastAsia" w:ascii="仿宋" w:hAnsi="仿宋" w:eastAsia="仿宋" w:cs="仿宋"/>
          <w:kern w:val="0"/>
          <w:sz w:val="32"/>
          <w:szCs w:val="32"/>
          <w:highlight w:val="none"/>
          <w:lang w:val="en-US" w:eastAsia="zh-CN"/>
        </w:rPr>
        <w:t>8137.58平方米，148张升降课桌，122张升降椅子，452张铁床等，</w:t>
      </w:r>
      <w:r>
        <w:rPr>
          <w:rFonts w:hint="eastAsia" w:ascii="仿宋" w:hAnsi="仿宋" w:eastAsia="仿宋" w:cs="仿宋"/>
          <w:kern w:val="0"/>
          <w:sz w:val="32"/>
          <w:szCs w:val="32"/>
          <w:highlight w:val="none"/>
        </w:rPr>
        <w:t>改善了师生工作、学习及生活环境；</w:t>
      </w:r>
    </w:p>
    <w:p>
      <w:pPr>
        <w:pStyle w:val="2"/>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二是安排</w:t>
      </w:r>
      <w:r>
        <w:rPr>
          <w:rFonts w:hint="eastAsia" w:ascii="仿宋" w:hAnsi="仿宋" w:eastAsia="仿宋" w:cs="仿宋"/>
          <w:kern w:val="0"/>
          <w:sz w:val="32"/>
          <w:szCs w:val="32"/>
          <w:highlight w:val="none"/>
          <w:lang w:val="en-US" w:eastAsia="zh-CN"/>
        </w:rPr>
        <w:t>451.64</w:t>
      </w:r>
      <w:r>
        <w:rPr>
          <w:rFonts w:hint="eastAsia" w:ascii="仿宋" w:hAnsi="仿宋" w:eastAsia="仿宋" w:cs="仿宋"/>
          <w:kern w:val="0"/>
          <w:sz w:val="32"/>
          <w:szCs w:val="32"/>
          <w:highlight w:val="none"/>
        </w:rPr>
        <w:t>万元</w:t>
      </w:r>
      <w:r>
        <w:rPr>
          <w:rFonts w:hint="eastAsia" w:ascii="仿宋" w:hAnsi="仿宋" w:eastAsia="仿宋" w:cs="仿宋"/>
          <w:kern w:val="0"/>
          <w:sz w:val="32"/>
          <w:szCs w:val="32"/>
          <w:highlight w:val="none"/>
          <w:lang w:eastAsia="zh-CN"/>
        </w:rPr>
        <w:t>用于图书购置和智慧书吧建设。</w:t>
      </w:r>
      <w:r>
        <w:rPr>
          <w:rFonts w:hint="eastAsia" w:ascii="仿宋" w:hAnsi="仿宋" w:eastAsia="仿宋" w:cs="仿宋"/>
          <w:sz w:val="32"/>
          <w:szCs w:val="32"/>
          <w:highlight w:val="none"/>
        </w:rPr>
        <w:t>积极推进纸本/数字一体化文献建设，采购6万余册纸质图书，新增中国知网数据库与万方数据库2个数据库，不断丰富馆藏纸质图书与数字资源，逐步实现图书资源不断满足师生教学科研和学习的需要。在原有馆藏图书的基础上，在秀华校区学生公寓增加一个智慧阅读空间建设即约300平方米“智慧图书馆”</w:t>
      </w:r>
      <w:r>
        <w:rPr>
          <w:rFonts w:hint="eastAsia" w:ascii="仿宋" w:hAnsi="仿宋" w:eastAsia="仿宋" w:cs="仿宋"/>
          <w:kern w:val="0"/>
          <w:sz w:val="32"/>
          <w:szCs w:val="32"/>
          <w:highlight w:val="none"/>
        </w:rPr>
        <w:t>；</w:t>
      </w:r>
    </w:p>
    <w:p>
      <w:pPr>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40" w:firstLineChars="200"/>
        <w:textAlignment w:val="auto"/>
        <w:rPr>
          <w:rFonts w:hint="eastAsia" w:ascii="仿宋" w:hAnsi="仿宋" w:eastAsia="仿宋" w:cs="仿宋"/>
          <w:sz w:val="32"/>
          <w:szCs w:val="32"/>
          <w:lang w:eastAsia="zh-CN"/>
        </w:rPr>
      </w:pPr>
      <w:r>
        <w:rPr>
          <w:rFonts w:hint="eastAsia" w:ascii="仿宋" w:hAnsi="仿宋" w:eastAsia="仿宋" w:cs="仿宋"/>
          <w:kern w:val="0"/>
          <w:sz w:val="32"/>
          <w:szCs w:val="32"/>
          <w:highlight w:val="none"/>
        </w:rPr>
        <w:t>三是安排</w:t>
      </w:r>
      <w:r>
        <w:rPr>
          <w:rFonts w:hint="eastAsia" w:ascii="仿宋" w:hAnsi="仿宋" w:eastAsia="仿宋" w:cs="仿宋"/>
          <w:kern w:val="0"/>
          <w:sz w:val="32"/>
          <w:szCs w:val="32"/>
          <w:highlight w:val="none"/>
          <w:lang w:val="en-US" w:eastAsia="zh-CN"/>
        </w:rPr>
        <w:t>26.92</w:t>
      </w:r>
      <w:r>
        <w:rPr>
          <w:rFonts w:hint="eastAsia" w:ascii="仿宋" w:hAnsi="仿宋" w:eastAsia="仿宋" w:cs="仿宋"/>
          <w:kern w:val="0"/>
          <w:sz w:val="32"/>
          <w:szCs w:val="32"/>
          <w:highlight w:val="none"/>
        </w:rPr>
        <w:t>万元用于开展“1+X”证书制度试点。</w:t>
      </w:r>
      <w:r>
        <w:rPr>
          <w:rFonts w:hint="eastAsia" w:ascii="仿宋" w:hAnsi="仿宋" w:eastAsia="仿宋" w:cs="仿宋"/>
          <w:sz w:val="32"/>
          <w:szCs w:val="32"/>
        </w:rPr>
        <w:t>继续深化教育部</w:t>
      </w:r>
      <w:r>
        <w:rPr>
          <w:rFonts w:hint="eastAsia" w:ascii="仿宋" w:hAnsi="仿宋" w:eastAsia="仿宋" w:cs="仿宋"/>
          <w:kern w:val="0"/>
          <w:sz w:val="32"/>
          <w:szCs w:val="32"/>
          <w:highlight w:val="none"/>
        </w:rPr>
        <w:t>“1+X”</w:t>
      </w:r>
      <w:r>
        <w:rPr>
          <w:rFonts w:hint="eastAsia" w:ascii="仿宋" w:hAnsi="仿宋" w:eastAsia="仿宋" w:cs="仿宋"/>
          <w:sz w:val="32"/>
          <w:szCs w:val="32"/>
        </w:rPr>
        <w:t>证书制度试点工作，贯彻“覆盖全生命周期的健康管理”理念，成功新增申报建设家庭保健按摩、中医体质评估与应用等5个试点项目，</w:t>
      </w:r>
      <w:r>
        <w:rPr>
          <w:rFonts w:hint="eastAsia" w:ascii="仿宋" w:hAnsi="仿宋" w:eastAsia="仿宋" w:cs="仿宋"/>
          <w:kern w:val="0"/>
          <w:sz w:val="32"/>
          <w:szCs w:val="32"/>
          <w:highlight w:val="none"/>
        </w:rPr>
        <w:t>“1+X”</w:t>
      </w:r>
      <w:r>
        <w:rPr>
          <w:rFonts w:hint="eastAsia" w:ascii="仿宋" w:hAnsi="仿宋" w:eastAsia="仿宋" w:cs="仿宋"/>
          <w:sz w:val="32"/>
          <w:szCs w:val="32"/>
        </w:rPr>
        <w:t>证书试点项目总数达到14个，其中医养个案管理成为海南省牵头院校并获优秀考核站点，运动营养咨询与指导获优秀试点院校和优秀实训室建设院校</w:t>
      </w:r>
      <w:r>
        <w:rPr>
          <w:rFonts w:hint="eastAsia" w:ascii="仿宋" w:hAnsi="仿宋" w:eastAsia="仿宋" w:cs="仿宋"/>
          <w:sz w:val="32"/>
          <w:szCs w:val="32"/>
          <w:lang w:eastAsia="zh-CN"/>
        </w:rPr>
        <w:t>；</w:t>
      </w:r>
    </w:p>
    <w:p>
      <w:pPr>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kern w:val="0"/>
          <w:sz w:val="32"/>
          <w:szCs w:val="32"/>
          <w:highlight w:val="none"/>
          <w:lang w:eastAsia="zh-CN"/>
        </w:rPr>
        <w:t>四是安排</w:t>
      </w:r>
      <w:r>
        <w:rPr>
          <w:rFonts w:hint="eastAsia" w:ascii="仿宋" w:hAnsi="仿宋" w:eastAsia="仿宋" w:cs="仿宋"/>
          <w:kern w:val="0"/>
          <w:sz w:val="32"/>
          <w:szCs w:val="32"/>
          <w:highlight w:val="none"/>
          <w:lang w:val="en-US" w:eastAsia="zh-CN"/>
        </w:rPr>
        <w:t>120.07</w:t>
      </w:r>
      <w:r>
        <w:rPr>
          <w:rFonts w:hint="eastAsia" w:ascii="仿宋" w:hAnsi="仿宋" w:eastAsia="仿宋" w:cs="仿宋"/>
          <w:kern w:val="0"/>
          <w:sz w:val="32"/>
          <w:szCs w:val="32"/>
          <w:highlight w:val="none"/>
        </w:rPr>
        <w:t>用于设备</w:t>
      </w:r>
      <w:r>
        <w:rPr>
          <w:rFonts w:hint="eastAsia" w:ascii="仿宋" w:hAnsi="仿宋" w:eastAsia="仿宋" w:cs="仿宋"/>
          <w:kern w:val="0"/>
          <w:sz w:val="32"/>
          <w:szCs w:val="32"/>
          <w:highlight w:val="none"/>
          <w:lang w:eastAsia="zh-CN"/>
        </w:rPr>
        <w:t>耗材</w:t>
      </w:r>
      <w:r>
        <w:rPr>
          <w:rFonts w:hint="eastAsia" w:ascii="仿宋" w:hAnsi="仿宋" w:eastAsia="仿宋" w:cs="仿宋"/>
          <w:kern w:val="0"/>
          <w:sz w:val="32"/>
          <w:szCs w:val="32"/>
          <w:highlight w:val="none"/>
        </w:rPr>
        <w:t>购置，</w:t>
      </w:r>
      <w:r>
        <w:rPr>
          <w:rFonts w:hint="eastAsia" w:ascii="仿宋" w:hAnsi="仿宋" w:eastAsia="仿宋" w:cs="仿宋"/>
          <w:kern w:val="0"/>
          <w:sz w:val="32"/>
          <w:szCs w:val="32"/>
          <w:highlight w:val="none"/>
          <w:lang w:eastAsia="zh-CN"/>
        </w:rPr>
        <w:t>基本</w:t>
      </w:r>
      <w:r>
        <w:rPr>
          <w:rFonts w:hint="eastAsia" w:ascii="仿宋" w:hAnsi="仿宋" w:eastAsia="仿宋" w:cs="仿宋"/>
          <w:kern w:val="0"/>
          <w:sz w:val="32"/>
          <w:szCs w:val="32"/>
          <w:highlight w:val="none"/>
        </w:rPr>
        <w:t>保障实训教学的正常开展</w:t>
      </w:r>
      <w:r>
        <w:rPr>
          <w:rFonts w:hint="eastAsia" w:ascii="仿宋" w:hAnsi="仿宋" w:eastAsia="仿宋" w:cs="仿宋"/>
          <w:kern w:val="0"/>
          <w:sz w:val="32"/>
          <w:szCs w:val="32"/>
          <w:highlight w:val="none"/>
          <w:lang w:eastAsia="zh-CN"/>
        </w:rPr>
        <w:t>；</w:t>
      </w:r>
    </w:p>
    <w:p>
      <w:pPr>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40" w:firstLineChars="200"/>
        <w:textAlignment w:val="auto"/>
        <w:rPr>
          <w:rFonts w:hint="default"/>
          <w:highlight w:val="none"/>
          <w:lang w:val="en-US"/>
        </w:rPr>
      </w:pPr>
      <w:r>
        <w:rPr>
          <w:rFonts w:hint="eastAsia" w:ascii="仿宋" w:hAnsi="仿宋" w:eastAsia="仿宋" w:cs="仿宋"/>
          <w:kern w:val="0"/>
          <w:sz w:val="32"/>
          <w:szCs w:val="32"/>
          <w:highlight w:val="none"/>
          <w:lang w:eastAsia="zh-CN"/>
        </w:rPr>
        <w:t>五是安排</w:t>
      </w:r>
      <w:r>
        <w:rPr>
          <w:rFonts w:hint="eastAsia" w:ascii="仿宋" w:hAnsi="仿宋" w:eastAsia="仿宋" w:cs="仿宋"/>
          <w:kern w:val="0"/>
          <w:sz w:val="32"/>
          <w:szCs w:val="32"/>
          <w:highlight w:val="none"/>
          <w:lang w:val="en-US" w:eastAsia="zh-CN"/>
        </w:rPr>
        <w:t>259.7万元用于我校1081人师生培训，20项校级科研资助等，持续实施师生队伍质量提升工程，稳步推进人才强校战略及持续培养适应中国特色自贸港发展所需人才。</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textAlignment w:val="auto"/>
        <w:rPr>
          <w:rFonts w:hint="eastAsia" w:ascii="仿宋" w:hAnsi="仿宋" w:eastAsia="仿宋" w:cs="仿宋"/>
          <w:kern w:val="2"/>
          <w:sz w:val="32"/>
          <w:szCs w:val="32"/>
        </w:rPr>
      </w:pPr>
      <w:r>
        <w:rPr>
          <w:rFonts w:hint="eastAsia" w:ascii="仿宋" w:hAnsi="仿宋" w:eastAsia="仿宋" w:cs="仿宋"/>
          <w:kern w:val="2"/>
          <w:sz w:val="32"/>
          <w:szCs w:val="32"/>
        </w:rPr>
        <w:t>（2）项目实施对经济和社会的影响</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firstLine="640" w:firstLineChars="200"/>
        <w:textAlignment w:val="auto"/>
        <w:rPr>
          <w:rFonts w:hint="eastAsia" w:ascii="仿宋" w:hAnsi="仿宋" w:eastAsia="仿宋" w:cs="仿宋"/>
          <w:kern w:val="0"/>
          <w:sz w:val="32"/>
          <w:szCs w:val="32"/>
        </w:rPr>
      </w:pPr>
      <w:r>
        <w:rPr>
          <w:rFonts w:hint="eastAsia" w:ascii="仿宋" w:hAnsi="仿宋" w:eastAsia="仿宋" w:cs="仿宋"/>
          <w:kern w:val="0"/>
          <w:sz w:val="32"/>
          <w:szCs w:val="32"/>
        </w:rPr>
        <w:t>通过该项目的实施，学校的办学条件得到进一步改善，育人氛围更加浓厚，</w:t>
      </w:r>
      <w:r>
        <w:rPr>
          <w:rFonts w:hint="eastAsia" w:ascii="仿宋" w:hAnsi="仿宋" w:eastAsia="仿宋" w:cs="仿宋"/>
          <w:kern w:val="0"/>
          <w:sz w:val="32"/>
          <w:szCs w:val="32"/>
          <w:lang w:eastAsia="zh-CN"/>
        </w:rPr>
        <w:t>基本保障了</w:t>
      </w:r>
      <w:r>
        <w:rPr>
          <w:rFonts w:hint="eastAsia" w:ascii="仿宋" w:hAnsi="仿宋" w:eastAsia="仿宋" w:cs="仿宋"/>
          <w:kern w:val="0"/>
          <w:sz w:val="32"/>
          <w:szCs w:val="32"/>
        </w:rPr>
        <w:t>高职教育</w:t>
      </w:r>
      <w:r>
        <w:rPr>
          <w:rFonts w:hint="eastAsia" w:ascii="仿宋" w:hAnsi="仿宋" w:eastAsia="仿宋" w:cs="仿宋"/>
          <w:kern w:val="0"/>
          <w:sz w:val="32"/>
          <w:szCs w:val="32"/>
          <w:lang w:eastAsia="zh-CN"/>
        </w:rPr>
        <w:t>事业的开展</w:t>
      </w:r>
      <w:r>
        <w:rPr>
          <w:rFonts w:hint="eastAsia" w:ascii="仿宋" w:hAnsi="仿宋" w:eastAsia="仿宋" w:cs="仿宋"/>
          <w:kern w:val="0"/>
          <w:sz w:val="32"/>
          <w:szCs w:val="32"/>
        </w:rPr>
        <w:t>。</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20" w:firstLineChars="200"/>
        <w:textAlignment w:val="auto"/>
        <w:rPr>
          <w:rFonts w:hint="default" w:ascii="仿宋_GB2312" w:hAnsi="宋体" w:eastAsia="仿宋_GB2312" w:cs="仿宋_GB2312"/>
          <w:kern w:val="0"/>
          <w:sz w:val="31"/>
          <w:szCs w:val="31"/>
        </w:rPr>
      </w:pPr>
      <w:r>
        <w:rPr>
          <w:rFonts w:hint="default" w:ascii="仿宋_GB2312" w:hAnsi="宋体" w:eastAsia="仿宋_GB2312" w:cs="仿宋_GB2312"/>
          <w:kern w:val="0"/>
          <w:sz w:val="31"/>
          <w:szCs w:val="31"/>
        </w:rPr>
        <w:t>（二）项目绩效目标未完成情况及原因分析</w:t>
      </w:r>
    </w:p>
    <w:p>
      <w:pPr>
        <w:pStyle w:val="2"/>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leftChars="0" w:firstLine="640" w:firstLineChars="200"/>
        <w:textAlignment w:val="auto"/>
        <w:rPr>
          <w:rFonts w:hint="default" w:ascii="仿宋_GB2312" w:hAnsi="宋体" w:eastAsia="仿宋_GB2312" w:cs="仿宋_GB2312"/>
          <w:kern w:val="0"/>
          <w:sz w:val="31"/>
          <w:szCs w:val="31"/>
        </w:rPr>
      </w:pPr>
      <w:r>
        <w:rPr>
          <w:rFonts w:hint="eastAsia" w:ascii="仿宋" w:hAnsi="仿宋" w:eastAsia="仿宋" w:cs="仿宋"/>
          <w:kern w:val="0"/>
          <w:sz w:val="32"/>
          <w:szCs w:val="32"/>
        </w:rPr>
        <w:t>该项目绩效目标已完成。</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20" w:firstLineChars="200"/>
        <w:textAlignment w:val="auto"/>
        <w:rPr>
          <w:rFonts w:hint="default" w:ascii="仿宋_GB2312" w:hAnsi="宋体" w:eastAsia="仿宋_GB2312" w:cs="仿宋_GB2312"/>
          <w:kern w:val="0"/>
          <w:sz w:val="31"/>
          <w:szCs w:val="31"/>
        </w:rPr>
      </w:pPr>
      <w:r>
        <w:rPr>
          <w:rFonts w:hint="eastAsia" w:ascii="黑体" w:hAnsi="宋体" w:eastAsia="黑体" w:cs="黑体"/>
          <w:kern w:val="0"/>
          <w:sz w:val="31"/>
          <w:szCs w:val="31"/>
        </w:rPr>
        <w:t>五、主要经验及做法、存在问题和建议</w:t>
      </w:r>
    </w:p>
    <w:p>
      <w:pPr>
        <w:pStyle w:val="8"/>
        <w:keepNext w:val="0"/>
        <w:keepLines w:val="0"/>
        <w:pageBreakBefore w:val="0"/>
        <w:widowControl/>
        <w:suppressLineNumbers w:val="0"/>
        <w:kinsoku/>
        <w:wordWrap/>
        <w:overflowPunct/>
        <w:topLinePunct w:val="0"/>
        <w:autoSpaceDE w:val="0"/>
        <w:autoSpaceDN/>
        <w:bidi w:val="0"/>
        <w:adjustRightInd/>
        <w:snapToGrid/>
        <w:spacing w:beforeAutospacing="0" w:afterAutospacing="0" w:line="560" w:lineRule="exact"/>
        <w:ind w:left="0" w:firstLine="640" w:firstLineChars="200"/>
        <w:textAlignment w:val="auto"/>
        <w:rPr>
          <w:rFonts w:hint="eastAsia" w:ascii="仿宋" w:hAnsi="仿宋" w:eastAsia="仿宋" w:cs="仿宋"/>
          <w:kern w:val="2"/>
          <w:sz w:val="32"/>
          <w:szCs w:val="32"/>
        </w:rPr>
      </w:pPr>
      <w:r>
        <w:rPr>
          <w:rFonts w:hint="eastAsia" w:ascii="仿宋" w:hAnsi="仿宋" w:eastAsia="仿宋" w:cs="仿宋"/>
          <w:kern w:val="2"/>
          <w:sz w:val="32"/>
          <w:szCs w:val="32"/>
        </w:rPr>
        <w:t>注重加强对专项资金立项项目立项、可行性研究、预算编制工作的管理，以保证项目的可行行和科学性，在编报项目预算时要求制定详细的推进计划，明确分工，责任到人，保证专项资金均能够保质保量执行到位。</w:t>
      </w:r>
    </w:p>
    <w:p>
      <w:pPr>
        <w:pStyle w:val="8"/>
        <w:keepNext w:val="0"/>
        <w:keepLines w:val="0"/>
        <w:widowControl/>
        <w:suppressLineNumbers w:val="0"/>
        <w:autoSpaceDE w:val="0"/>
        <w:autoSpaceDN/>
        <w:spacing w:line="560" w:lineRule="exact"/>
        <w:rPr>
          <w:rFonts w:hint="eastAsia" w:ascii="仿宋" w:hAnsi="仿宋" w:eastAsia="仿宋" w:cs="仿宋"/>
          <w:kern w:val="2"/>
          <w:sz w:val="32"/>
          <w:szCs w:val="32"/>
        </w:rPr>
      </w:pPr>
      <w:r>
        <w:rPr>
          <w:rFonts w:hint="eastAsia" w:ascii="仿宋" w:hAnsi="仿宋" w:eastAsia="仿宋" w:cs="仿宋"/>
          <w:kern w:val="2"/>
          <w:sz w:val="32"/>
          <w:szCs w:val="32"/>
        </w:rPr>
        <w:t xml:space="preserve"> </w:t>
      </w:r>
    </w:p>
    <w:p>
      <w:pPr>
        <w:pStyle w:val="8"/>
        <w:keepNext w:val="0"/>
        <w:keepLines w:val="0"/>
        <w:widowControl/>
        <w:suppressLineNumbers w:val="0"/>
        <w:autoSpaceDE w:val="0"/>
        <w:autoSpaceDN/>
        <w:spacing w:line="560" w:lineRule="exact"/>
        <w:ind w:left="0" w:firstLine="0" w:firstLineChars="0"/>
        <w:rPr>
          <w:rFonts w:hint="eastAsia" w:ascii="仿宋" w:hAnsi="仿宋" w:eastAsia="仿宋" w:cs="仿宋"/>
          <w:kern w:val="0"/>
          <w:sz w:val="32"/>
          <w:szCs w:val="32"/>
        </w:rPr>
      </w:pPr>
      <w:r>
        <w:rPr>
          <w:rFonts w:hint="eastAsia" w:ascii="宋体" w:hAnsi="宋体" w:eastAsia="宋体" w:cs="宋体"/>
          <w:kern w:val="0"/>
          <w:sz w:val="24"/>
          <w:szCs w:val="24"/>
        </w:rPr>
        <w:t xml:space="preserve">                                   </w:t>
      </w:r>
      <w:r>
        <w:rPr>
          <w:rFonts w:hint="eastAsia" w:ascii="仿宋" w:hAnsi="仿宋" w:eastAsia="仿宋" w:cs="仿宋"/>
          <w:kern w:val="0"/>
          <w:sz w:val="32"/>
          <w:szCs w:val="32"/>
        </w:rPr>
        <w:t>海南卫生健康职业学院</w:t>
      </w:r>
    </w:p>
    <w:p>
      <w:pPr>
        <w:pStyle w:val="8"/>
        <w:keepNext w:val="0"/>
        <w:keepLines w:val="0"/>
        <w:widowControl/>
        <w:suppressLineNumbers w:val="0"/>
        <w:autoSpaceDE w:val="0"/>
        <w:autoSpaceDN/>
        <w:spacing w:beforeAutospacing="0" w:afterAutospacing="0" w:line="240" w:lineRule="auto"/>
        <w:ind w:left="0" w:firstLine="0" w:firstLineChars="0"/>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 xml:space="preserve"> 202</w:t>
      </w:r>
      <w:r>
        <w:rPr>
          <w:rFonts w:hint="eastAsia" w:ascii="仿宋" w:hAnsi="仿宋" w:eastAsia="仿宋" w:cs="仿宋"/>
          <w:kern w:val="0"/>
          <w:sz w:val="32"/>
          <w:szCs w:val="32"/>
          <w:lang w:val="en-US" w:eastAsia="zh-CN"/>
        </w:rPr>
        <w:t>3</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4</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18</w:t>
      </w:r>
      <w:r>
        <w:rPr>
          <w:rFonts w:hint="eastAsia" w:ascii="仿宋" w:hAnsi="仿宋" w:eastAsia="仿宋" w:cs="仿宋"/>
          <w:kern w:val="0"/>
          <w:sz w:val="32"/>
          <w:szCs w:val="32"/>
        </w:rPr>
        <w:t>日</w:t>
      </w: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sectPr>
      <w:pgSz w:w="11906" w:h="16839"/>
      <w:pgMar w:top="1440" w:right="1800" w:bottom="1440" w:left="1800"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8EDE77"/>
    <w:multiLevelType w:val="singleLevel"/>
    <w:tmpl w:val="908EDE77"/>
    <w:lvl w:ilvl="0" w:tentative="0">
      <w:start w:val="4"/>
      <w:numFmt w:val="chineseCounting"/>
      <w:suff w:val="nothing"/>
      <w:lvlText w:val="（%1）"/>
      <w:lvlJc w:val="left"/>
      <w:rPr>
        <w:rFonts w:hint="eastAsia"/>
      </w:rPr>
    </w:lvl>
  </w:abstractNum>
  <w:abstractNum w:abstractNumId="1">
    <w:nsid w:val="92492576"/>
    <w:multiLevelType w:val="singleLevel"/>
    <w:tmpl w:val="92492576"/>
    <w:lvl w:ilvl="0" w:tentative="0">
      <w:start w:val="1"/>
      <w:numFmt w:val="chineseCounting"/>
      <w:suff w:val="nothing"/>
      <w:lvlText w:val="（%1）"/>
      <w:lvlJc w:val="left"/>
      <w:rPr>
        <w:rFonts w:hint="eastAsia"/>
      </w:rPr>
    </w:lvl>
  </w:abstractNum>
  <w:abstractNum w:abstractNumId="2">
    <w:nsid w:val="ED806A54"/>
    <w:multiLevelType w:val="multilevel"/>
    <w:tmpl w:val="ED806A54"/>
    <w:lvl w:ilvl="0" w:tentative="0">
      <w:start w:val="2"/>
      <w:numFmt w:val="decimal"/>
      <w:suff w:val="nothing"/>
      <w:lvlText w:val="（%1）"/>
      <w:lvlJc w:val="left"/>
      <w:pPr>
        <w:tabs>
          <w:tab w:val="left" w:pos="0"/>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
    <w:nsid w:val="F69910A9"/>
    <w:multiLevelType w:val="singleLevel"/>
    <w:tmpl w:val="F69910A9"/>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MmNjNTE5ZTVlYzYyYWU1YzBjODExYmQ0MTZhZGIifQ=="/>
  </w:docVars>
  <w:rsids>
    <w:rsidRoot w:val="6C5C7804"/>
    <w:rsid w:val="4C7E1AAB"/>
    <w:rsid w:val="6C5C7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left"/>
    </w:pPr>
    <w:rPr>
      <w:rFonts w:asciiTheme="minorEastAsia" w:hAnsiTheme="minorEastAsia" w:eastAsiaTheme="minorEastAsia" w:cstheme="minorEastAsia"/>
      <w:kern w:val="0"/>
      <w:sz w:val="24"/>
      <w:szCs w:val="24"/>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before="0" w:beforeAutospacing="0" w:after="0" w:afterAutospacing="0"/>
      <w:ind w:left="0" w:right="0" w:firstLine="420"/>
      <w:jc w:val="left"/>
    </w:pPr>
    <w:rPr>
      <w:rFonts w:hint="eastAsia" w:ascii="宋体" w:hAnsi="宋体" w:eastAsia="宋体" w:cs="宋体"/>
      <w:kern w:val="0"/>
      <w:sz w:val="24"/>
      <w:szCs w:val="24"/>
      <w:lang w:val="en-US" w:eastAsia="zh-CN" w:bidi="ar"/>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styleId="5">
    <w:name w:val="Table Grid"/>
    <w:basedOn w:val="4"/>
    <w:semiHidden/>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7">
    <w:name w:val="Strong"/>
    <w:basedOn w:val="6"/>
    <w:qFormat/>
    <w:uiPriority w:val="0"/>
    <w:rPr>
      <w:b/>
    </w:rPr>
  </w:style>
  <w:style w:type="paragraph" w:customStyle="1" w:styleId="8">
    <w:name w:val="普通(网站) Char"/>
    <w:basedOn w:val="1"/>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3096</Words>
  <Characters>3372</Characters>
  <Lines>0</Lines>
  <Paragraphs>0</Paragraphs>
  <TotalTime>54</TotalTime>
  <ScaleCrop>false</ScaleCrop>
  <LinksUpToDate>false</LinksUpToDate>
  <CharactersWithSpaces>3449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2023-04-18T01:30:00Z</dcterms:created>
  <dc:creator>ASUS</dc:creator>
  <cp:lastModifiedBy>ASUS</cp:lastModifiedBy>
  <dcterms:modified xsi:type="dcterms:W3CDTF">2023-04-19T01:13:34Z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0A5FF42F2120461997A034781F4206D8_12</vt:lpwstr>
  </property>
</Properties>
</file>