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cs="宋体"/>
          <w:b/>
          <w:bCs/>
          <w:kern w:val="0"/>
          <w:sz w:val="44"/>
          <w:szCs w:val="44"/>
          <w:lang w:val="en-US" w:eastAsia="zh-CN"/>
        </w:rPr>
        <w:t>海南省人民医院</w:t>
      </w:r>
    </w:p>
    <w:p>
      <w:pPr>
        <w:spacing w:line="360" w:lineRule="auto"/>
        <w:jc w:val="center"/>
        <w:rPr>
          <w:rFonts w:hint="eastAsia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default" w:cs="宋体"/>
          <w:b/>
          <w:bCs/>
          <w:kern w:val="0"/>
          <w:sz w:val="44"/>
          <w:szCs w:val="44"/>
          <w:lang w:val="en-US" w:eastAsia="zh-CN"/>
        </w:rPr>
        <w:t>2022</w:t>
      </w:r>
      <w:r>
        <w:rPr>
          <w:rFonts w:hint="eastAsia" w:cs="宋体"/>
          <w:b/>
          <w:bCs/>
          <w:kern w:val="0"/>
          <w:sz w:val="44"/>
          <w:szCs w:val="44"/>
          <w:lang w:val="en-US" w:eastAsia="zh-CN"/>
        </w:rPr>
        <w:t>年度</w:t>
      </w:r>
      <w:r>
        <w:rPr>
          <w:rFonts w:hint="default" w:cs="宋体"/>
          <w:b/>
          <w:bCs/>
          <w:kern w:val="0"/>
          <w:sz w:val="44"/>
          <w:szCs w:val="44"/>
          <w:lang w:val="en-US" w:eastAsia="zh-CN"/>
        </w:rPr>
        <w:t>新冠疫情防控经费</w:t>
      </w:r>
      <w:r>
        <w:rPr>
          <w:rFonts w:hint="eastAsia" w:cs="宋体"/>
          <w:b/>
          <w:bCs/>
          <w:kern w:val="0"/>
          <w:sz w:val="44"/>
          <w:szCs w:val="44"/>
          <w:lang w:val="en-US" w:eastAsia="zh-CN"/>
        </w:rPr>
        <w:t>项目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支出绩效自评报告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 xml:space="preserve"> </w:t>
      </w:r>
      <w:bookmarkStart w:id="0" w:name="_GoBack"/>
      <w:bookmarkEnd w:id="0"/>
    </w:p>
    <w:p>
      <w:pPr>
        <w:spacing w:line="360" w:lineRule="auto"/>
        <w:ind w:left="0" w:firstLine="640" w:firstLineChars="200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</w:rPr>
        <w:t>一、项目概况</w:t>
      </w:r>
      <w:r>
        <w:rPr>
          <w:rFonts w:hint="eastAsia" w:ascii="宋体" w:hAnsi="宋体" w:eastAsia="宋体" w:cs="宋体"/>
          <w:kern w:val="0"/>
          <w:sz w:val="32"/>
          <w:szCs w:val="32"/>
        </w:rPr>
        <w:t xml:space="preserve">    </w:t>
      </w:r>
    </w:p>
    <w:p>
      <w:pPr>
        <w:spacing w:line="360" w:lineRule="auto"/>
        <w:ind w:left="0" w:firstLine="640" w:firstLineChars="200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（一）项目基本情况：</w:t>
      </w:r>
    </w:p>
    <w:p>
      <w:pPr>
        <w:spacing w:line="360" w:lineRule="auto"/>
        <w:ind w:left="0" w:firstLine="640" w:firstLineChars="200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根据疫情防控需要，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省财政厅、省</w:t>
      </w:r>
      <w:r>
        <w:rPr>
          <w:rFonts w:hint="default" w:ascii="仿宋_GB2312" w:hAnsi="宋体" w:eastAsia="仿宋_GB2312" w:cs="仿宋_GB2312"/>
          <w:kern w:val="0"/>
          <w:sz w:val="32"/>
          <w:szCs w:val="32"/>
        </w:rPr>
        <w:t>卫健委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下达</w:t>
      </w:r>
      <w:r>
        <w:rPr>
          <w:rFonts w:hint="default" w:ascii="仿宋_GB2312" w:hAnsi="宋体" w:eastAsia="仿宋_GB2312" w:cs="仿宋_GB2312"/>
          <w:kern w:val="0"/>
          <w:sz w:val="32"/>
          <w:szCs w:val="32"/>
        </w:rPr>
        <w:t>新冠疫情防控经费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用于</w:t>
      </w:r>
      <w:r>
        <w:rPr>
          <w:rFonts w:hint="default" w:ascii="仿宋_GB2312" w:hAnsi="宋体" w:eastAsia="仿宋_GB2312" w:cs="仿宋_GB2312"/>
          <w:kern w:val="0"/>
          <w:sz w:val="32"/>
          <w:szCs w:val="32"/>
        </w:rPr>
        <w:t>购置一批移动方舱实验室，其中一套投放至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我院</w:t>
      </w:r>
      <w:r>
        <w:rPr>
          <w:rFonts w:hint="default" w:ascii="仿宋_GB2312" w:hAnsi="宋体" w:eastAsia="仿宋_GB2312" w:cs="仿宋_GB2312"/>
          <w:kern w:val="0"/>
          <w:sz w:val="32"/>
          <w:szCs w:val="32"/>
        </w:rPr>
        <w:t>主要用于新冠病毒核酸检测，以提升核酸检测能力短板。移动方舱实验室实际购置金额为</w:t>
      </w:r>
      <w:r>
        <w:rPr>
          <w:rFonts w:hint="default" w:ascii="仿宋_GB2312" w:eastAsia="仿宋_GB2312" w:cs="仿宋_GB2312"/>
          <w:kern w:val="0"/>
          <w:sz w:val="32"/>
          <w:szCs w:val="32"/>
          <w:lang w:val="en-US"/>
        </w:rPr>
        <w:t>620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万</w:t>
      </w:r>
      <w:r>
        <w:rPr>
          <w:rFonts w:hint="default" w:ascii="仿宋_GB2312" w:hAnsi="宋体" w:eastAsia="仿宋_GB2312" w:cs="仿宋_GB2312"/>
          <w:kern w:val="0"/>
          <w:sz w:val="32"/>
          <w:szCs w:val="32"/>
        </w:rPr>
        <w:t>元/套（在预算金额</w:t>
      </w:r>
      <w:r>
        <w:rPr>
          <w:rFonts w:hint="default" w:ascii="仿宋_GB2312" w:eastAsia="仿宋_GB2312" w:cs="仿宋_GB2312"/>
          <w:kern w:val="0"/>
          <w:sz w:val="32"/>
          <w:szCs w:val="32"/>
          <w:lang w:val="en-US"/>
        </w:rPr>
        <w:t>650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万</w:t>
      </w:r>
      <w:r>
        <w:rPr>
          <w:rFonts w:hint="default" w:ascii="仿宋_GB2312" w:hAnsi="宋体" w:eastAsia="仿宋_GB2312" w:cs="仿宋_GB2312"/>
          <w:kern w:val="0"/>
          <w:sz w:val="32"/>
          <w:szCs w:val="32"/>
        </w:rPr>
        <w:t>元/套以内）。</w:t>
      </w:r>
    </w:p>
    <w:p>
      <w:pPr>
        <w:spacing w:line="360" w:lineRule="auto"/>
        <w:ind w:left="0" w:firstLine="640" w:firstLineChars="200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 xml:space="preserve">（二）项目年度预算绩效目标和绩效指标设定情况  </w:t>
      </w:r>
    </w:p>
    <w:p>
      <w:pPr>
        <w:spacing w:line="360" w:lineRule="auto"/>
        <w:ind w:left="0" w:firstLine="640" w:firstLineChars="200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总体目标：进一步提升核酸检测能力短板，日检测能力达到5000管/日，缩短核酸检测出结果时间为4-6小时。</w:t>
      </w:r>
    </w:p>
    <w:p>
      <w:pPr>
        <w:spacing w:line="360" w:lineRule="auto"/>
        <w:ind w:left="0" w:firstLine="640" w:firstLineChars="200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2022年年度目标：进一步提升核酸检测能力短板，日检测能力达到5000管/日，缩短核酸检测出结果时间为4-6小时。</w:t>
      </w:r>
    </w:p>
    <w:p>
      <w:pPr>
        <w:spacing w:line="360" w:lineRule="auto"/>
        <w:ind w:left="0" w:firstLine="640" w:firstLineChars="200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当年年度目标完成情况：已达到提升核酸检测能力短板的年度目标。2022年全年完成60余万管核酸标本检测。2022年12月份完成78711管标本检测，最高日检测量为5180管，日检测能力达到5000管/日。缩短核酸检测时间，绿色通道标本为2-3小时出结果，发热门诊为3-4小时出结果，其余标本为6小时出结果。</w:t>
      </w:r>
    </w:p>
    <w:p>
      <w:pPr>
        <w:spacing w:line="360" w:lineRule="auto"/>
        <w:ind w:left="0" w:firstLine="640" w:firstLineChars="200"/>
        <w:jc w:val="left"/>
        <w:rPr>
          <w:rFonts w:hint="eastAsia" w:ascii="黑体" w:hAnsi="宋体" w:eastAsia="黑体" w:cs="黑体"/>
          <w:kern w:val="0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</w:rPr>
        <w:t xml:space="preserve">二、项目决策及资金使用管理情况 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（一）项目决策情况（包括决策过程和结果）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海南省卫生健康委员会完成项目决策。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 xml:space="preserve">（二）项目资金（包括财政资金、自筹资金等）安排落实、总投入等情况 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预算情况如下：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资金总额-年初预算数0元，资金总额-全年预算数6500000元，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财政资金-年初预算数0元，财政资金-全年预算数6500000元，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专户-年初预算数0元，专户全年预算数0元，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单位年初预算数0元，单位全年预算数0元。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（三）项目资金（主要是指财政资金）实际使用情况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资金执行情况如下：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资金总额-全年执行数6200000元，资金总额-执行率0元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其中：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财政资金-全年执行数6200000元，财政资金-执行率95.38%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专户全年执行数0元，专户-执行率0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单位全年执行数0元，单位全年执行率0.00%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（四）项目资金管理情况（包括管理制度、办法的制订及执行情况）</w:t>
      </w:r>
    </w:p>
    <w:p>
      <w:pPr>
        <w:keepNext w:val="0"/>
        <w:keepLines w:val="0"/>
        <w:widowControl/>
        <w:suppressLineNumbers w:val="0"/>
        <w:spacing w:line="360" w:lineRule="auto"/>
        <w:ind w:left="0" w:firstLine="640"/>
        <w:rPr>
          <w:rFonts w:hint="default" w:ascii="仿宋_GB2312" w:hAnsi="宋体" w:eastAsia="仿宋_GB2312" w:cs="仿宋_GB2312"/>
          <w:kern w:val="0"/>
          <w:sz w:val="31"/>
          <w:szCs w:val="31"/>
        </w:rPr>
      </w:pPr>
      <w:r>
        <w:rPr>
          <w:rFonts w:hint="default" w:ascii="仿宋_GB2312" w:hAnsi="宋体" w:eastAsia="仿宋_GB2312" w:cs="仿宋_GB2312"/>
          <w:kern w:val="0"/>
          <w:sz w:val="31"/>
          <w:szCs w:val="31"/>
        </w:rPr>
        <w:t>根据项目推进情况，做好用款计划，确保预算支出及时、均衡。项目资金管理严格按照院《财务会计内部控制制度》、《经费审批及报销制度》等相关文件规定执行，经费报销逐级审批，大额资金支付经院长办公会、党委会审议。建立专项资金管理制度和会计核算制度，强化预算约束，确保资金专款专用、不挪用、不占用。按月通报专项资金执行情况，切实提高资金使用效益。</w:t>
      </w:r>
    </w:p>
    <w:p>
      <w:pPr>
        <w:spacing w:line="360" w:lineRule="auto"/>
        <w:ind w:left="0" w:firstLine="640" w:firstLineChars="200"/>
        <w:jc w:val="left"/>
        <w:rPr>
          <w:rFonts w:hint="eastAsia" w:ascii="黑体" w:hAnsi="宋体" w:eastAsia="黑体" w:cs="黑体"/>
          <w:kern w:val="0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</w:rPr>
        <w:t>三、项目组织实施情况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（一）项目组织情况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根据2022 年8 月26 日海南省卫生健康委员会发布的《关于做好采购移动方舱实验室签订合同和接收验收使用工作的通知》要求，为进一步提升我省核酸检测能力，更好应对新冠肺炎疫情，经省委省政府决策部署，按照便利化统采分签方式，为各单位配备移动方舱实验室。经委托海南政采招投标有限公司，按照《财政部办公厅关于疫情防控采购便利化的通知》（财办库〔2020〕23 号）、《财政部办公厅关于疫情防控期间开展政府采购活动有关事项的通知》（财办库〔2020〕29 号）文件精神，完成项目采购评审等工作，海南九州通医疗器械科技有限公司为中标单位。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2022年9月24日方舱吊装完毕，9月底通水电。由于海南雨水较多，2022年10月OA申请配置顶棚，2023年3月顶棚配置完成。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2022年11月清点配套仪器，12月完成舱体验收。</w:t>
      </w:r>
    </w:p>
    <w:p>
      <w:pPr>
        <w:numPr>
          <w:ilvl w:val="0"/>
          <w:numId w:val="1"/>
        </w:num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项目管理情况</w:t>
      </w:r>
    </w:p>
    <w:p>
      <w:pPr>
        <w:spacing w:line="360" w:lineRule="auto"/>
        <w:ind w:left="0" w:right="0" w:rightChars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日常管理建设：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做预实验（性能验证），编写操作规程，培训人员，安排人员做日常维护保养。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日常检测督查：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 xml:space="preserve"> 2023年2月10日下午，吴彪部长、蔡俊宏主任带领院感疾控部、科研部工作人员对新冠核酸检测实验室进行了</w:t>
      </w:r>
      <w:r>
        <w:rPr>
          <w:rFonts w:hint="eastAsia" w:ascii="宋体" w:hAnsi="宋体" w:eastAsia="宋体" w:cs="宋体"/>
          <w:kern w:val="0"/>
          <w:sz w:val="32"/>
          <w:szCs w:val="32"/>
        </w:rPr>
        <w:t>“</w:t>
      </w:r>
      <w:r>
        <w:rPr>
          <w:rFonts w:hint="default" w:ascii="仿宋_GB2312" w:hAnsi="宋体" w:eastAsia="仿宋_GB2312" w:cs="仿宋_GB2312"/>
          <w:kern w:val="0"/>
          <w:sz w:val="32"/>
          <w:szCs w:val="32"/>
        </w:rPr>
        <w:t>海南省人民医院2023年第一季度新冠病毒实验室生物安全检查</w:t>
      </w:r>
      <w:r>
        <w:rPr>
          <w:rFonts w:hint="eastAsia" w:ascii="宋体" w:hAnsi="宋体" w:eastAsia="宋体" w:cs="宋体"/>
          <w:kern w:val="0"/>
          <w:sz w:val="32"/>
          <w:szCs w:val="32"/>
        </w:rPr>
        <w:t>”</w:t>
      </w:r>
      <w:r>
        <w:rPr>
          <w:rFonts w:hint="default" w:ascii="仿宋_GB2312" w:hAnsi="宋体" w:eastAsia="仿宋_GB2312" w:cs="仿宋_GB2312"/>
          <w:kern w:val="0"/>
          <w:sz w:val="32"/>
          <w:szCs w:val="32"/>
        </w:rPr>
        <w:t>。在检查中发现新冠核酸检测实验室存在以下问题：方舱标识不清，未设置人员、标本运输等标识；方舱医疗废弃物处置不规范，周围囤放杂物过多。针对存在问题，新冠核酸检测实验室及时完成整改。具体整改措施如下：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1. 增加标识：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 xml:space="preserve"> 梳理动线，设计标识，并通过OA提交诉求，3月7日已整改完成。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2. 整理环境：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将周边不需要的物品，尤其是多余的垃圾桶撤除，联系爱玛客配备的保洁员对满桶的垃圾及时清理。</w:t>
      </w:r>
    </w:p>
    <w:p>
      <w:pPr>
        <w:spacing w:line="360" w:lineRule="auto"/>
        <w:ind w:left="0" w:firstLine="640" w:firstLineChars="200"/>
        <w:jc w:val="left"/>
        <w:rPr>
          <w:rFonts w:hint="eastAsia" w:ascii="黑体" w:hAnsi="宋体" w:eastAsia="黑体" w:cs="黑体"/>
          <w:kern w:val="0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</w:rPr>
        <w:t>四、项目绩效情况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（一）项目绩效目标完成情况。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2023年12月疫情防控放开，新冠病毒感染人数激增，方舱实验室24小时运行，当月完成78711管新冠病毒核酸标本检测，最高日检测量为5180管。并且保障绿色通道标本2-3小时出结果，发热门诊标本3-4小时出结果，其余标本6小时出结果。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新方舱的工作空间大，仪器设备配置齐全，适于大规模样本的检测，成为12月疫情暴发期间核酸检测工作的强力支持，使得核酸检测无论是量还是速度都有明显提升，为抗疫做出积极贡献。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（二）项目绩效目标未完成情况及原因分析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无。</w:t>
      </w:r>
    </w:p>
    <w:p>
      <w:pPr>
        <w:spacing w:line="360" w:lineRule="auto"/>
        <w:ind w:left="0" w:firstLine="640" w:firstLineChars="200"/>
        <w:jc w:val="left"/>
        <w:rPr>
          <w:rFonts w:hint="eastAsia" w:ascii="黑体" w:hAnsi="宋体" w:eastAsia="黑体" w:cs="黑体"/>
          <w:kern w:val="0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</w:rPr>
        <w:t>五、其他需要说明的问题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（一）后续工作计划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常态化疫情防控期间，在高质量完成现有核酸检测工作的同时，进一步做好流程优化、人员培训、设备维护等工作，为可能出现的大规模疫情做好检测能力储备。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（二）主要经验及做法、存在问题和建议</w:t>
      </w:r>
    </w:p>
    <w:p>
      <w:pPr>
        <w:spacing w:line="360" w:lineRule="auto"/>
        <w:ind w:left="0" w:firstLine="640" w:firstLineChars="200"/>
        <w:jc w:val="left"/>
        <w:rPr>
          <w:rFonts w:hint="default" w:ascii="仿宋_GB2312" w:hAnsi="宋体" w:eastAsia="仿宋_GB2312" w:cs="仿宋_GB2312"/>
          <w:kern w:val="0"/>
          <w:sz w:val="32"/>
          <w:szCs w:val="32"/>
        </w:rPr>
      </w:pPr>
      <w:r>
        <w:rPr>
          <w:rFonts w:hint="default" w:ascii="仿宋_GB2312" w:hAnsi="宋体" w:eastAsia="仿宋_GB2312" w:cs="仿宋_GB2312"/>
          <w:kern w:val="0"/>
          <w:sz w:val="32"/>
          <w:szCs w:val="32"/>
        </w:rPr>
        <w:t>建议提前考虑当地气候等特殊因素，有计划地购置顶棚等防雨、防晒设备。</w:t>
      </w: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2"/>
      <w:numFmt w:val="chineseCounting"/>
      <w:suff w:val="nothing"/>
      <w:lvlText w:val="（%1）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E4BC4"/>
    <w:rsid w:val="094B6CE2"/>
    <w:rsid w:val="0A9C6FBC"/>
    <w:rsid w:val="0AB0774F"/>
    <w:rsid w:val="190266C4"/>
    <w:rsid w:val="26F03F9F"/>
    <w:rsid w:val="27EC0799"/>
    <w:rsid w:val="70E66A86"/>
    <w:rsid w:val="78291407"/>
    <w:rsid w:val="7C742D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styleId="2">
    <w:name w:val="heading 1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paragraph" w:styleId="3">
    <w:name w:val="heading 2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/>
    </w:rPr>
  </w:style>
  <w:style w:type="paragraph" w:styleId="4">
    <w:name w:val="heading 3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paragraph" w:styleId="5">
    <w:name w:val="heading 4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/>
    </w:rPr>
  </w:style>
  <w:style w:type="paragraph" w:styleId="6">
    <w:name w:val="heading 5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4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/>
    </w:rPr>
  </w:style>
  <w:style w:type="paragraph" w:styleId="7">
    <w:name w:val="heading 6"/>
    <w:basedOn w:val="1"/>
    <w:next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  <w:outlineLvl w:val="5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/>
    </w:rPr>
  </w:style>
  <w:style w:type="character" w:default="1" w:styleId="13">
    <w:name w:val="Default Paragraph Font"/>
    <w:qFormat/>
    <w:uiPriority w:val="99"/>
  </w:style>
  <w:style w:type="table" w:default="1" w:styleId="12">
    <w:name w:val="Normal Table"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/>
    </w:rPr>
  </w:style>
  <w:style w:type="paragraph" w:styleId="9">
    <w:name w:val="header"/>
    <w:basedOn w:val="1"/>
    <w:uiPriority w:val="0"/>
    <w:pPr>
      <w:keepNext w:val="0"/>
      <w:keepLines w:val="0"/>
      <w:widowControl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snapToGrid w:val="0"/>
      <w:spacing w:before="0" w:beforeAutospacing="0" w:after="0" w:afterAutospacing="0"/>
      <w:ind w:left="0" w:right="0"/>
      <w:jc w:val="center"/>
    </w:pPr>
    <w:rPr>
      <w:rFonts w:hint="eastAsia" w:ascii="宋体" w:hAnsi="宋体" w:eastAsia="宋体" w:cs="宋体"/>
      <w:kern w:val="0"/>
      <w:sz w:val="18"/>
      <w:szCs w:val="18"/>
      <w:lang w:val="en-US" w:eastAsia="zh-CN"/>
    </w:rPr>
  </w:style>
  <w:style w:type="paragraph" w:styleId="10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styleId="11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character" w:customStyle="1" w:styleId="14">
    <w:name w:val="16"/>
    <w:basedOn w:val="13"/>
    <w:uiPriority w:val="0"/>
    <w:rPr>
      <w:rFonts w:hint="default" w:ascii="Times New Roman" w:hAnsi="Times New Roman" w:cs="Times New Roman"/>
      <w:b/>
    </w:rPr>
  </w:style>
  <w:style w:type="character" w:customStyle="1" w:styleId="15">
    <w:name w:val="18"/>
    <w:basedOn w:val="13"/>
    <w:qFormat/>
    <w:uiPriority w:val="0"/>
    <w:rPr>
      <w:rFonts w:hint="default" w:ascii="Cambria" w:hAnsi="Cambria" w:eastAsia="宋体" w:cs="Times New Roman"/>
      <w:b/>
      <w:bCs/>
      <w:sz w:val="28"/>
      <w:szCs w:val="28"/>
    </w:rPr>
  </w:style>
  <w:style w:type="paragraph" w:customStyle="1" w:styleId="16">
    <w:name w:val="HTML 预设格式 Char1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character" w:customStyle="1" w:styleId="17">
    <w:name w:val="28"/>
    <w:basedOn w:val="13"/>
    <w:qFormat/>
    <w:uiPriority w:val="0"/>
    <w:rPr>
      <w:rFonts w:hint="eastAsia" w:ascii="宋体" w:hAnsi="宋体" w:eastAsia="宋体" w:cs="宋体"/>
      <w:b/>
      <w:bCs/>
      <w:sz w:val="32"/>
      <w:szCs w:val="32"/>
    </w:rPr>
  </w:style>
  <w:style w:type="character" w:customStyle="1" w:styleId="18">
    <w:name w:val="15"/>
    <w:basedOn w:val="13"/>
    <w:uiPriority w:val="0"/>
    <w:rPr>
      <w:rFonts w:hint="eastAsia" w:ascii="宋体" w:hAnsi="宋体" w:eastAsia="宋体" w:cs="宋体"/>
      <w:sz w:val="18"/>
      <w:szCs w:val="18"/>
    </w:rPr>
  </w:style>
  <w:style w:type="character" w:customStyle="1" w:styleId="19">
    <w:name w:val="10"/>
    <w:basedOn w:val="13"/>
    <w:uiPriority w:val="0"/>
    <w:rPr>
      <w:rFonts w:hint="default" w:ascii="Times New Roman" w:hAnsi="Times New Roman" w:cs="Times New Roman"/>
    </w:rPr>
  </w:style>
  <w:style w:type="character" w:customStyle="1" w:styleId="20">
    <w:name w:val="20"/>
    <w:basedOn w:val="13"/>
    <w:uiPriority w:val="0"/>
    <w:rPr>
      <w:rFonts w:hint="eastAsia" w:ascii="宋体" w:hAnsi="宋体" w:eastAsia="宋体" w:cs="宋体"/>
      <w:b/>
      <w:bCs/>
      <w:kern w:val="44"/>
      <w:sz w:val="44"/>
      <w:szCs w:val="44"/>
    </w:rPr>
  </w:style>
  <w:style w:type="character" w:customStyle="1" w:styleId="21">
    <w:name w:val="17"/>
    <w:basedOn w:val="13"/>
    <w:uiPriority w:val="0"/>
    <w:rPr>
      <w:rFonts w:hint="default" w:ascii="Courier New" w:hAnsi="Courier New" w:eastAsia="宋体" w:cs="Courier New"/>
    </w:rPr>
  </w:style>
  <w:style w:type="character" w:customStyle="1" w:styleId="22">
    <w:name w:val="19"/>
    <w:basedOn w:val="13"/>
    <w:uiPriority w:val="0"/>
    <w:rPr>
      <w:rFonts w:hint="default" w:ascii="Times New Roman" w:hAnsi="Times New Roman" w:cs="Times New Roman"/>
    </w:rPr>
  </w:style>
  <w:style w:type="character" w:customStyle="1" w:styleId="23">
    <w:name w:val="21"/>
    <w:basedOn w:val="13"/>
    <w:uiPriority w:val="0"/>
    <w:rPr>
      <w:rFonts w:hint="default" w:ascii="Cambria" w:hAnsi="Cambria" w:eastAsia="宋体" w:cs="Times New Roman"/>
      <w:b/>
      <w:bCs/>
      <w:sz w:val="24"/>
      <w:szCs w:val="24"/>
    </w:rPr>
  </w:style>
  <w:style w:type="character" w:customStyle="1" w:styleId="24">
    <w:name w:val="22"/>
    <w:basedOn w:val="13"/>
    <w:uiPriority w:val="0"/>
    <w:rPr>
      <w:rFonts w:hint="default" w:ascii="Times New Roman" w:hAnsi="Times New Roman" w:cs="Times New Roman"/>
    </w:rPr>
  </w:style>
  <w:style w:type="character" w:customStyle="1" w:styleId="25">
    <w:name w:val="23"/>
    <w:basedOn w:val="13"/>
    <w:qFormat/>
    <w:uiPriority w:val="0"/>
    <w:rPr>
      <w:rFonts w:hint="default" w:ascii="Times New Roman" w:hAnsi="Times New Roman" w:cs="Times New Roman"/>
    </w:rPr>
  </w:style>
  <w:style w:type="character" w:customStyle="1" w:styleId="26">
    <w:name w:val="24"/>
    <w:basedOn w:val="13"/>
    <w:uiPriority w:val="0"/>
    <w:rPr>
      <w:rFonts w:hint="eastAsia" w:ascii="宋体" w:hAnsi="宋体" w:eastAsia="宋体" w:cs="宋体"/>
      <w:b/>
      <w:bCs/>
      <w:sz w:val="28"/>
      <w:szCs w:val="28"/>
    </w:rPr>
  </w:style>
  <w:style w:type="character" w:customStyle="1" w:styleId="27">
    <w:name w:val="25"/>
    <w:basedOn w:val="13"/>
    <w:uiPriority w:val="0"/>
    <w:rPr>
      <w:rFonts w:hint="default" w:ascii="Times New Roman" w:hAnsi="Times New Roman" w:cs="Times New Roman"/>
    </w:rPr>
  </w:style>
  <w:style w:type="character" w:customStyle="1" w:styleId="28">
    <w:name w:val="26"/>
    <w:basedOn w:val="13"/>
    <w:uiPriority w:val="0"/>
    <w:rPr>
      <w:rFonts w:hint="default" w:ascii="Times New Roman" w:hAnsi="Times New Roman" w:cs="Times New Roman"/>
    </w:rPr>
  </w:style>
  <w:style w:type="character" w:customStyle="1" w:styleId="29">
    <w:name w:val="27"/>
    <w:basedOn w:val="13"/>
    <w:uiPriority w:val="0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30">
    <w:name w:val="29"/>
    <w:basedOn w:val="13"/>
    <w:uiPriority w:val="0"/>
    <w:rPr>
      <w:rFonts w:hint="eastAsia" w:ascii="宋体" w:hAnsi="宋体" w:eastAsia="宋体" w:cs="宋体"/>
      <w:sz w:val="18"/>
      <w:szCs w:val="18"/>
    </w:rPr>
  </w:style>
  <w:style w:type="paragraph" w:customStyle="1" w:styleId="31">
    <w:name w:val="HTML 预设格式 Char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customStyle="1" w:styleId="32">
    <w:name w:val="普通(网站) Char"/>
    <w:basedOn w:val="1"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customStyle="1" w:styleId="33">
    <w:name w:val="普通(网站) Char Char"/>
    <w:basedOn w:val="1"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customStyle="1" w:styleId="34">
    <w:name w:val="pre Char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1788</Words>
  <Characters>1924</Characters>
  <Paragraphs>52</Paragraphs>
  <TotalTime>0</TotalTime>
  <ScaleCrop>false</ScaleCrop>
  <LinksUpToDate>false</LinksUpToDate>
  <CharactersWithSpaces>1942</CharactersWithSpaces>
  <Application>WPS Office_11.8.2.10912_F1E327BC-269C-435d-A152-05C5408002CA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2023-04-17T14:57:00Z</dcterms:created>
  <dc:creator>Lenovo</dc:creator>
  <cp:lastModifiedBy>Lenovo</cp:lastModifiedBy>
  <cp:lastPrinted>2023-04-18T02:17:13Z</cp:lastPrinted>
  <dcterms:modified xsi:type="dcterms:W3CDTF">2023-04-18T02:17:51Z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cf24c95920f9464c888d2c7c5a006e54_23</vt:lpwstr>
  </property>
</Properties>
</file>