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-11"/>
          <w:kern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-11"/>
          <w:kern w:val="0"/>
          <w:sz w:val="44"/>
          <w:szCs w:val="44"/>
          <w:lang w:eastAsia="zh-CN"/>
        </w:rPr>
        <w:t>海南省血液中心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-11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-11"/>
          <w:kern w:val="0"/>
          <w:sz w:val="44"/>
          <w:szCs w:val="44"/>
          <w:lang w:eastAsia="zh-CN"/>
        </w:rPr>
        <w:t>“</w:t>
      </w:r>
      <w:r>
        <w:rPr>
          <w:rFonts w:hint="default" w:ascii="方正小标宋_GBK" w:hAnsi="方正小标宋_GBK" w:eastAsia="方正小标宋_GBK" w:cs="方正小标宋_GBK"/>
          <w:b w:val="0"/>
          <w:bCs w:val="0"/>
          <w:color w:val="000000"/>
          <w:spacing w:val="-11"/>
          <w:kern w:val="0"/>
          <w:sz w:val="44"/>
          <w:szCs w:val="44"/>
          <w:lang w:eastAsia="zh-CN"/>
        </w:rPr>
        <w:t>采供血机构能力建设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-11"/>
          <w:kern w:val="0"/>
          <w:sz w:val="44"/>
          <w:szCs w:val="44"/>
          <w:lang w:eastAsia="zh-CN"/>
        </w:rPr>
        <w:t>”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-11"/>
          <w:kern w:val="0"/>
          <w:sz w:val="44"/>
          <w:szCs w:val="44"/>
        </w:rPr>
        <w:t>项目支出绩效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Times New Roman" w:hAnsi="Times New Roman" w:eastAsia="黑体" w:cs="Times New Roman"/>
          <w:spacing w:val="-11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-11"/>
          <w:kern w:val="0"/>
          <w:sz w:val="44"/>
          <w:szCs w:val="44"/>
          <w:lang w:eastAsia="zh-CN"/>
        </w:rPr>
        <w:t>自评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-11"/>
          <w:kern w:val="0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tabs>
          <w:tab w:val="left" w:pos="61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45" w:firstLineChars="250"/>
        <w:rPr>
          <w:rFonts w:hint="eastAsia" w:ascii="Times New Roman" w:hAnsi="Times New Roman" w:eastAsia="黑体" w:cs="Times New Roman"/>
          <w:spacing w:val="-11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pacing w:val="-11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黑体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11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</w:rPr>
        <w:t>（一）</w:t>
      </w: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  <w:lang w:eastAsia="zh-CN"/>
        </w:rPr>
        <w:t>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“采供血机构能力建设”项目为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一次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性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部门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项目，依据《血站基本标准》配备与我省采供血任务相适应的设备设施，确保能够满足日常采供血工作需求与年度采供血任务目标实现，保障全省医疗用血安全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。项目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于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年申报立项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申请预算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。202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年初项目预算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数1090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全年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预算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数1090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万元，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无追加和调剂。项目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支出范围主要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是采供血专用设备购置更新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楷体_GB2312" w:cs="Times New Roman"/>
          <w:b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</w:rPr>
        <w:t>（二）项目</w:t>
      </w: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  <w:lang w:eastAsia="zh-CN"/>
        </w:rPr>
        <w:t>年度预算</w:t>
      </w: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</w:rPr>
        <w:t>绩效目标</w:t>
      </w: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  <w:lang w:eastAsia="zh-CN"/>
        </w:rPr>
        <w:t>和绩效指标设定情况。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jc w:val="left"/>
        <w:textAlignment w:val="center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本年度本项目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eastAsia="zh-CN"/>
        </w:rPr>
        <w:t>设定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绩效总目标为：全年无偿献血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万人次，满足和保障当年全省医疗用血需求与安全。围绕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绩效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总目标，我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设定产出、效益、满意度三个指标值，其中，产出指标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主要是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数量指标，包含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个三级指标：献血总人次、成分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制备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分离率、血液核酸检测率、血液检测结果准确率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血液非正常报废率；效益指标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主要是社会效益指标，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包含2个三级指标：全省千人口献血人次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血液质量抽检合格率；满意度指标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设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1个三级指标：献血者和用血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服务满意度。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以上绩效目标及评价指标的设定涵盖了本项目实施涉及全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部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要素，指标值的设定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综合了近三年我省采供血业务增长因素、幅度，以及可能影响目标实现的内外环境因素，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符合我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采供血工作实际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及预期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，能够真实反映项目实施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全过程和实施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黑体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11"/>
          <w:sz w:val="32"/>
          <w:szCs w:val="32"/>
        </w:rPr>
        <w:t>二、项目</w:t>
      </w:r>
      <w:r>
        <w:rPr>
          <w:rFonts w:hint="eastAsia" w:ascii="Times New Roman" w:hAnsi="Times New Roman" w:eastAsia="黑体" w:cs="Times New Roman"/>
          <w:spacing w:val="-11"/>
          <w:sz w:val="32"/>
          <w:szCs w:val="32"/>
          <w:lang w:eastAsia="zh-CN"/>
        </w:rPr>
        <w:t>决策及</w:t>
      </w:r>
      <w:r>
        <w:rPr>
          <w:rFonts w:hint="default" w:ascii="Times New Roman" w:hAnsi="Times New Roman" w:eastAsia="黑体" w:cs="Times New Roman"/>
          <w:spacing w:val="-11"/>
          <w:sz w:val="32"/>
          <w:szCs w:val="32"/>
        </w:rPr>
        <w:t>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</w:rPr>
        <w:t>（一）</w:t>
      </w: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  <w:lang w:eastAsia="zh-CN"/>
        </w:rPr>
        <w:t>项目决策情况。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项目立项主要基于提高全省采供血保障能力考虑，项目立项符合《血站管理办法》《血站质量管理规范》《血站实验室质量管理规范》《采供血机构设置规划指导原则》等行业法律法规，项目实施过程符合《血站技术操作规程》。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年，全省无偿献血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119010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人次，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项目产出基本能够满足全省医疗用血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楷体_GB2312" w:cs="Times New Roman"/>
          <w:b/>
          <w:bCs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eastAsia="zh-CN"/>
        </w:rPr>
        <w:t>（二）项目资金安排落实、总投入等情况。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年，我单位申报该项目预算总额为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1090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万元，批复预算总额为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1090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属于一般公共预算资金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，于202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月下旬下达到位。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根据预算申报范围，该项目资金全部用于采供血专用设备购置，由设备采购部门负责项目实施。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val="en-US" w:eastAsia="zh-CN"/>
        </w:rPr>
        <w:t>（三）项目资金实际使用情况。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年，项目支出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963.36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执行率88.38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，用于购置血浆速冻机、血液辐照仪等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采供血专用设备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；未支付数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126.64万元，主要是</w:t>
      </w:r>
      <w:r>
        <w:rPr>
          <w:rFonts w:hint="eastAsia" w:ascii="仿宋_GB2312" w:hAnsi="仿宋_GB2312" w:eastAsia="仿宋_GB2312" w:cs="仿宋_GB2312"/>
          <w:color w:val="auto"/>
          <w:spacing w:val="-11"/>
          <w:sz w:val="32"/>
          <w:szCs w:val="32"/>
          <w:lang w:val="en-US" w:eastAsia="zh-CN"/>
        </w:rPr>
        <w:t>设备预算中已包含质保金，但因采购合同已约定设备须运行使用正常满1年方可支付质保金，因此本年度无法支付设备质保金，结余的专用设备质保金按相关规定已由财政收回。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资金使用未偏离申报用途及内容范围，使用进度符合有关规定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</w:rPr>
        <w:t>项目资金管理情况</w:t>
      </w: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为强化项目资金管理，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规范项目资金使用。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-11"/>
          <w:sz w:val="32"/>
          <w:szCs w:val="32"/>
          <w:shd w:val="clear" w:fill="FFFFFF"/>
          <w:lang w:val="en-US" w:eastAsia="zh-CN"/>
        </w:rPr>
        <w:t>我单位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-11"/>
          <w:sz w:val="32"/>
          <w:szCs w:val="32"/>
          <w:shd w:val="clear" w:fill="FFFFFF"/>
          <w:lang w:val="en-US" w:eastAsia="zh-CN"/>
        </w:rPr>
        <w:t>制定了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pacing w:val="-11"/>
          <w:sz w:val="32"/>
          <w:szCs w:val="32"/>
          <w:lang w:val="en-US" w:eastAsia="zh-CN"/>
        </w:rPr>
        <w:t>《海南省血液中心预算管理制度》《海南省血液中心国有资产管理办法》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11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pacing w:val="-11"/>
          <w:sz w:val="32"/>
          <w:szCs w:val="32"/>
          <w:lang w:val="en-US" w:eastAsia="zh-CN"/>
        </w:rPr>
        <w:t>制度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，进一步规范了项目实施、资金使用行为。在项目实施过程中，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严格财务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审核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审批程序，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加强合同备查管理，确保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项目资金专款专用。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黑体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11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</w:rPr>
        <w:t>（一）项目组织情况</w:t>
      </w: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2022年，利用项目资金开展了采购金额超过200万的政府招投标采购项目2个，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涉及金额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907.80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；采购金额未达到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200万的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设备参照政府招标采购要求进行采购。该项目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设备包含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血浆速冻机、血液辐照仪、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低温落地式大容量血液离心机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共计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台。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完成政府采购程序后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签订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采购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合同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（协议），按合同（协议）供货并完成到货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验收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、安装调试和货款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支付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。截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eastAsia="zh-CN"/>
        </w:rPr>
        <w:t>至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12月31日，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台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设备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已全部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完成验收及安装调试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和投入使用，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全部纳入固定资产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账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管理，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并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建立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固定资产卡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片，到货验收率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100%，设备使用率100%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</w:rPr>
        <w:t>（二）项目管理情况</w:t>
      </w:r>
      <w:r>
        <w:rPr>
          <w:rFonts w:hint="default" w:ascii="Times New Roman" w:hAnsi="Times New Roman" w:eastAsia="楷体_GB2312" w:cs="Times New Roman"/>
          <w:b w:val="0"/>
          <w:bCs/>
          <w:spacing w:val="-1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eastAsia="zh-CN"/>
        </w:rPr>
        <w:t>我单位按照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pacing w:val="-11"/>
          <w:sz w:val="32"/>
          <w:szCs w:val="32"/>
          <w:lang w:val="en-US" w:eastAsia="zh-CN"/>
        </w:rPr>
        <w:t>《海南省血液中心预算管理制度》相关条款对项目的实施进行跟踪管理，坚持无预算不支出原则，做到专款专用。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</w:rPr>
        <w:t>一是严格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  <w:lang w:eastAsia="zh-CN"/>
        </w:rPr>
        <w:t>各项</w:t>
      </w:r>
      <w:r>
        <w:rPr>
          <w:rFonts w:hint="default" w:ascii="Times New Roman" w:hAnsi="Times New Roman" w:eastAsia="仿宋_GB2312" w:cs="Times New Roman"/>
          <w:bCs/>
          <w:spacing w:val="-11"/>
          <w:sz w:val="32"/>
          <w:szCs w:val="32"/>
        </w:rPr>
        <w:t>程序。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单位设备耗材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采购领导小组在充分征求使用科室意见的基础上，对价格、技术参数及需求进行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充分论证、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讨论，按照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三重一大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议事规则规定，提交领导班子会议讨论。严格履行政府采购程序，确保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设备耗材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采购程序合法合规。二是严格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物资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查验。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设备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到货后，即时组织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采购科室、使用科室和财务科联合验收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完成技术调试并试用合格后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，建立设备档案，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录入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设备管理卡片，并及时投入使用，确保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设备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不闲置，及时发挥效益。三是严格支付管理。按照省财政国库支付局报账要求，对资金的支付严格把关，认真审核报账凭证要件，对需分批支付款项建立合同备查，有效避免超合同支付问题发生。大额资金使用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执行领导集体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会议讨论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决策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制度，确保财政资金规范安全有效使用。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黑体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11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</w:rPr>
        <w:t>（一）项目绩效目标完成情况</w:t>
      </w: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项目的经济性分析。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（1）项目成本（预算）控制情况。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我单位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严格控制一般性支出，对政府采购项目认真做好价格论证，对自主采购项目多方询价议价，以最大限度压低价格，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力争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财政资金效益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实现最大化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color w:val="FF0000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（2）项目成本（预算）节约情况。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项目原计划采购预算申报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1090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万元，实际采购金额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1070.40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万元，成本节约率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1.80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2.项目的效率性分析。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（1）项目的实施进度。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围绕总目标，分解任务，按计划逐月完成。同时，我单位每月召开行政例会对采供血情况进行汇报，针对未完成的指标进行剖析与改进，促使年终能顺利完成各项任务。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（2）项目完成质量。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年，全省无偿献血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119010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人次，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</w:rPr>
        <w:t>千人口献血率为11.66，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超过全国平均水平，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</w:rPr>
        <w:t>献血总量191576.25U（38.32吨），供血总量403208U（80.64吨），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保证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了医疗临床用血需求和用血安全。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3.项目的效益性分析。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年，我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设定的绩效目标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除了献血总人次、全省千人口献血率外，其余的均达到预期值，基本满足了全省医疗用血需求，有效保障了用血安全。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各项目标完成情况如下表：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2969"/>
        <w:gridCol w:w="1504"/>
        <w:gridCol w:w="1582"/>
        <w:gridCol w:w="1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9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pacing w:val="-11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pacing w:val="-11"/>
                <w:kern w:val="0"/>
                <w:sz w:val="24"/>
              </w:rPr>
              <w:t>序号</w:t>
            </w:r>
          </w:p>
        </w:tc>
        <w:tc>
          <w:tcPr>
            <w:tcW w:w="29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pacing w:val="-11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pacing w:val="-11"/>
                <w:kern w:val="0"/>
                <w:sz w:val="24"/>
              </w:rPr>
              <w:t>指标名称</w:t>
            </w:r>
          </w:p>
        </w:tc>
        <w:tc>
          <w:tcPr>
            <w:tcW w:w="15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pacing w:val="-11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pacing w:val="-11"/>
                <w:kern w:val="0"/>
                <w:sz w:val="24"/>
              </w:rPr>
              <w:t>目标值</w:t>
            </w:r>
          </w:p>
        </w:tc>
        <w:tc>
          <w:tcPr>
            <w:tcW w:w="158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pacing w:val="-11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pacing w:val="-11"/>
                <w:kern w:val="0"/>
                <w:sz w:val="24"/>
              </w:rPr>
              <w:t>实际完成数</w:t>
            </w:r>
          </w:p>
        </w:tc>
        <w:tc>
          <w:tcPr>
            <w:tcW w:w="120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pacing w:val="-11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pacing w:val="-11"/>
                <w:kern w:val="0"/>
                <w:sz w:val="24"/>
              </w:rPr>
              <w:t>完成程度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9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9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献血总人次</w:t>
            </w:r>
          </w:p>
        </w:tc>
        <w:tc>
          <w:tcPr>
            <w:tcW w:w="15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lang w:val="en-US" w:eastAsia="zh-CN"/>
              </w:rPr>
              <w:t>120000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人次</w:t>
            </w:r>
          </w:p>
        </w:tc>
        <w:tc>
          <w:tcPr>
            <w:tcW w:w="158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lang w:val="en-US" w:eastAsia="zh-CN"/>
              </w:rPr>
              <w:t>119010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人次</w:t>
            </w:r>
          </w:p>
        </w:tc>
        <w:tc>
          <w:tcPr>
            <w:tcW w:w="120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eastAsia="zh-CN" w:bidi="ar"/>
              </w:rPr>
              <w:t>未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达标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9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9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成分制备分离率</w:t>
            </w:r>
          </w:p>
        </w:tc>
        <w:tc>
          <w:tcPr>
            <w:tcW w:w="15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98%</w:t>
            </w:r>
          </w:p>
        </w:tc>
        <w:tc>
          <w:tcPr>
            <w:tcW w:w="158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%</w:t>
            </w:r>
          </w:p>
        </w:tc>
        <w:tc>
          <w:tcPr>
            <w:tcW w:w="120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达标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9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9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血液核酸检测率</w:t>
            </w:r>
          </w:p>
        </w:tc>
        <w:tc>
          <w:tcPr>
            <w:tcW w:w="15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100%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158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100%</w:t>
            </w:r>
          </w:p>
        </w:tc>
        <w:tc>
          <w:tcPr>
            <w:tcW w:w="120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达标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9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88" w:firstLineChars="10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血液检测结果准确率</w:t>
            </w:r>
          </w:p>
        </w:tc>
        <w:tc>
          <w:tcPr>
            <w:tcW w:w="15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100%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158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100%</w:t>
            </w:r>
          </w:p>
        </w:tc>
        <w:tc>
          <w:tcPr>
            <w:tcW w:w="120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达标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9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88" w:firstLineChars="10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血液非正常报废率</w:t>
            </w:r>
          </w:p>
        </w:tc>
        <w:tc>
          <w:tcPr>
            <w:tcW w:w="15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0.5%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158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lang w:val="en-US" w:eastAsia="zh-CN"/>
              </w:rPr>
              <w:t>0.22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%</w:t>
            </w:r>
          </w:p>
        </w:tc>
        <w:tc>
          <w:tcPr>
            <w:tcW w:w="120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达标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9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9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88" w:firstLineChars="10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全省千人口献血率</w:t>
            </w:r>
          </w:p>
        </w:tc>
        <w:tc>
          <w:tcPr>
            <w:tcW w:w="15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lang w:val="en-US" w:eastAsia="zh-CN"/>
              </w:rPr>
              <w:t>13</w:t>
            </w:r>
          </w:p>
        </w:tc>
        <w:tc>
          <w:tcPr>
            <w:tcW w:w="158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lang w:val="en-US" w:eastAsia="zh-CN"/>
              </w:rPr>
              <w:t>11.66</w:t>
            </w:r>
          </w:p>
        </w:tc>
        <w:tc>
          <w:tcPr>
            <w:tcW w:w="120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eastAsia="zh-CN" w:bidi="ar"/>
              </w:rPr>
              <w:t>未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达标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9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9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88" w:firstLineChars="10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血液质量抽检合格率</w:t>
            </w:r>
          </w:p>
        </w:tc>
        <w:tc>
          <w:tcPr>
            <w:tcW w:w="15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97%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158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lang w:val="en-US" w:eastAsia="zh-CN"/>
              </w:rPr>
              <w:t>99.13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%</w:t>
            </w:r>
          </w:p>
        </w:tc>
        <w:tc>
          <w:tcPr>
            <w:tcW w:w="120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达标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9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96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献血者和用血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lang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服务满意度</w:t>
            </w:r>
          </w:p>
        </w:tc>
        <w:tc>
          <w:tcPr>
            <w:tcW w:w="15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90%</w:t>
            </w:r>
          </w:p>
        </w:tc>
        <w:tc>
          <w:tcPr>
            <w:tcW w:w="158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1"/>
                <w:lang w:val="en-US" w:eastAsia="zh-CN"/>
              </w:rPr>
              <w:t>95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</w:rPr>
              <w:t>%</w:t>
            </w:r>
          </w:p>
        </w:tc>
        <w:tc>
          <w:tcPr>
            <w:tcW w:w="120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1"/>
                <w:kern w:val="0"/>
                <w:sz w:val="24"/>
                <w:szCs w:val="24"/>
                <w:lang w:bidi="ar"/>
              </w:rPr>
              <w:t>达标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4.项目的可持续性分析。我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是全省唯一的采供血机构，承担全省医疗用血的采集、检测、制备、贮存、供应和临床用血技术科研指导与推广等重任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，因为服务区域广范围大，采供血专用设备长期处于高负荷状态，损耗及老化较快，需要每年投入资金对采供血专用设备进行更新换代。“</w:t>
      </w:r>
      <w:r>
        <w:rPr>
          <w:rFonts w:hint="default" w:ascii="Times New Roman" w:hAnsi="Times New Roman" w:eastAsia="仿宋_GB2312" w:cs="Times New Roman"/>
          <w:color w:val="000000"/>
          <w:spacing w:val="-11"/>
          <w:kern w:val="0"/>
          <w:sz w:val="32"/>
          <w:szCs w:val="32"/>
          <w:lang w:eastAsia="zh-CN"/>
        </w:rPr>
        <w:t>采供血机构能力建设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”项目是我单位唯一获得的能力建设资金，持续投入对我省采供血工作发展发挥着极其重要的作用。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b w:val="0"/>
          <w:bCs w:val="0"/>
          <w:spacing w:val="-11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</w:rPr>
        <w:t>）项目绩效目标</w:t>
      </w: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eastAsia="zh-CN"/>
        </w:rPr>
        <w:t>未</w:t>
      </w: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</w:rPr>
        <w:t>完成情况</w:t>
      </w: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eastAsia="zh-CN"/>
        </w:rPr>
        <w:t>及原因分析。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年，我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</w:rPr>
        <w:t>设定的绩效目标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除了献血总人次、全省千人口献血率外，其余的均达到预期值。献血总人次、全省千人口献血率两项目标值未完成的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pacing w:val="-11"/>
          <w:sz w:val="32"/>
          <w:szCs w:val="32"/>
          <w:lang w:eastAsia="zh-CN"/>
        </w:rPr>
        <w:t>主要原因是受新冠疫情影响，特别是8月开始，我省大部分市县实行全域静态管理，街头采血人数及团体献血单位大幅减少，以致绩效目标值未能完成。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黑体" w:cs="Times New Roman"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pacing w:val="-11"/>
          <w:sz w:val="32"/>
          <w:szCs w:val="32"/>
        </w:rPr>
        <w:t>五、</w:t>
      </w:r>
      <w:r>
        <w:rPr>
          <w:rFonts w:hint="default" w:ascii="Times New Roman" w:hAnsi="Times New Roman" w:eastAsia="黑体" w:cs="Times New Roman"/>
          <w:spacing w:val="-11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仿宋_GB2312" w:cs="Times New Roman"/>
          <w:b w:val="0"/>
          <w:bCs w:val="0"/>
          <w:spacing w:val="-11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</w:rPr>
        <w:t>（一）主要经验及做法。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一是加强项目可行性论证。通过论证，按照轻重缓急对项目实施进行排序筛选，将可做可不做的项目过滤排除，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有效避免资金浪费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二是重视项目资金使用进度。有计划安排和使用资金，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定期召开预算执行专题会，分析存在问题与不足，提出有效改进措施，确保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资金使用进度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达标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，提高资金使用效率，避免因逾期未使用被收回造成的资金流失。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三是加强内控体系建设。建立健全各项财务制度，严格物资采购、入库验收、资金支付审批等财务内控管理，严格实行不相容岗位相分离制度，建立健全内部监督制衡机制，有效规范内部经济活动，坚决杜绝弄虚作假、违规作弊等行为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6" w:firstLineChars="200"/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</w:rPr>
        <w:t>（二）存在的问题和</w:t>
      </w: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  <w:lang w:eastAsia="zh-CN"/>
        </w:rPr>
        <w:t>意见</w:t>
      </w:r>
      <w:r>
        <w:rPr>
          <w:rFonts w:hint="default" w:ascii="Times New Roman" w:hAnsi="Times New Roman" w:eastAsia="楷体_GB2312" w:cs="Times New Roman"/>
          <w:b w:val="0"/>
          <w:bCs w:val="0"/>
          <w:spacing w:val="-11"/>
          <w:sz w:val="32"/>
          <w:szCs w:val="32"/>
        </w:rPr>
        <w:t>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pacing w:val="-11"/>
          <w:kern w:val="0"/>
          <w:sz w:val="32"/>
          <w:szCs w:val="32"/>
          <w:lang w:eastAsia="zh-CN"/>
        </w:rPr>
        <w:t>采供血机构能力建设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”项目为一次性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eastAsia="zh-CN"/>
        </w:rPr>
        <w:t>部门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项目，需每年申请立项且并非能够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100%成功立项，无法满足我单位事业发展乃至全省采供血事业发展需求。建议将该项目列入我单位经常性项目，每年给予一定资金投入，以确保我省采供血工作水平能够符合海南自贸港建设要求。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53" w:firstLineChars="253"/>
        <w:rPr>
          <w:rFonts w:hint="default" w:ascii="Times New Roman" w:hAnsi="Times New Roman" w:eastAsia="仿宋_GB2312" w:cs="Times New Roman"/>
          <w:b/>
          <w:bCs/>
          <w:spacing w:val="-1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rPr>
          <w:rFonts w:hint="default" w:ascii="Times New Roman" w:hAnsi="Times New Roman" w:cs="Times New Roman"/>
          <w:spacing w:val="-11"/>
        </w:rPr>
      </w:pPr>
      <w:r>
        <w:rPr>
          <w:rFonts w:hint="default" w:ascii="Times New Roman" w:hAnsi="Times New Roman" w:eastAsia="仿宋_GB2312" w:cs="Times New Roman"/>
          <w:b/>
          <w:bCs/>
          <w:spacing w:val="-11"/>
          <w:sz w:val="32"/>
          <w:szCs w:val="32"/>
        </w:rPr>
        <w:t xml:space="preserve">                           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rPr>
          <w:rFonts w:hint="default" w:ascii="Times New Roman" w:hAnsi="Times New Roman" w:cs="Times New Roman"/>
          <w:spacing w:val="-1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rPr>
          <w:rFonts w:hint="default" w:ascii="Times New Roman" w:hAnsi="Times New Roman" w:cs="Times New Roman"/>
          <w:spacing w:val="-1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rPr>
          <w:rFonts w:hint="default" w:ascii="Times New Roman" w:hAnsi="Times New Roman" w:cs="Times New Roman"/>
          <w:spacing w:val="-1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rPr>
          <w:rFonts w:hint="default" w:ascii="Times New Roman" w:hAnsi="Times New Roman" w:cs="Times New Roman"/>
          <w:spacing w:val="-11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559" w:right="1803" w:bottom="1559" w:left="1803" w:header="851" w:footer="992" w:gutter="0"/>
      <w:pgNumType w:fmt="numberInDash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385445" cy="357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4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- 12 -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8.15pt;width:30.3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5PQg7RAAAAAwEAAA8AAAAAAAAAAQAgAAAAIgAA&#10;AGRycy9kb3ducmV2LnhtbFBLAQIUABQAAAAIAIdO4kCx6lO9DwIAABAEAAAOAAAAAAAAAAEAIAAA&#10;ACA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hint="default" w:ascii="Times New Roman" w:hAnsi="Times New Roman" w:cs="Times New Roman"/>
                        <w:sz w:val="28"/>
                        <w:szCs w:val="28"/>
                      </w:rPr>
                      <w:t>- 12 -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yMGNkZjc1NWZmNGFmODdiMDE1Njg4ODUyNTY2NzQifQ=="/>
  </w:docVars>
  <w:rsids>
    <w:rsidRoot w:val="2EA024BA"/>
    <w:rsid w:val="00450166"/>
    <w:rsid w:val="03E72B61"/>
    <w:rsid w:val="04161698"/>
    <w:rsid w:val="0435751B"/>
    <w:rsid w:val="08206641"/>
    <w:rsid w:val="08C62719"/>
    <w:rsid w:val="0A101D8A"/>
    <w:rsid w:val="0C2D73D8"/>
    <w:rsid w:val="0F863803"/>
    <w:rsid w:val="106A2B50"/>
    <w:rsid w:val="111F2027"/>
    <w:rsid w:val="12D2270C"/>
    <w:rsid w:val="168808F9"/>
    <w:rsid w:val="17486BD3"/>
    <w:rsid w:val="17702A7D"/>
    <w:rsid w:val="17872239"/>
    <w:rsid w:val="17FB49D5"/>
    <w:rsid w:val="1D9C4480"/>
    <w:rsid w:val="20AD0837"/>
    <w:rsid w:val="224B0307"/>
    <w:rsid w:val="22B16F90"/>
    <w:rsid w:val="2351600E"/>
    <w:rsid w:val="25102EC3"/>
    <w:rsid w:val="283A32F8"/>
    <w:rsid w:val="2B991AB0"/>
    <w:rsid w:val="2D086FD2"/>
    <w:rsid w:val="2D5477A5"/>
    <w:rsid w:val="2E33775A"/>
    <w:rsid w:val="2E5940B2"/>
    <w:rsid w:val="2E607FA4"/>
    <w:rsid w:val="2EA024BA"/>
    <w:rsid w:val="32983E6D"/>
    <w:rsid w:val="34452E08"/>
    <w:rsid w:val="34786266"/>
    <w:rsid w:val="34AC6943"/>
    <w:rsid w:val="358F1AEB"/>
    <w:rsid w:val="35B02EE0"/>
    <w:rsid w:val="37954838"/>
    <w:rsid w:val="39262D30"/>
    <w:rsid w:val="3A3963B5"/>
    <w:rsid w:val="3A504A0C"/>
    <w:rsid w:val="3B460044"/>
    <w:rsid w:val="3CDE5B06"/>
    <w:rsid w:val="3FAF3A37"/>
    <w:rsid w:val="4041282A"/>
    <w:rsid w:val="4084115C"/>
    <w:rsid w:val="40A92971"/>
    <w:rsid w:val="410339D7"/>
    <w:rsid w:val="41F560D9"/>
    <w:rsid w:val="43803E5D"/>
    <w:rsid w:val="440C56F0"/>
    <w:rsid w:val="44405C29"/>
    <w:rsid w:val="4635102B"/>
    <w:rsid w:val="47D14DC0"/>
    <w:rsid w:val="481C62B4"/>
    <w:rsid w:val="49444DA4"/>
    <w:rsid w:val="4976741E"/>
    <w:rsid w:val="4A413E1E"/>
    <w:rsid w:val="4B62209A"/>
    <w:rsid w:val="4EDE125B"/>
    <w:rsid w:val="51A6217C"/>
    <w:rsid w:val="55087058"/>
    <w:rsid w:val="56B73590"/>
    <w:rsid w:val="58DB276C"/>
    <w:rsid w:val="5A1E149C"/>
    <w:rsid w:val="5B6B66C2"/>
    <w:rsid w:val="5E555E44"/>
    <w:rsid w:val="61A556C8"/>
    <w:rsid w:val="64670D1D"/>
    <w:rsid w:val="6525502C"/>
    <w:rsid w:val="665B4415"/>
    <w:rsid w:val="667967BE"/>
    <w:rsid w:val="66C7708A"/>
    <w:rsid w:val="66E83943"/>
    <w:rsid w:val="678C6B7E"/>
    <w:rsid w:val="68833155"/>
    <w:rsid w:val="68BA4E6C"/>
    <w:rsid w:val="68C83A2C"/>
    <w:rsid w:val="68D5067A"/>
    <w:rsid w:val="6B135029"/>
    <w:rsid w:val="6B5B46E4"/>
    <w:rsid w:val="70115CB9"/>
    <w:rsid w:val="722A1060"/>
    <w:rsid w:val="722C0B88"/>
    <w:rsid w:val="749D4236"/>
    <w:rsid w:val="74E96907"/>
    <w:rsid w:val="76F91CE7"/>
    <w:rsid w:val="7860587F"/>
    <w:rsid w:val="78DF733A"/>
    <w:rsid w:val="7C397A26"/>
    <w:rsid w:val="7DBD1DDF"/>
    <w:rsid w:val="7E0D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3065</Words>
  <Characters>3259</Characters>
  <Lines>0</Lines>
  <Paragraphs>0</Paragraphs>
  <TotalTime>7</TotalTime>
  <ScaleCrop>false</ScaleCrop>
  <LinksUpToDate>false</LinksUpToDate>
  <CharactersWithSpaces>3348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2022-05-24T02:43:00Z</dcterms:created>
  <dc:creator>沫沫</dc:creator>
  <cp:lastModifiedBy>Administrator</cp:lastModifiedBy>
  <cp:lastPrinted>2023-04-23T02:50:00Z</cp:lastPrinted>
  <dcterms:modified xsi:type="dcterms:W3CDTF">2023-04-23T08:41:25Z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F750A030F3594C1196286F72897DE08A</vt:lpwstr>
  </property>
</Properties>
</file>