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78" w:lineRule="exact"/>
        <w:jc w:val="center"/>
        <w:rPr>
          <w:rFonts w:ascii="仿宋_GB2312" w:hAnsi="华文中宋"/>
          <w:bCs/>
          <w:sz w:val="36"/>
          <w:szCs w:val="44"/>
        </w:rPr>
      </w:pPr>
    </w:p>
    <w:p>
      <w:pPr>
        <w:snapToGrid w:val="0"/>
        <w:spacing w:line="578" w:lineRule="exact"/>
        <w:jc w:val="center"/>
        <w:rPr>
          <w:rFonts w:ascii="宋体" w:hAnsi="宋体" w:eastAsia="宋体" w:cs="宋体"/>
          <w:bCs/>
          <w:sz w:val="44"/>
          <w:szCs w:val="44"/>
        </w:rPr>
      </w:pPr>
      <w:r>
        <w:rPr>
          <w:rFonts w:hint="eastAsia" w:ascii="宋体" w:hAnsi="宋体" w:eastAsia="宋体" w:cs="宋体"/>
          <w:bCs/>
          <w:sz w:val="44"/>
          <w:szCs w:val="44"/>
        </w:rPr>
        <w:t>海南省适龄女生HPV疫苗接种转移支付项目2022年度绩效自评报告</w:t>
      </w:r>
    </w:p>
    <w:p>
      <w:pPr>
        <w:snapToGrid w:val="0"/>
        <w:spacing w:line="578" w:lineRule="exact"/>
        <w:ind w:firstLine="640" w:firstLineChars="200"/>
        <w:rPr>
          <w:rFonts w:ascii="黑体" w:hAnsi="黑体" w:eastAsia="黑体" w:cs="黑体"/>
          <w:bCs/>
          <w:sz w:val="32"/>
          <w:szCs w:val="32"/>
        </w:rPr>
      </w:pPr>
    </w:p>
    <w:p>
      <w:pPr>
        <w:snapToGrid w:val="0"/>
        <w:spacing w:line="578" w:lineRule="exact"/>
        <w:ind w:firstLine="640" w:firstLineChars="200"/>
        <w:rPr>
          <w:rFonts w:ascii="黑体" w:hAnsi="黑体" w:eastAsia="黑体" w:cs="黑体"/>
          <w:bCs/>
          <w:sz w:val="32"/>
          <w:szCs w:val="32"/>
        </w:rPr>
      </w:pPr>
      <w:r>
        <w:rPr>
          <w:rFonts w:hint="eastAsia" w:ascii="黑体" w:hAnsi="黑体" w:eastAsia="黑体" w:cs="黑体"/>
          <w:bCs/>
          <w:sz w:val="32"/>
          <w:szCs w:val="32"/>
        </w:rPr>
        <w:t>一、绩效目标分解下达情况</w:t>
      </w:r>
    </w:p>
    <w:p>
      <w:pPr>
        <w:snapToGrid w:val="0"/>
        <w:spacing w:line="578" w:lineRule="exact"/>
        <w:ind w:firstLine="640" w:firstLineChars="200"/>
        <w:outlineLvl w:val="0"/>
        <w:rPr>
          <w:rFonts w:ascii="仿宋" w:hAnsi="仿宋" w:eastAsia="仿宋" w:cs="仿宋"/>
          <w:bCs/>
          <w:sz w:val="32"/>
          <w:szCs w:val="32"/>
        </w:rPr>
      </w:pPr>
      <w:r>
        <w:rPr>
          <w:rFonts w:hint="eastAsia" w:eastAsia="仿宋"/>
          <w:sz w:val="32"/>
          <w:szCs w:val="28"/>
        </w:rPr>
        <w:t>宫颈癌危害大，但可防可控，接种HPV疫苗是预防的有效手段。世界卫生组织明确推荐 9-14 岁女性接种 HPV疫苗，以尽早获得保护。《中国妇女发展纲要（2021-2030年）提出完善宫颈癌综合防治体系，推进适龄妇女人乳头瘤病毒疫苗接种试点工作。海南省委、省政府高度重视妇女儿童健康，在全省已多年大规模实施宫颈癌筛查的基础上，2022</w:t>
      </w:r>
      <w:r>
        <w:rPr>
          <w:rFonts w:eastAsia="仿宋"/>
          <w:sz w:val="32"/>
          <w:szCs w:val="28"/>
        </w:rPr>
        <w:t>年1月底</w:t>
      </w:r>
      <w:r>
        <w:rPr>
          <w:rFonts w:hint="eastAsia" w:eastAsia="仿宋"/>
          <w:sz w:val="32"/>
          <w:szCs w:val="28"/>
        </w:rPr>
        <w:t>启动</w:t>
      </w:r>
      <w:r>
        <w:rPr>
          <w:rFonts w:eastAsia="仿宋"/>
          <w:sz w:val="32"/>
          <w:szCs w:val="28"/>
        </w:rPr>
        <w:t>适龄女生HPV</w:t>
      </w:r>
      <w:r>
        <w:rPr>
          <w:rFonts w:hint="eastAsia" w:eastAsia="仿宋"/>
          <w:sz w:val="32"/>
          <w:szCs w:val="28"/>
        </w:rPr>
        <w:t>（人乳头瘤病毒）</w:t>
      </w:r>
      <w:r>
        <w:rPr>
          <w:rFonts w:eastAsia="仿宋"/>
          <w:sz w:val="32"/>
          <w:szCs w:val="28"/>
        </w:rPr>
        <w:t>疫苗接种项目</w:t>
      </w:r>
      <w:r>
        <w:rPr>
          <w:rFonts w:hint="eastAsia" w:eastAsia="仿宋"/>
          <w:sz w:val="32"/>
          <w:szCs w:val="28"/>
        </w:rPr>
        <w:t>并</w:t>
      </w:r>
      <w:r>
        <w:rPr>
          <w:rFonts w:eastAsia="仿宋"/>
          <w:sz w:val="32"/>
          <w:szCs w:val="28"/>
        </w:rPr>
        <w:t>列入今年的为民办实事头号工作。</w:t>
      </w:r>
      <w:r>
        <w:rPr>
          <w:rFonts w:hint="eastAsia" w:ascii="仿宋" w:hAnsi="仿宋" w:eastAsia="仿宋" w:cs="仿宋"/>
          <w:bCs/>
          <w:sz w:val="32"/>
          <w:szCs w:val="32"/>
        </w:rPr>
        <w:tab/>
      </w:r>
    </w:p>
    <w:p>
      <w:pPr>
        <w:snapToGrid w:val="0"/>
        <w:spacing w:line="578" w:lineRule="exact"/>
        <w:ind w:firstLine="640" w:firstLineChars="200"/>
        <w:rPr>
          <w:rFonts w:ascii="黑体" w:hAnsi="黑体" w:eastAsia="黑体" w:cs="黑体"/>
          <w:bCs/>
          <w:sz w:val="32"/>
          <w:szCs w:val="32"/>
        </w:rPr>
      </w:pPr>
      <w:r>
        <w:rPr>
          <w:rFonts w:hint="eastAsia" w:ascii="黑体" w:hAnsi="黑体" w:eastAsia="黑体" w:cs="黑体"/>
          <w:bCs/>
          <w:sz w:val="32"/>
          <w:szCs w:val="32"/>
        </w:rPr>
        <w:t>二、绩效情况分析</w:t>
      </w:r>
    </w:p>
    <w:p>
      <w:pPr>
        <w:snapToGrid w:val="0"/>
        <w:spacing w:line="578" w:lineRule="exact"/>
        <w:ind w:firstLine="640" w:firstLineChars="200"/>
        <w:outlineLvl w:val="0"/>
        <w:rPr>
          <w:rFonts w:ascii="仿宋" w:hAnsi="仿宋" w:eastAsia="仿宋" w:cs="仿宋"/>
          <w:bCs/>
          <w:sz w:val="32"/>
          <w:szCs w:val="32"/>
        </w:rPr>
      </w:pPr>
      <w:r>
        <w:rPr>
          <w:rFonts w:hint="eastAsia" w:ascii="楷体_GB2312" w:hAnsi="楷体_GB2312" w:eastAsia="楷体_GB2312" w:cs="楷体_GB2312"/>
          <w:bCs/>
          <w:sz w:val="32"/>
          <w:szCs w:val="32"/>
        </w:rPr>
        <w:t>（一）资金投入情况分析。</w:t>
      </w:r>
    </w:p>
    <w:p>
      <w:pPr>
        <w:snapToGrid w:val="0"/>
        <w:spacing w:line="578" w:lineRule="exact"/>
        <w:ind w:firstLine="640" w:firstLineChars="200"/>
        <w:outlineLvl w:val="0"/>
        <w:rPr>
          <w:rFonts w:ascii="仿宋" w:hAnsi="仿宋" w:eastAsia="仿宋" w:cs="仿宋"/>
          <w:bCs/>
          <w:sz w:val="32"/>
          <w:szCs w:val="32"/>
        </w:rPr>
      </w:pPr>
      <w:r>
        <w:rPr>
          <w:rFonts w:hint="eastAsia" w:ascii="仿宋" w:hAnsi="仿宋" w:eastAsia="仿宋" w:cs="仿宋"/>
          <w:bCs/>
          <w:sz w:val="32"/>
          <w:szCs w:val="32"/>
        </w:rPr>
        <w:t>2022年项目计划为7.1万名13周岁-14周岁半女生免费接种两剂次HPV疫苗，省级财政投入4984.2万元，保障全程接种的疫苗费用和服务费用。</w:t>
      </w:r>
    </w:p>
    <w:p>
      <w:pPr>
        <w:snapToGrid w:val="0"/>
        <w:spacing w:line="578" w:lineRule="exact"/>
        <w:ind w:firstLine="640" w:firstLineChars="200"/>
        <w:outlineLvl w:val="0"/>
        <w:rPr>
          <w:rFonts w:ascii="仿宋" w:hAnsi="仿宋" w:eastAsia="仿宋" w:cs="仿宋"/>
          <w:bCs/>
          <w:sz w:val="32"/>
          <w:szCs w:val="32"/>
        </w:rPr>
      </w:pPr>
      <w:r>
        <w:rPr>
          <w:rFonts w:hint="eastAsia" w:ascii="楷体_GB2312" w:hAnsi="楷体_GB2312" w:eastAsia="楷体_GB2312" w:cs="楷体_GB2312"/>
          <w:bCs/>
          <w:sz w:val="32"/>
          <w:szCs w:val="32"/>
        </w:rPr>
        <w:t>（二）资金管理情况分析。</w:t>
      </w:r>
    </w:p>
    <w:p>
      <w:pPr>
        <w:snapToGrid w:val="0"/>
        <w:spacing w:line="578" w:lineRule="exact"/>
        <w:ind w:firstLine="640" w:firstLineChars="200"/>
        <w:outlineLvl w:val="0"/>
        <w:rPr>
          <w:rFonts w:ascii="仿宋" w:hAnsi="仿宋" w:eastAsia="仿宋" w:cs="仿宋"/>
          <w:bCs/>
          <w:sz w:val="32"/>
          <w:szCs w:val="32"/>
        </w:rPr>
      </w:pPr>
      <w:r>
        <w:rPr>
          <w:rFonts w:hint="eastAsia" w:ascii="仿宋" w:hAnsi="仿宋" w:eastAsia="仿宋" w:cs="仿宋"/>
          <w:bCs/>
          <w:sz w:val="32"/>
          <w:szCs w:val="32"/>
        </w:rPr>
        <w:t>2022年项目资金下达及时，各市县按照实际全部支出，整体完成情况较好。</w:t>
      </w:r>
    </w:p>
    <w:p>
      <w:pPr>
        <w:snapToGrid w:val="0"/>
        <w:spacing w:line="578" w:lineRule="exact"/>
        <w:ind w:firstLine="640" w:firstLineChars="200"/>
        <w:outlineLvl w:val="0"/>
        <w:rPr>
          <w:rFonts w:ascii="仿宋" w:hAnsi="仿宋" w:eastAsia="仿宋" w:cs="仿宋"/>
          <w:bCs/>
          <w:sz w:val="32"/>
          <w:szCs w:val="32"/>
        </w:rPr>
      </w:pPr>
      <w:r>
        <w:rPr>
          <w:rFonts w:hint="eastAsia" w:ascii="楷体_GB2312" w:hAnsi="楷体_GB2312" w:eastAsia="楷体_GB2312" w:cs="楷体_GB2312"/>
          <w:bCs/>
          <w:sz w:val="32"/>
          <w:szCs w:val="32"/>
        </w:rPr>
        <w:t>（三）总体绩效目标完成情况分析。</w:t>
      </w:r>
    </w:p>
    <w:p>
      <w:pPr>
        <w:snapToGrid w:val="0"/>
        <w:spacing w:line="578" w:lineRule="exact"/>
        <w:ind w:firstLine="640" w:firstLineChars="200"/>
        <w:outlineLvl w:val="0"/>
        <w:rPr>
          <w:rFonts w:ascii="仿宋" w:hAnsi="仿宋" w:eastAsia="仿宋" w:cs="仿宋"/>
          <w:bCs/>
          <w:sz w:val="32"/>
          <w:szCs w:val="32"/>
        </w:rPr>
      </w:pPr>
      <w:r>
        <w:rPr>
          <w:rFonts w:hint="eastAsia" w:ascii="仿宋" w:hAnsi="仿宋" w:eastAsia="仿宋" w:cs="仿宋"/>
          <w:bCs/>
          <w:sz w:val="32"/>
          <w:szCs w:val="32"/>
        </w:rPr>
        <w:t>6月9日，国家卫生健康委党组成员、国家中医药管理局党组书记余艳红在全国妇幼健康工作电视电话会议讲话中，对我省适龄女生HPV疫苗接种项目在全省覆盖和顺利实施表示肯定。</w:t>
      </w:r>
    </w:p>
    <w:p>
      <w:pPr>
        <w:snapToGrid w:val="0"/>
        <w:spacing w:line="578" w:lineRule="exact"/>
        <w:ind w:firstLine="640" w:firstLineChars="200"/>
        <w:outlineLvl w:val="0"/>
        <w:rPr>
          <w:rFonts w:eastAsia="仿宋"/>
          <w:sz w:val="32"/>
          <w:szCs w:val="28"/>
        </w:rPr>
      </w:pPr>
      <w:r>
        <w:rPr>
          <w:rFonts w:hint="eastAsia" w:ascii="仿宋" w:hAnsi="仿宋" w:eastAsia="仿宋" w:cs="仿宋"/>
          <w:bCs/>
          <w:sz w:val="32"/>
          <w:szCs w:val="32"/>
        </w:rPr>
        <w:t>截至目前，2022年全省适龄女生HPV疫苗第1剂次接种</w:t>
      </w:r>
      <w:r>
        <w:rPr>
          <w:rFonts w:ascii="仿宋" w:hAnsi="仿宋" w:eastAsia="仿宋" w:cs="仿宋"/>
          <w:bCs/>
          <w:sz w:val="32"/>
          <w:szCs w:val="32"/>
          <w:lang w:val="en"/>
        </w:rPr>
        <w:t>7.</w:t>
      </w:r>
      <w:r>
        <w:rPr>
          <w:rFonts w:hint="eastAsia" w:ascii="仿宋" w:hAnsi="仿宋" w:eastAsia="仿宋" w:cs="仿宋"/>
          <w:bCs/>
          <w:sz w:val="32"/>
          <w:szCs w:val="32"/>
        </w:rPr>
        <w:t>91</w:t>
      </w:r>
      <w:r>
        <w:rPr>
          <w:rFonts w:hint="eastAsia" w:ascii="仿宋" w:hAnsi="仿宋" w:eastAsia="仿宋" w:cs="仿宋"/>
          <w:bCs/>
          <w:sz w:val="32"/>
          <w:szCs w:val="32"/>
          <w:lang w:val="en"/>
        </w:rPr>
        <w:t>万</w:t>
      </w:r>
      <w:r>
        <w:rPr>
          <w:rFonts w:hint="eastAsia" w:ascii="仿宋" w:hAnsi="仿宋" w:eastAsia="仿宋" w:cs="仿宋"/>
          <w:bCs/>
          <w:sz w:val="32"/>
          <w:szCs w:val="32"/>
        </w:rPr>
        <w:t>人，超额完成任务，任务完成率为111.41%，各市县任务完成率均达到100%；全省适龄女生HPV疫苗第2剂次接种7.82</w:t>
      </w:r>
      <w:r>
        <w:rPr>
          <w:rFonts w:hint="eastAsia" w:ascii="仿宋" w:hAnsi="仿宋" w:eastAsia="仿宋" w:cs="仿宋"/>
          <w:bCs/>
          <w:sz w:val="32"/>
          <w:szCs w:val="32"/>
          <w:lang w:val="en"/>
        </w:rPr>
        <w:t>万</w:t>
      </w:r>
      <w:r>
        <w:rPr>
          <w:rFonts w:hint="eastAsia" w:ascii="仿宋" w:hAnsi="仿宋" w:eastAsia="仿宋" w:cs="仿宋"/>
          <w:bCs/>
          <w:sz w:val="32"/>
          <w:szCs w:val="32"/>
        </w:rPr>
        <w:t>人，任务完成率为110.21%。</w:t>
      </w:r>
    </w:p>
    <w:p>
      <w:pPr>
        <w:spacing w:line="192" w:lineRule="auto"/>
        <w:contextualSpacing/>
        <w:jc w:val="center"/>
        <w:rPr>
          <w:rFonts w:ascii="宋体" w:hAnsi="宋体"/>
          <w:b/>
          <w:sz w:val="24"/>
        </w:rPr>
      </w:pPr>
      <w:r>
        <w:rPr>
          <w:rFonts w:hint="eastAsia" w:ascii="宋体" w:hAnsi="宋体"/>
          <w:b/>
          <w:sz w:val="24"/>
        </w:rPr>
        <w:t>表1  2022年海南省适龄女生HPV疫苗接种项目任务完成情况</w:t>
      </w:r>
    </w:p>
    <w:tbl>
      <w:tblPr>
        <w:tblStyle w:val="5"/>
        <w:tblW w:w="8336" w:type="dxa"/>
        <w:tblInd w:w="0" w:type="dxa"/>
        <w:tblLayout w:type="fixed"/>
        <w:tblCellMar>
          <w:top w:w="0" w:type="dxa"/>
          <w:left w:w="0" w:type="dxa"/>
          <w:bottom w:w="0" w:type="dxa"/>
          <w:right w:w="0" w:type="dxa"/>
        </w:tblCellMar>
      </w:tblPr>
      <w:tblGrid>
        <w:gridCol w:w="522"/>
        <w:gridCol w:w="3519"/>
        <w:gridCol w:w="763"/>
        <w:gridCol w:w="790"/>
        <w:gridCol w:w="976"/>
        <w:gridCol w:w="639"/>
        <w:gridCol w:w="1127"/>
      </w:tblGrid>
      <w:tr>
        <w:tblPrEx>
          <w:tblCellMar>
            <w:top w:w="0" w:type="dxa"/>
            <w:left w:w="0" w:type="dxa"/>
            <w:bottom w:w="0" w:type="dxa"/>
            <w:right w:w="0" w:type="dxa"/>
          </w:tblCellMar>
        </w:tblPrEx>
        <w:trPr>
          <w:trHeight w:val="480" w:hRule="atLeast"/>
        </w:trPr>
        <w:tc>
          <w:tcPr>
            <w:tcW w:w="522" w:type="dxa"/>
            <w:vMerge w:val="restart"/>
            <w:tcBorders>
              <w:top w:val="single" w:color="000000" w:sz="4" w:space="0"/>
              <w:left w:val="single" w:color="000000" w:sz="4" w:space="0"/>
              <w:bottom w:val="single" w:color="000000" w:sz="4" w:space="0"/>
              <w:right w:val="single" w:color="000000" w:sz="4" w:space="0"/>
            </w:tcBorders>
            <w:shd w:val="clear" w:color="auto" w:fill="CCFFCC"/>
            <w:noWrap/>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序号</w:t>
            </w:r>
          </w:p>
        </w:tc>
        <w:tc>
          <w:tcPr>
            <w:tcW w:w="3519" w:type="dxa"/>
            <w:vMerge w:val="restart"/>
            <w:tcBorders>
              <w:top w:val="single" w:color="000000" w:sz="4" w:space="0"/>
              <w:left w:val="single" w:color="000000" w:sz="4" w:space="0"/>
              <w:bottom w:val="single" w:color="000000" w:sz="4" w:space="0"/>
              <w:right w:val="single" w:color="000000" w:sz="4" w:space="0"/>
            </w:tcBorders>
            <w:shd w:val="clear" w:color="auto" w:fill="CCFFCC"/>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行政区划</w:t>
            </w:r>
          </w:p>
        </w:tc>
        <w:tc>
          <w:tcPr>
            <w:tcW w:w="763" w:type="dxa"/>
            <w:vMerge w:val="restart"/>
            <w:tcBorders>
              <w:top w:val="single" w:color="000000" w:sz="4" w:space="0"/>
              <w:left w:val="single" w:color="000000" w:sz="4" w:space="0"/>
              <w:bottom w:val="single" w:color="000000" w:sz="4" w:space="0"/>
              <w:right w:val="single" w:color="000000" w:sz="4" w:space="0"/>
            </w:tcBorders>
            <w:shd w:val="clear" w:color="auto" w:fill="CCFFCC"/>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任务数</w:t>
            </w:r>
          </w:p>
        </w:tc>
        <w:tc>
          <w:tcPr>
            <w:tcW w:w="3532" w:type="dxa"/>
            <w:gridSpan w:val="4"/>
            <w:tcBorders>
              <w:top w:val="single" w:color="000000" w:sz="4" w:space="0"/>
              <w:left w:val="nil"/>
              <w:bottom w:val="single" w:color="000000" w:sz="4" w:space="0"/>
              <w:right w:val="single" w:color="000000" w:sz="4" w:space="0"/>
            </w:tcBorders>
            <w:shd w:val="clear" w:color="auto" w:fill="CCFFCC"/>
            <w:noWrap/>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2价HPV疫苗（免费）</w:t>
            </w:r>
          </w:p>
        </w:tc>
      </w:tr>
      <w:tr>
        <w:tblPrEx>
          <w:tblCellMar>
            <w:top w:w="0" w:type="dxa"/>
            <w:left w:w="0" w:type="dxa"/>
            <w:bottom w:w="0" w:type="dxa"/>
            <w:right w:w="0" w:type="dxa"/>
          </w:tblCellMar>
        </w:tblPrEx>
        <w:trPr>
          <w:trHeight w:val="319" w:hRule="atLeast"/>
        </w:trPr>
        <w:tc>
          <w:tcPr>
            <w:tcW w:w="522" w:type="dxa"/>
            <w:vMerge w:val="continue"/>
            <w:tcBorders>
              <w:top w:val="single" w:color="000000" w:sz="4" w:space="0"/>
              <w:left w:val="single" w:color="000000" w:sz="4" w:space="0"/>
              <w:bottom w:val="single" w:color="000000" w:sz="4" w:space="0"/>
              <w:right w:val="single" w:color="000000" w:sz="4" w:space="0"/>
            </w:tcBorders>
            <w:shd w:val="clear" w:color="auto" w:fill="CCFFCC"/>
            <w:noWrap/>
            <w:tcMar>
              <w:top w:w="15" w:type="dxa"/>
              <w:left w:w="15" w:type="dxa"/>
              <w:right w:w="15" w:type="dxa"/>
            </w:tcMar>
            <w:vAlign w:val="center"/>
          </w:tcPr>
          <w:p>
            <w:pPr>
              <w:jc w:val="center"/>
              <w:rPr>
                <w:rFonts w:ascii="宋体" w:hAnsi="宋体" w:eastAsia="宋体" w:cs="宋体"/>
                <w:b/>
                <w:color w:val="000000"/>
                <w:sz w:val="18"/>
                <w:szCs w:val="18"/>
              </w:rPr>
            </w:pPr>
          </w:p>
        </w:tc>
        <w:tc>
          <w:tcPr>
            <w:tcW w:w="3519" w:type="dxa"/>
            <w:vMerge w:val="continue"/>
            <w:tcBorders>
              <w:top w:val="single" w:color="000000" w:sz="4" w:space="0"/>
              <w:left w:val="single" w:color="000000" w:sz="4" w:space="0"/>
              <w:bottom w:val="single" w:color="000000" w:sz="4" w:space="0"/>
              <w:right w:val="single" w:color="000000" w:sz="4" w:space="0"/>
            </w:tcBorders>
            <w:shd w:val="clear" w:color="auto" w:fill="CCFFCC"/>
            <w:tcMar>
              <w:top w:w="15" w:type="dxa"/>
              <w:left w:w="15" w:type="dxa"/>
              <w:right w:w="15" w:type="dxa"/>
            </w:tcMar>
            <w:vAlign w:val="center"/>
          </w:tcPr>
          <w:p>
            <w:pPr>
              <w:jc w:val="center"/>
              <w:rPr>
                <w:rFonts w:ascii="宋体" w:hAnsi="宋体" w:eastAsia="宋体" w:cs="宋体"/>
                <w:b/>
                <w:color w:val="000000"/>
                <w:sz w:val="18"/>
                <w:szCs w:val="18"/>
              </w:rPr>
            </w:pPr>
          </w:p>
        </w:tc>
        <w:tc>
          <w:tcPr>
            <w:tcW w:w="763" w:type="dxa"/>
            <w:vMerge w:val="continue"/>
            <w:tcBorders>
              <w:top w:val="single" w:color="000000" w:sz="4" w:space="0"/>
              <w:left w:val="single" w:color="000000" w:sz="4" w:space="0"/>
              <w:bottom w:val="single" w:color="000000" w:sz="4" w:space="0"/>
              <w:right w:val="single" w:color="000000" w:sz="4" w:space="0"/>
            </w:tcBorders>
            <w:shd w:val="clear" w:color="auto" w:fill="CCFFCC"/>
            <w:tcMar>
              <w:top w:w="15" w:type="dxa"/>
              <w:left w:w="15" w:type="dxa"/>
              <w:right w:w="15" w:type="dxa"/>
            </w:tcMar>
            <w:vAlign w:val="center"/>
          </w:tcPr>
          <w:p>
            <w:pPr>
              <w:jc w:val="center"/>
              <w:rPr>
                <w:rFonts w:ascii="宋体" w:hAnsi="宋体" w:eastAsia="宋体" w:cs="宋体"/>
                <w:b/>
                <w:color w:val="000000"/>
                <w:sz w:val="18"/>
                <w:szCs w:val="18"/>
              </w:rPr>
            </w:pPr>
          </w:p>
        </w:tc>
        <w:tc>
          <w:tcPr>
            <w:tcW w:w="1766" w:type="dxa"/>
            <w:gridSpan w:val="2"/>
            <w:tcBorders>
              <w:top w:val="single" w:color="000000" w:sz="4" w:space="0"/>
              <w:left w:val="nil"/>
              <w:bottom w:val="single" w:color="000000" w:sz="4" w:space="0"/>
              <w:right w:val="single" w:color="000000" w:sz="4" w:space="0"/>
            </w:tcBorders>
            <w:shd w:val="clear" w:color="auto" w:fill="CCFFCC"/>
            <w:noWrap/>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第1剂</w:t>
            </w:r>
            <w:r>
              <w:rPr>
                <w:rFonts w:hint="eastAsia" w:ascii="宋体" w:hAnsi="宋体" w:cs="宋体"/>
                <w:b/>
                <w:color w:val="000000"/>
                <w:kern w:val="0"/>
                <w:sz w:val="18"/>
                <w:szCs w:val="18"/>
                <w:lang w:bidi="ar"/>
              </w:rPr>
              <w:t>次</w:t>
            </w:r>
          </w:p>
        </w:tc>
        <w:tc>
          <w:tcPr>
            <w:tcW w:w="1766" w:type="dxa"/>
            <w:gridSpan w:val="2"/>
            <w:tcBorders>
              <w:top w:val="single" w:color="000000" w:sz="4" w:space="0"/>
              <w:left w:val="nil"/>
              <w:bottom w:val="single" w:color="000000" w:sz="4" w:space="0"/>
              <w:right w:val="single" w:color="000000" w:sz="4" w:space="0"/>
            </w:tcBorders>
            <w:shd w:val="clear" w:color="auto" w:fill="CCFFCC"/>
            <w:noWrap/>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第2剂</w:t>
            </w:r>
            <w:r>
              <w:rPr>
                <w:rFonts w:hint="eastAsia" w:ascii="宋体" w:hAnsi="宋体" w:cs="宋体"/>
                <w:b/>
                <w:color w:val="000000"/>
                <w:kern w:val="0"/>
                <w:sz w:val="18"/>
                <w:szCs w:val="18"/>
                <w:lang w:bidi="ar"/>
              </w:rPr>
              <w:t>次</w:t>
            </w:r>
          </w:p>
        </w:tc>
      </w:tr>
      <w:tr>
        <w:trPr>
          <w:trHeight w:val="319" w:hRule="atLeast"/>
        </w:trPr>
        <w:tc>
          <w:tcPr>
            <w:tcW w:w="522" w:type="dxa"/>
            <w:vMerge w:val="continue"/>
            <w:tcBorders>
              <w:top w:val="single" w:color="000000" w:sz="4" w:space="0"/>
              <w:left w:val="single" w:color="000000" w:sz="4" w:space="0"/>
              <w:bottom w:val="single" w:color="000000" w:sz="4" w:space="0"/>
              <w:right w:val="single" w:color="000000" w:sz="4" w:space="0"/>
            </w:tcBorders>
            <w:shd w:val="clear" w:color="auto" w:fill="CCFFCC"/>
            <w:noWrap/>
            <w:tcMar>
              <w:top w:w="15" w:type="dxa"/>
              <w:left w:w="15" w:type="dxa"/>
              <w:right w:w="15" w:type="dxa"/>
            </w:tcMar>
            <w:vAlign w:val="center"/>
          </w:tcPr>
          <w:p>
            <w:pPr>
              <w:jc w:val="center"/>
              <w:rPr>
                <w:rFonts w:ascii="宋体" w:hAnsi="宋体" w:eastAsia="宋体" w:cs="宋体"/>
                <w:b/>
                <w:color w:val="000000"/>
                <w:sz w:val="18"/>
                <w:szCs w:val="18"/>
              </w:rPr>
            </w:pPr>
          </w:p>
        </w:tc>
        <w:tc>
          <w:tcPr>
            <w:tcW w:w="3519" w:type="dxa"/>
            <w:vMerge w:val="continue"/>
            <w:tcBorders>
              <w:top w:val="single" w:color="000000" w:sz="4" w:space="0"/>
              <w:left w:val="single" w:color="000000" w:sz="4" w:space="0"/>
              <w:bottom w:val="single" w:color="000000" w:sz="4" w:space="0"/>
              <w:right w:val="single" w:color="000000" w:sz="4" w:space="0"/>
            </w:tcBorders>
            <w:shd w:val="clear" w:color="auto" w:fill="CCFFCC"/>
            <w:tcMar>
              <w:top w:w="15" w:type="dxa"/>
              <w:left w:w="15" w:type="dxa"/>
              <w:right w:w="15" w:type="dxa"/>
            </w:tcMar>
            <w:vAlign w:val="center"/>
          </w:tcPr>
          <w:p>
            <w:pPr>
              <w:jc w:val="center"/>
              <w:rPr>
                <w:rFonts w:ascii="宋体" w:hAnsi="宋体" w:eastAsia="宋体" w:cs="宋体"/>
                <w:b/>
                <w:color w:val="000000"/>
                <w:sz w:val="18"/>
                <w:szCs w:val="18"/>
              </w:rPr>
            </w:pPr>
          </w:p>
        </w:tc>
        <w:tc>
          <w:tcPr>
            <w:tcW w:w="763" w:type="dxa"/>
            <w:vMerge w:val="continue"/>
            <w:tcBorders>
              <w:top w:val="single" w:color="000000" w:sz="4" w:space="0"/>
              <w:left w:val="single" w:color="000000" w:sz="4" w:space="0"/>
              <w:bottom w:val="single" w:color="000000" w:sz="4" w:space="0"/>
              <w:right w:val="single" w:color="000000" w:sz="4" w:space="0"/>
            </w:tcBorders>
            <w:shd w:val="clear" w:color="auto" w:fill="CCFFCC"/>
            <w:tcMar>
              <w:top w:w="15" w:type="dxa"/>
              <w:left w:w="15" w:type="dxa"/>
              <w:right w:w="15" w:type="dxa"/>
            </w:tcMar>
            <w:vAlign w:val="center"/>
          </w:tcPr>
          <w:p>
            <w:pPr>
              <w:jc w:val="center"/>
              <w:rPr>
                <w:rFonts w:ascii="宋体" w:hAnsi="宋体" w:eastAsia="宋体" w:cs="宋体"/>
                <w:b/>
                <w:color w:val="000000"/>
                <w:sz w:val="18"/>
                <w:szCs w:val="18"/>
              </w:rPr>
            </w:pPr>
          </w:p>
        </w:tc>
        <w:tc>
          <w:tcPr>
            <w:tcW w:w="790" w:type="dxa"/>
            <w:tcBorders>
              <w:top w:val="single" w:color="000000" w:sz="4" w:space="0"/>
              <w:left w:val="single" w:color="000000" w:sz="4" w:space="0"/>
              <w:bottom w:val="single" w:color="000000" w:sz="4" w:space="0"/>
              <w:right w:val="single" w:color="000000" w:sz="4" w:space="0"/>
            </w:tcBorders>
            <w:shd w:val="clear" w:color="auto" w:fill="CCFFCC"/>
            <w:noWrap/>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累计</w:t>
            </w:r>
          </w:p>
        </w:tc>
        <w:tc>
          <w:tcPr>
            <w:tcW w:w="976" w:type="dxa"/>
            <w:tcBorders>
              <w:top w:val="single" w:color="000000" w:sz="4" w:space="0"/>
              <w:left w:val="single" w:color="000000" w:sz="4" w:space="0"/>
              <w:bottom w:val="single" w:color="000000" w:sz="4" w:space="0"/>
              <w:right w:val="single" w:color="000000" w:sz="4" w:space="0"/>
            </w:tcBorders>
            <w:shd w:val="clear" w:color="auto" w:fill="CCFFCC"/>
            <w:noWrap/>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完成率(%)</w:t>
            </w:r>
          </w:p>
        </w:tc>
        <w:tc>
          <w:tcPr>
            <w:tcW w:w="639" w:type="dxa"/>
            <w:tcBorders>
              <w:top w:val="single" w:color="000000" w:sz="4" w:space="0"/>
              <w:left w:val="single" w:color="000000" w:sz="4" w:space="0"/>
              <w:bottom w:val="single" w:color="000000" w:sz="4" w:space="0"/>
              <w:right w:val="single" w:color="000000" w:sz="4" w:space="0"/>
            </w:tcBorders>
            <w:shd w:val="clear" w:color="auto" w:fill="CCFFCC"/>
            <w:noWrap/>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累计</w:t>
            </w:r>
          </w:p>
        </w:tc>
        <w:tc>
          <w:tcPr>
            <w:tcW w:w="1127" w:type="dxa"/>
            <w:tcBorders>
              <w:top w:val="single" w:color="000000" w:sz="4" w:space="0"/>
              <w:left w:val="single" w:color="000000" w:sz="4" w:space="0"/>
              <w:bottom w:val="single" w:color="000000" w:sz="4" w:space="0"/>
              <w:right w:val="single" w:color="000000" w:sz="4" w:space="0"/>
            </w:tcBorders>
            <w:shd w:val="clear" w:color="auto" w:fill="CCFFCC"/>
            <w:noWrap/>
            <w:tcMar>
              <w:top w:w="15" w:type="dxa"/>
              <w:left w:w="15" w:type="dxa"/>
              <w:right w:w="15" w:type="dxa"/>
            </w:tcMar>
            <w:vAlign w:val="center"/>
          </w:tcPr>
          <w:p>
            <w:pPr>
              <w:widowControl/>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完成率(%)</w:t>
            </w:r>
          </w:p>
        </w:tc>
      </w:tr>
      <w:tr>
        <w:tblPrEx>
          <w:tblCellMar>
            <w:top w:w="0" w:type="dxa"/>
            <w:left w:w="0" w:type="dxa"/>
            <w:bottom w:w="0" w:type="dxa"/>
            <w:right w:w="0" w:type="dxa"/>
          </w:tblCellMar>
        </w:tblPrEx>
        <w:trPr>
          <w:trHeight w:val="300" w:hRule="atLeast"/>
        </w:trPr>
        <w:tc>
          <w:tcPr>
            <w:tcW w:w="52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5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海南省 4600000000</w:t>
            </w:r>
          </w:p>
        </w:tc>
        <w:tc>
          <w:tcPr>
            <w:tcW w:w="7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71000</w:t>
            </w: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79101</w:t>
            </w:r>
          </w:p>
        </w:tc>
        <w:tc>
          <w:tcPr>
            <w:tcW w:w="9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111.41 </w:t>
            </w:r>
          </w:p>
        </w:tc>
        <w:tc>
          <w:tcPr>
            <w:tcW w:w="6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78249</w:t>
            </w:r>
          </w:p>
        </w:tc>
        <w:tc>
          <w:tcPr>
            <w:tcW w:w="11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110.21 </w:t>
            </w:r>
          </w:p>
        </w:tc>
      </w:tr>
      <w:tr>
        <w:trPr>
          <w:trHeight w:val="300" w:hRule="atLeast"/>
        </w:trPr>
        <w:tc>
          <w:tcPr>
            <w:tcW w:w="52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5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海口市 4601000000</w:t>
            </w:r>
          </w:p>
        </w:tc>
        <w:tc>
          <w:tcPr>
            <w:tcW w:w="7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14000</w:t>
            </w: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16727</w:t>
            </w:r>
          </w:p>
        </w:tc>
        <w:tc>
          <w:tcPr>
            <w:tcW w:w="9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119.48 </w:t>
            </w:r>
          </w:p>
        </w:tc>
        <w:tc>
          <w:tcPr>
            <w:tcW w:w="6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16602</w:t>
            </w:r>
          </w:p>
        </w:tc>
        <w:tc>
          <w:tcPr>
            <w:tcW w:w="11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118.59 </w:t>
            </w:r>
          </w:p>
        </w:tc>
      </w:tr>
      <w:tr>
        <w:trPr>
          <w:trHeight w:val="300" w:hRule="atLeast"/>
        </w:trPr>
        <w:tc>
          <w:tcPr>
            <w:tcW w:w="52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35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秀英区 4601050000</w:t>
            </w:r>
          </w:p>
        </w:tc>
        <w:tc>
          <w:tcPr>
            <w:tcW w:w="7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2800</w:t>
            </w: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2800</w:t>
            </w:r>
          </w:p>
        </w:tc>
        <w:tc>
          <w:tcPr>
            <w:tcW w:w="9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100.00 </w:t>
            </w:r>
          </w:p>
        </w:tc>
        <w:tc>
          <w:tcPr>
            <w:tcW w:w="6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2779</w:t>
            </w:r>
          </w:p>
        </w:tc>
        <w:tc>
          <w:tcPr>
            <w:tcW w:w="11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99.25 </w:t>
            </w:r>
          </w:p>
        </w:tc>
      </w:tr>
      <w:tr>
        <w:tblPrEx>
          <w:tblCellMar>
            <w:top w:w="0" w:type="dxa"/>
            <w:left w:w="0" w:type="dxa"/>
            <w:bottom w:w="0" w:type="dxa"/>
            <w:right w:w="0" w:type="dxa"/>
          </w:tblCellMar>
        </w:tblPrEx>
        <w:trPr>
          <w:trHeight w:val="300" w:hRule="atLeast"/>
        </w:trPr>
        <w:tc>
          <w:tcPr>
            <w:tcW w:w="52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35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龙华区 4601060000</w:t>
            </w:r>
          </w:p>
        </w:tc>
        <w:tc>
          <w:tcPr>
            <w:tcW w:w="7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3700</w:t>
            </w: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4022</w:t>
            </w:r>
          </w:p>
        </w:tc>
        <w:tc>
          <w:tcPr>
            <w:tcW w:w="9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108.70 </w:t>
            </w:r>
          </w:p>
        </w:tc>
        <w:tc>
          <w:tcPr>
            <w:tcW w:w="6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3986</w:t>
            </w:r>
          </w:p>
        </w:tc>
        <w:tc>
          <w:tcPr>
            <w:tcW w:w="11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107.73 </w:t>
            </w:r>
          </w:p>
        </w:tc>
      </w:tr>
      <w:tr>
        <w:trPr>
          <w:trHeight w:val="300" w:hRule="atLeast"/>
        </w:trPr>
        <w:tc>
          <w:tcPr>
            <w:tcW w:w="52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35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琼山区 4601070000</w:t>
            </w:r>
          </w:p>
        </w:tc>
        <w:tc>
          <w:tcPr>
            <w:tcW w:w="7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3400</w:t>
            </w: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4623</w:t>
            </w:r>
          </w:p>
        </w:tc>
        <w:tc>
          <w:tcPr>
            <w:tcW w:w="9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135.97 </w:t>
            </w:r>
          </w:p>
        </w:tc>
        <w:tc>
          <w:tcPr>
            <w:tcW w:w="6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4589</w:t>
            </w:r>
          </w:p>
        </w:tc>
        <w:tc>
          <w:tcPr>
            <w:tcW w:w="11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134.97 </w:t>
            </w:r>
          </w:p>
        </w:tc>
      </w:tr>
      <w:tr>
        <w:trPr>
          <w:trHeight w:val="300" w:hRule="atLeast"/>
        </w:trPr>
        <w:tc>
          <w:tcPr>
            <w:tcW w:w="52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35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美兰区 4601080000</w:t>
            </w:r>
          </w:p>
        </w:tc>
        <w:tc>
          <w:tcPr>
            <w:tcW w:w="7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4100</w:t>
            </w: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5282</w:t>
            </w:r>
          </w:p>
        </w:tc>
        <w:tc>
          <w:tcPr>
            <w:tcW w:w="9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128.83 </w:t>
            </w:r>
          </w:p>
        </w:tc>
        <w:tc>
          <w:tcPr>
            <w:tcW w:w="6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5248</w:t>
            </w:r>
          </w:p>
        </w:tc>
        <w:tc>
          <w:tcPr>
            <w:tcW w:w="11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128.00 </w:t>
            </w:r>
          </w:p>
        </w:tc>
      </w:tr>
      <w:tr>
        <w:tblPrEx>
          <w:tblCellMar>
            <w:top w:w="0" w:type="dxa"/>
            <w:left w:w="0" w:type="dxa"/>
            <w:bottom w:w="0" w:type="dxa"/>
            <w:right w:w="0" w:type="dxa"/>
          </w:tblCellMar>
        </w:tblPrEx>
        <w:trPr>
          <w:trHeight w:val="300" w:hRule="atLeast"/>
        </w:trPr>
        <w:tc>
          <w:tcPr>
            <w:tcW w:w="52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35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三亚市 4602000000</w:t>
            </w:r>
          </w:p>
        </w:tc>
        <w:tc>
          <w:tcPr>
            <w:tcW w:w="7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6200</w:t>
            </w: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7108</w:t>
            </w:r>
          </w:p>
        </w:tc>
        <w:tc>
          <w:tcPr>
            <w:tcW w:w="9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114.65 </w:t>
            </w:r>
          </w:p>
        </w:tc>
        <w:tc>
          <w:tcPr>
            <w:tcW w:w="6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7034</w:t>
            </w:r>
          </w:p>
        </w:tc>
        <w:tc>
          <w:tcPr>
            <w:tcW w:w="11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113.45 </w:t>
            </w:r>
          </w:p>
        </w:tc>
      </w:tr>
      <w:tr>
        <w:trPr>
          <w:trHeight w:val="300" w:hRule="atLeast"/>
        </w:trPr>
        <w:tc>
          <w:tcPr>
            <w:tcW w:w="52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35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儋州市 4604000000</w:t>
            </w:r>
          </w:p>
        </w:tc>
        <w:tc>
          <w:tcPr>
            <w:tcW w:w="7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7600</w:t>
            </w: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8628</w:t>
            </w:r>
          </w:p>
        </w:tc>
        <w:tc>
          <w:tcPr>
            <w:tcW w:w="9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113.53 </w:t>
            </w:r>
          </w:p>
        </w:tc>
        <w:tc>
          <w:tcPr>
            <w:tcW w:w="6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8588</w:t>
            </w:r>
          </w:p>
        </w:tc>
        <w:tc>
          <w:tcPr>
            <w:tcW w:w="11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113.00 </w:t>
            </w:r>
          </w:p>
        </w:tc>
      </w:tr>
      <w:tr>
        <w:trPr>
          <w:trHeight w:val="300" w:hRule="atLeast"/>
        </w:trPr>
        <w:tc>
          <w:tcPr>
            <w:tcW w:w="52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35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五指山市 4690010000</w:t>
            </w:r>
          </w:p>
        </w:tc>
        <w:tc>
          <w:tcPr>
            <w:tcW w:w="7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1000</w:t>
            </w: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1063</w:t>
            </w:r>
          </w:p>
        </w:tc>
        <w:tc>
          <w:tcPr>
            <w:tcW w:w="9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106.30 </w:t>
            </w:r>
          </w:p>
        </w:tc>
        <w:tc>
          <w:tcPr>
            <w:tcW w:w="6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1056</w:t>
            </w:r>
          </w:p>
        </w:tc>
        <w:tc>
          <w:tcPr>
            <w:tcW w:w="11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105.60 </w:t>
            </w:r>
          </w:p>
        </w:tc>
      </w:tr>
      <w:tr>
        <w:tblPrEx>
          <w:tblCellMar>
            <w:top w:w="0" w:type="dxa"/>
            <w:left w:w="0" w:type="dxa"/>
            <w:bottom w:w="0" w:type="dxa"/>
            <w:right w:w="0" w:type="dxa"/>
          </w:tblCellMar>
        </w:tblPrEx>
        <w:trPr>
          <w:trHeight w:val="300" w:hRule="atLeast"/>
        </w:trPr>
        <w:tc>
          <w:tcPr>
            <w:tcW w:w="52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35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琼海市 4690020000</w:t>
            </w:r>
          </w:p>
        </w:tc>
        <w:tc>
          <w:tcPr>
            <w:tcW w:w="7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3700</w:t>
            </w: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4183</w:t>
            </w:r>
          </w:p>
        </w:tc>
        <w:tc>
          <w:tcPr>
            <w:tcW w:w="9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113.05 </w:t>
            </w:r>
          </w:p>
        </w:tc>
        <w:tc>
          <w:tcPr>
            <w:tcW w:w="6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4167</w:t>
            </w:r>
          </w:p>
        </w:tc>
        <w:tc>
          <w:tcPr>
            <w:tcW w:w="11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112.62 </w:t>
            </w:r>
          </w:p>
        </w:tc>
      </w:tr>
      <w:tr>
        <w:trPr>
          <w:trHeight w:val="300" w:hRule="atLeast"/>
        </w:trPr>
        <w:tc>
          <w:tcPr>
            <w:tcW w:w="52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11</w:t>
            </w:r>
          </w:p>
        </w:tc>
        <w:tc>
          <w:tcPr>
            <w:tcW w:w="35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文昌市 4690050000</w:t>
            </w:r>
          </w:p>
        </w:tc>
        <w:tc>
          <w:tcPr>
            <w:tcW w:w="7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4000</w:t>
            </w: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4578</w:t>
            </w:r>
          </w:p>
        </w:tc>
        <w:tc>
          <w:tcPr>
            <w:tcW w:w="9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114.45 </w:t>
            </w:r>
          </w:p>
        </w:tc>
        <w:tc>
          <w:tcPr>
            <w:tcW w:w="6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4557</w:t>
            </w:r>
          </w:p>
        </w:tc>
        <w:tc>
          <w:tcPr>
            <w:tcW w:w="11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113.93 </w:t>
            </w:r>
          </w:p>
        </w:tc>
      </w:tr>
      <w:tr>
        <w:trPr>
          <w:trHeight w:val="300" w:hRule="atLeast"/>
        </w:trPr>
        <w:tc>
          <w:tcPr>
            <w:tcW w:w="52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35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万宁市 4690060000</w:t>
            </w:r>
          </w:p>
        </w:tc>
        <w:tc>
          <w:tcPr>
            <w:tcW w:w="7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4400</w:t>
            </w: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4838</w:t>
            </w:r>
          </w:p>
        </w:tc>
        <w:tc>
          <w:tcPr>
            <w:tcW w:w="9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109.95 </w:t>
            </w:r>
          </w:p>
        </w:tc>
        <w:tc>
          <w:tcPr>
            <w:tcW w:w="6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4744</w:t>
            </w:r>
          </w:p>
        </w:tc>
        <w:tc>
          <w:tcPr>
            <w:tcW w:w="11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107.82 </w:t>
            </w:r>
          </w:p>
        </w:tc>
      </w:tr>
      <w:tr>
        <w:tblPrEx>
          <w:tblCellMar>
            <w:top w:w="0" w:type="dxa"/>
            <w:left w:w="0" w:type="dxa"/>
            <w:bottom w:w="0" w:type="dxa"/>
            <w:right w:w="0" w:type="dxa"/>
          </w:tblCellMar>
        </w:tblPrEx>
        <w:trPr>
          <w:trHeight w:val="300" w:hRule="atLeast"/>
        </w:trPr>
        <w:tc>
          <w:tcPr>
            <w:tcW w:w="52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13</w:t>
            </w:r>
          </w:p>
        </w:tc>
        <w:tc>
          <w:tcPr>
            <w:tcW w:w="35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东方市 4690070000</w:t>
            </w:r>
          </w:p>
        </w:tc>
        <w:tc>
          <w:tcPr>
            <w:tcW w:w="7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3200</w:t>
            </w: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3665</w:t>
            </w:r>
          </w:p>
        </w:tc>
        <w:tc>
          <w:tcPr>
            <w:tcW w:w="9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114.53 </w:t>
            </w:r>
          </w:p>
        </w:tc>
        <w:tc>
          <w:tcPr>
            <w:tcW w:w="6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3571</w:t>
            </w:r>
          </w:p>
        </w:tc>
        <w:tc>
          <w:tcPr>
            <w:tcW w:w="11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111.59 </w:t>
            </w:r>
          </w:p>
        </w:tc>
      </w:tr>
      <w:tr>
        <w:trPr>
          <w:trHeight w:val="300" w:hRule="atLeast"/>
        </w:trPr>
        <w:tc>
          <w:tcPr>
            <w:tcW w:w="52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35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定安县 4690210000</w:t>
            </w:r>
          </w:p>
        </w:tc>
        <w:tc>
          <w:tcPr>
            <w:tcW w:w="7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2700</w:t>
            </w: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2879</w:t>
            </w:r>
          </w:p>
        </w:tc>
        <w:tc>
          <w:tcPr>
            <w:tcW w:w="9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106.63 </w:t>
            </w:r>
          </w:p>
        </w:tc>
        <w:tc>
          <w:tcPr>
            <w:tcW w:w="6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2822</w:t>
            </w:r>
          </w:p>
        </w:tc>
        <w:tc>
          <w:tcPr>
            <w:tcW w:w="11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104.52 </w:t>
            </w:r>
          </w:p>
        </w:tc>
      </w:tr>
      <w:tr>
        <w:trPr>
          <w:trHeight w:val="300" w:hRule="atLeast"/>
        </w:trPr>
        <w:tc>
          <w:tcPr>
            <w:tcW w:w="52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35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屯昌县 4690220000</w:t>
            </w:r>
          </w:p>
        </w:tc>
        <w:tc>
          <w:tcPr>
            <w:tcW w:w="7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2600</w:t>
            </w: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2749</w:t>
            </w:r>
          </w:p>
        </w:tc>
        <w:tc>
          <w:tcPr>
            <w:tcW w:w="9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105.73 </w:t>
            </w:r>
          </w:p>
        </w:tc>
        <w:tc>
          <w:tcPr>
            <w:tcW w:w="6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2707</w:t>
            </w:r>
          </w:p>
        </w:tc>
        <w:tc>
          <w:tcPr>
            <w:tcW w:w="11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104.12 </w:t>
            </w:r>
          </w:p>
        </w:tc>
      </w:tr>
      <w:tr>
        <w:tblPrEx>
          <w:tblCellMar>
            <w:top w:w="0" w:type="dxa"/>
            <w:left w:w="0" w:type="dxa"/>
            <w:bottom w:w="0" w:type="dxa"/>
            <w:right w:w="0" w:type="dxa"/>
          </w:tblCellMar>
        </w:tblPrEx>
        <w:trPr>
          <w:trHeight w:val="300" w:hRule="atLeast"/>
        </w:trPr>
        <w:tc>
          <w:tcPr>
            <w:tcW w:w="52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35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澄迈县 4690230000</w:t>
            </w:r>
          </w:p>
        </w:tc>
        <w:tc>
          <w:tcPr>
            <w:tcW w:w="7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4100</w:t>
            </w: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4381</w:t>
            </w:r>
          </w:p>
        </w:tc>
        <w:tc>
          <w:tcPr>
            <w:tcW w:w="9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106.85 </w:t>
            </w:r>
          </w:p>
        </w:tc>
        <w:tc>
          <w:tcPr>
            <w:tcW w:w="6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4298</w:t>
            </w:r>
          </w:p>
        </w:tc>
        <w:tc>
          <w:tcPr>
            <w:tcW w:w="11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104.83 </w:t>
            </w:r>
          </w:p>
        </w:tc>
      </w:tr>
      <w:tr>
        <w:trPr>
          <w:trHeight w:val="300" w:hRule="atLeast"/>
        </w:trPr>
        <w:tc>
          <w:tcPr>
            <w:tcW w:w="52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17</w:t>
            </w:r>
          </w:p>
        </w:tc>
        <w:tc>
          <w:tcPr>
            <w:tcW w:w="35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临高县 4690240000</w:t>
            </w:r>
          </w:p>
        </w:tc>
        <w:tc>
          <w:tcPr>
            <w:tcW w:w="7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4200</w:t>
            </w: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4341</w:t>
            </w:r>
          </w:p>
        </w:tc>
        <w:tc>
          <w:tcPr>
            <w:tcW w:w="9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103.36 </w:t>
            </w:r>
          </w:p>
        </w:tc>
        <w:tc>
          <w:tcPr>
            <w:tcW w:w="6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4322</w:t>
            </w:r>
          </w:p>
        </w:tc>
        <w:tc>
          <w:tcPr>
            <w:tcW w:w="11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102.90 </w:t>
            </w:r>
          </w:p>
        </w:tc>
      </w:tr>
      <w:tr>
        <w:trPr>
          <w:trHeight w:val="300" w:hRule="atLeast"/>
        </w:trPr>
        <w:tc>
          <w:tcPr>
            <w:tcW w:w="52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18</w:t>
            </w:r>
          </w:p>
        </w:tc>
        <w:tc>
          <w:tcPr>
            <w:tcW w:w="35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白沙黎族自治县 4690250000</w:t>
            </w:r>
          </w:p>
        </w:tc>
        <w:tc>
          <w:tcPr>
            <w:tcW w:w="7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1700</w:t>
            </w: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1713</w:t>
            </w:r>
          </w:p>
        </w:tc>
        <w:tc>
          <w:tcPr>
            <w:tcW w:w="9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100.76 </w:t>
            </w:r>
          </w:p>
        </w:tc>
        <w:tc>
          <w:tcPr>
            <w:tcW w:w="6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1688</w:t>
            </w:r>
          </w:p>
        </w:tc>
        <w:tc>
          <w:tcPr>
            <w:tcW w:w="11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99.29 </w:t>
            </w:r>
          </w:p>
        </w:tc>
      </w:tr>
      <w:tr>
        <w:tblPrEx>
          <w:tblCellMar>
            <w:top w:w="0" w:type="dxa"/>
            <w:left w:w="0" w:type="dxa"/>
            <w:bottom w:w="0" w:type="dxa"/>
            <w:right w:w="0" w:type="dxa"/>
          </w:tblCellMar>
        </w:tblPrEx>
        <w:trPr>
          <w:trHeight w:val="300" w:hRule="atLeast"/>
        </w:trPr>
        <w:tc>
          <w:tcPr>
            <w:tcW w:w="52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19</w:t>
            </w:r>
          </w:p>
        </w:tc>
        <w:tc>
          <w:tcPr>
            <w:tcW w:w="35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昌江黎族自治县 4690260000</w:t>
            </w:r>
          </w:p>
        </w:tc>
        <w:tc>
          <w:tcPr>
            <w:tcW w:w="7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1800</w:t>
            </w: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1957</w:t>
            </w:r>
          </w:p>
        </w:tc>
        <w:tc>
          <w:tcPr>
            <w:tcW w:w="9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108.72 </w:t>
            </w:r>
          </w:p>
        </w:tc>
        <w:tc>
          <w:tcPr>
            <w:tcW w:w="6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1928</w:t>
            </w:r>
          </w:p>
        </w:tc>
        <w:tc>
          <w:tcPr>
            <w:tcW w:w="11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107.11 </w:t>
            </w:r>
          </w:p>
        </w:tc>
      </w:tr>
      <w:tr>
        <w:trPr>
          <w:trHeight w:val="300" w:hRule="atLeast"/>
        </w:trPr>
        <w:tc>
          <w:tcPr>
            <w:tcW w:w="52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35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乐东黎族自治县 4690270000</w:t>
            </w:r>
          </w:p>
        </w:tc>
        <w:tc>
          <w:tcPr>
            <w:tcW w:w="7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3400</w:t>
            </w: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3591</w:t>
            </w:r>
          </w:p>
        </w:tc>
        <w:tc>
          <w:tcPr>
            <w:tcW w:w="9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105.62 </w:t>
            </w:r>
          </w:p>
        </w:tc>
        <w:tc>
          <w:tcPr>
            <w:tcW w:w="6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3489</w:t>
            </w:r>
          </w:p>
        </w:tc>
        <w:tc>
          <w:tcPr>
            <w:tcW w:w="11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102.62 </w:t>
            </w:r>
          </w:p>
        </w:tc>
      </w:tr>
      <w:tr>
        <w:trPr>
          <w:trHeight w:val="300" w:hRule="atLeast"/>
        </w:trPr>
        <w:tc>
          <w:tcPr>
            <w:tcW w:w="52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21</w:t>
            </w:r>
          </w:p>
        </w:tc>
        <w:tc>
          <w:tcPr>
            <w:tcW w:w="35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陵水黎族自治县 4690280000</w:t>
            </w:r>
          </w:p>
        </w:tc>
        <w:tc>
          <w:tcPr>
            <w:tcW w:w="7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3200</w:t>
            </w: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3500</w:t>
            </w:r>
          </w:p>
        </w:tc>
        <w:tc>
          <w:tcPr>
            <w:tcW w:w="9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109.38 </w:t>
            </w:r>
          </w:p>
        </w:tc>
        <w:tc>
          <w:tcPr>
            <w:tcW w:w="6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3483</w:t>
            </w:r>
          </w:p>
        </w:tc>
        <w:tc>
          <w:tcPr>
            <w:tcW w:w="11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108.84 </w:t>
            </w:r>
          </w:p>
        </w:tc>
      </w:tr>
      <w:tr>
        <w:tblPrEx>
          <w:tblCellMar>
            <w:top w:w="0" w:type="dxa"/>
            <w:left w:w="0" w:type="dxa"/>
            <w:bottom w:w="0" w:type="dxa"/>
            <w:right w:w="0" w:type="dxa"/>
          </w:tblCellMar>
        </w:tblPrEx>
        <w:trPr>
          <w:trHeight w:val="300" w:hRule="atLeast"/>
        </w:trPr>
        <w:tc>
          <w:tcPr>
            <w:tcW w:w="52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22</w:t>
            </w:r>
          </w:p>
        </w:tc>
        <w:tc>
          <w:tcPr>
            <w:tcW w:w="35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保亭黎族苗族自治县 4690290000</w:t>
            </w:r>
          </w:p>
        </w:tc>
        <w:tc>
          <w:tcPr>
            <w:tcW w:w="7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1400</w:t>
            </w: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1400</w:t>
            </w:r>
          </w:p>
        </w:tc>
        <w:tc>
          <w:tcPr>
            <w:tcW w:w="9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100.00 </w:t>
            </w:r>
          </w:p>
        </w:tc>
        <w:tc>
          <w:tcPr>
            <w:tcW w:w="6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1393</w:t>
            </w:r>
          </w:p>
        </w:tc>
        <w:tc>
          <w:tcPr>
            <w:tcW w:w="11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99.50 </w:t>
            </w:r>
          </w:p>
        </w:tc>
      </w:tr>
      <w:tr>
        <w:trPr>
          <w:trHeight w:val="300" w:hRule="atLeast"/>
        </w:trPr>
        <w:tc>
          <w:tcPr>
            <w:tcW w:w="52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bidi="ar"/>
              </w:rPr>
              <w:t>23</w:t>
            </w:r>
          </w:p>
        </w:tc>
        <w:tc>
          <w:tcPr>
            <w:tcW w:w="35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琼中黎族苗族自治县 4690300000</w:t>
            </w:r>
          </w:p>
        </w:tc>
        <w:tc>
          <w:tcPr>
            <w:tcW w:w="7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lang w:bidi="ar"/>
              </w:rPr>
              <w:t>1800</w:t>
            </w: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1800</w:t>
            </w:r>
          </w:p>
        </w:tc>
        <w:tc>
          <w:tcPr>
            <w:tcW w:w="9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100.00 </w:t>
            </w:r>
          </w:p>
        </w:tc>
        <w:tc>
          <w:tcPr>
            <w:tcW w:w="63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1800</w:t>
            </w:r>
          </w:p>
        </w:tc>
        <w:tc>
          <w:tcPr>
            <w:tcW w:w="11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kern w:val="0"/>
                <w:sz w:val="18"/>
                <w:szCs w:val="18"/>
                <w:lang w:bidi="ar"/>
              </w:rPr>
            </w:pPr>
            <w:r>
              <w:rPr>
                <w:rFonts w:hint="eastAsia" w:ascii="宋体" w:hAnsi="宋体" w:eastAsia="宋体" w:cs="宋体"/>
                <w:kern w:val="0"/>
                <w:sz w:val="18"/>
                <w:szCs w:val="18"/>
                <w:lang w:bidi="ar"/>
              </w:rPr>
              <w:t xml:space="preserve">100.00 </w:t>
            </w:r>
          </w:p>
        </w:tc>
      </w:tr>
    </w:tbl>
    <w:p>
      <w:pPr>
        <w:snapToGrid w:val="0"/>
        <w:spacing w:line="578" w:lineRule="exact"/>
        <w:outlineLvl w:val="0"/>
        <w:rPr>
          <w:rFonts w:ascii="仿宋" w:hAnsi="仿宋" w:eastAsia="仿宋" w:cs="仿宋"/>
          <w:bCs/>
          <w:sz w:val="32"/>
          <w:szCs w:val="32"/>
        </w:rPr>
      </w:pPr>
    </w:p>
    <w:p>
      <w:pPr>
        <w:snapToGrid w:val="0"/>
        <w:spacing w:line="578" w:lineRule="exact"/>
        <w:ind w:firstLine="640" w:firstLineChars="200"/>
        <w:outlineLvl w:val="0"/>
        <w:rPr>
          <w:rFonts w:ascii="仿宋" w:hAnsi="仿宋" w:eastAsia="仿宋" w:cs="仿宋"/>
          <w:bCs/>
          <w:sz w:val="32"/>
          <w:szCs w:val="32"/>
        </w:rPr>
      </w:pPr>
      <w:r>
        <w:rPr>
          <w:rFonts w:hint="eastAsia" w:ascii="楷体_GB2312" w:hAnsi="楷体_GB2312" w:eastAsia="楷体_GB2312" w:cs="楷体_GB2312"/>
          <w:bCs/>
          <w:sz w:val="32"/>
          <w:szCs w:val="32"/>
        </w:rPr>
        <w:t>（四）绩效指标完成情况分析。</w:t>
      </w:r>
    </w:p>
    <w:p>
      <w:pPr>
        <w:snapToGrid w:val="0"/>
        <w:spacing w:line="578" w:lineRule="exact"/>
        <w:ind w:firstLine="640" w:firstLineChars="200"/>
        <w:outlineLvl w:val="0"/>
        <w:rPr>
          <w:rFonts w:ascii="仿宋" w:hAnsi="仿宋" w:eastAsia="仿宋" w:cs="仿宋"/>
          <w:bCs/>
          <w:sz w:val="32"/>
          <w:szCs w:val="32"/>
        </w:rPr>
      </w:pPr>
      <w:r>
        <w:rPr>
          <w:rFonts w:hint="eastAsia" w:ascii="仿宋" w:hAnsi="仿宋" w:eastAsia="仿宋" w:cs="仿宋"/>
          <w:bCs/>
          <w:sz w:val="32"/>
          <w:szCs w:val="32"/>
        </w:rPr>
        <w:t>（一）强化组织领导，做好经费保障。</w:t>
      </w:r>
    </w:p>
    <w:p>
      <w:pPr>
        <w:snapToGrid w:val="0"/>
        <w:spacing w:line="578" w:lineRule="exact"/>
        <w:ind w:firstLine="640" w:firstLineChars="200"/>
        <w:outlineLvl w:val="0"/>
        <w:rPr>
          <w:rFonts w:ascii="仿宋" w:hAnsi="仿宋" w:eastAsia="仿宋" w:cs="仿宋"/>
          <w:bCs/>
          <w:sz w:val="32"/>
          <w:szCs w:val="32"/>
        </w:rPr>
      </w:pPr>
      <w:r>
        <w:rPr>
          <w:rFonts w:hint="eastAsia" w:ascii="仿宋" w:hAnsi="仿宋" w:eastAsia="仿宋" w:cs="仿宋"/>
          <w:bCs/>
          <w:sz w:val="32"/>
          <w:szCs w:val="32"/>
        </w:rPr>
        <w:t>2022年2月底前，省卫健委联合省教育厅印发《2022年海南省适龄女生HPV疫苗接种项目实施方案》，强化组织领导，建立省卫生健康委主要领导任组长、省教育厅和省卫生健康委分管领导任副组长的领导小组，并设置项目办和4个专项工作组；明确市县政府、卫生健康、教育、疾控、妇幼等部门及接种单位、学校职责。为督促项目进展，省卫生健康委先后印发《关于加快推进适龄女生HPV疫苗接种项目第1剂次工作的通知》和《关于进一步做好适龄女生HPV疫苗接种项目第1剂次工作的补充通知》，要求市县切实履行健康保障责任，对适龄女生做到“应接尽接”。</w:t>
      </w:r>
    </w:p>
    <w:p>
      <w:pPr>
        <w:snapToGrid w:val="0"/>
        <w:spacing w:line="578" w:lineRule="exact"/>
        <w:ind w:firstLine="640" w:firstLineChars="200"/>
        <w:outlineLvl w:val="0"/>
        <w:rPr>
          <w:rFonts w:ascii="仿宋" w:hAnsi="仿宋" w:eastAsia="仿宋" w:cs="仿宋"/>
          <w:bCs/>
          <w:sz w:val="32"/>
          <w:szCs w:val="32"/>
        </w:rPr>
      </w:pPr>
      <w:r>
        <w:rPr>
          <w:rFonts w:hint="eastAsia" w:ascii="仿宋" w:hAnsi="仿宋" w:eastAsia="仿宋" w:cs="仿宋"/>
          <w:bCs/>
          <w:sz w:val="32"/>
          <w:szCs w:val="32"/>
        </w:rPr>
        <w:t xml:space="preserve">各市县根据项目任务和目标，进一步加强对项目工作的组织领导，提高重视，成立市县级项目领导小组和专项工作组，科学制定项目具体方案，精准安排接种计划。市县有专人负责，优化项目流程，加强统筹协调，落实各项措施和服务内容，稳妥推进各项目工作开展。充分发挥卫生健康、教育、妇幼保健、疾控队伍的组织发动、健康宣传和协调管理作用，为开展好项目提供各项保障。 </w:t>
      </w:r>
    </w:p>
    <w:p>
      <w:pPr>
        <w:snapToGrid w:val="0"/>
        <w:spacing w:line="578" w:lineRule="exact"/>
        <w:ind w:firstLine="640" w:firstLineChars="200"/>
        <w:outlineLvl w:val="0"/>
        <w:rPr>
          <w:rFonts w:ascii="仿宋" w:hAnsi="仿宋" w:eastAsia="仿宋" w:cs="仿宋"/>
          <w:bCs/>
          <w:sz w:val="32"/>
          <w:szCs w:val="32"/>
        </w:rPr>
      </w:pPr>
      <w:r>
        <w:rPr>
          <w:rFonts w:hint="eastAsia" w:ascii="仿宋" w:hAnsi="仿宋" w:eastAsia="仿宋" w:cs="仿宋"/>
          <w:bCs/>
          <w:sz w:val="32"/>
          <w:szCs w:val="32"/>
        </w:rPr>
        <w:t>（二）做足充分准备，迅速启动项目。</w:t>
      </w:r>
    </w:p>
    <w:p>
      <w:pPr>
        <w:snapToGrid w:val="0"/>
        <w:spacing w:line="578" w:lineRule="exact"/>
        <w:ind w:firstLine="640" w:firstLineChars="200"/>
        <w:outlineLvl w:val="0"/>
        <w:rPr>
          <w:rFonts w:ascii="仿宋" w:hAnsi="仿宋" w:eastAsia="仿宋" w:cs="仿宋"/>
          <w:bCs/>
          <w:sz w:val="32"/>
          <w:szCs w:val="32"/>
        </w:rPr>
      </w:pPr>
      <w:r>
        <w:rPr>
          <w:rFonts w:ascii="仿宋" w:hAnsi="仿宋" w:eastAsia="仿宋" w:cs="仿宋"/>
          <w:bCs/>
          <w:sz w:val="32"/>
          <w:szCs w:val="32"/>
        </w:rPr>
        <w:t>省卫生健康委迅速部署、</w:t>
      </w:r>
      <w:r>
        <w:rPr>
          <w:rFonts w:hint="eastAsia" w:ascii="仿宋" w:hAnsi="仿宋" w:eastAsia="仿宋" w:cs="仿宋"/>
          <w:bCs/>
          <w:sz w:val="32"/>
          <w:szCs w:val="32"/>
        </w:rPr>
        <w:t>强化保障，</w:t>
      </w:r>
      <w:r>
        <w:rPr>
          <w:rFonts w:ascii="仿宋" w:hAnsi="仿宋" w:eastAsia="仿宋" w:cs="仿宋"/>
          <w:bCs/>
          <w:sz w:val="32"/>
          <w:szCs w:val="32"/>
        </w:rPr>
        <w:t>积极推动项目</w:t>
      </w:r>
      <w:r>
        <w:rPr>
          <w:rFonts w:hint="eastAsia" w:ascii="仿宋" w:hAnsi="仿宋" w:eastAsia="仿宋" w:cs="仿宋"/>
          <w:bCs/>
          <w:sz w:val="32"/>
          <w:szCs w:val="32"/>
        </w:rPr>
        <w:t>取得实效。通过统筹新冠疫情防控和HPV疫苗接种工作，整合医疗、公共卫生、信息、管理及宣传各方力量，在短时间内，完成接种信息管理平台建设、项目要点答疑图册编制、接种对象摸底等工作，并按非免疫规划疫苗集中采购方案要求开展疫苗采购和配送，确保项目3月12日在全省启动。</w:t>
      </w:r>
    </w:p>
    <w:p>
      <w:pPr>
        <w:snapToGrid w:val="0"/>
        <w:spacing w:line="578" w:lineRule="exact"/>
        <w:ind w:firstLine="640" w:firstLineChars="200"/>
        <w:outlineLvl w:val="0"/>
        <w:rPr>
          <w:rFonts w:ascii="仿宋" w:hAnsi="仿宋" w:eastAsia="仿宋" w:cs="仿宋"/>
          <w:bCs/>
          <w:sz w:val="32"/>
          <w:szCs w:val="32"/>
        </w:rPr>
      </w:pPr>
      <w:r>
        <w:rPr>
          <w:rFonts w:hint="eastAsia" w:ascii="仿宋" w:hAnsi="仿宋" w:eastAsia="仿宋" w:cs="仿宋"/>
          <w:bCs/>
          <w:sz w:val="32"/>
          <w:szCs w:val="32"/>
        </w:rPr>
        <w:t>（三）加强宣传倡导，开展能力培训。</w:t>
      </w:r>
    </w:p>
    <w:p>
      <w:pPr>
        <w:snapToGrid w:val="0"/>
        <w:spacing w:line="578" w:lineRule="exact"/>
        <w:ind w:firstLine="640" w:firstLineChars="200"/>
        <w:outlineLvl w:val="0"/>
        <w:rPr>
          <w:rFonts w:ascii="仿宋" w:hAnsi="仿宋" w:eastAsia="仿宋" w:cs="仿宋"/>
          <w:bCs/>
          <w:sz w:val="32"/>
          <w:szCs w:val="32"/>
        </w:rPr>
      </w:pPr>
      <w:r>
        <w:rPr>
          <w:rFonts w:hint="eastAsia" w:ascii="仿宋" w:hAnsi="仿宋" w:eastAsia="仿宋" w:cs="仿宋"/>
          <w:bCs/>
          <w:sz w:val="32"/>
          <w:szCs w:val="32"/>
        </w:rPr>
        <w:t>制作群众喜闻乐见的宣传册页、短视频、广场屏、公交屏，央视、人民网、中新网、海南日报、海南电视台等主流媒体争相报道项目实施情况、普及疫苗接种健康知识。国家卫生健康委主管的《健康中国观察》杂志在“健康中国行动”专栏报道。举办省级项目线上培训班，将项目政策解读和工作流程及时覆盖学校和接种点。</w:t>
      </w:r>
    </w:p>
    <w:p>
      <w:pPr>
        <w:snapToGrid w:val="0"/>
        <w:spacing w:line="578" w:lineRule="exact"/>
        <w:ind w:firstLine="640" w:firstLineChars="200"/>
        <w:outlineLvl w:val="0"/>
        <w:rPr>
          <w:rFonts w:ascii="仿宋" w:hAnsi="仿宋" w:eastAsia="仿宋" w:cs="仿宋"/>
          <w:bCs/>
          <w:sz w:val="32"/>
          <w:szCs w:val="32"/>
        </w:rPr>
      </w:pPr>
      <w:r>
        <w:rPr>
          <w:rFonts w:hint="eastAsia" w:ascii="仿宋" w:hAnsi="仿宋" w:eastAsia="仿宋" w:cs="仿宋"/>
          <w:bCs/>
          <w:sz w:val="32"/>
          <w:szCs w:val="32"/>
        </w:rPr>
        <w:t>（四）建立对口联系，每日跟进指导。</w:t>
      </w:r>
    </w:p>
    <w:p>
      <w:pPr>
        <w:snapToGrid w:val="0"/>
        <w:spacing w:line="578" w:lineRule="exact"/>
        <w:ind w:firstLine="640" w:firstLineChars="200"/>
        <w:outlineLvl w:val="0"/>
        <w:rPr>
          <w:rFonts w:ascii="仿宋" w:hAnsi="仿宋" w:eastAsia="仿宋" w:cs="仿宋"/>
          <w:bCs/>
          <w:sz w:val="32"/>
          <w:szCs w:val="32"/>
        </w:rPr>
      </w:pPr>
      <w:r>
        <w:rPr>
          <w:rFonts w:hint="eastAsia" w:ascii="仿宋" w:hAnsi="仿宋" w:eastAsia="仿宋" w:cs="仿宋"/>
          <w:bCs/>
          <w:sz w:val="32"/>
          <w:szCs w:val="32"/>
        </w:rPr>
        <w:t>为推进项目实施，建立对口联系机制，省项目办各成员对口联系1-2个市县，推动市县落实项目主体责任，及时帮助解决实施过程中的困难问题，通过每日汇总分析数据、跟进指导，确保项目保质保量实施。</w:t>
      </w:r>
    </w:p>
    <w:p>
      <w:pPr>
        <w:snapToGrid w:val="0"/>
        <w:spacing w:line="578" w:lineRule="exact"/>
        <w:ind w:firstLine="640" w:firstLineChars="200"/>
        <w:rPr>
          <w:rFonts w:ascii="仿宋_GB2312"/>
          <w:bCs/>
          <w:sz w:val="32"/>
          <w:szCs w:val="32"/>
        </w:rPr>
      </w:pPr>
      <w:r>
        <w:rPr>
          <w:rFonts w:hint="eastAsia" w:ascii="黑体" w:hAnsi="黑体" w:eastAsia="黑体" w:cs="黑体"/>
          <w:bCs/>
          <w:sz w:val="32"/>
          <w:szCs w:val="32"/>
        </w:rPr>
        <w:t>三、偏离绩效目标的原因和下一步改进措施</w:t>
      </w:r>
    </w:p>
    <w:p>
      <w:pPr>
        <w:snapToGrid w:val="0"/>
        <w:spacing w:line="578" w:lineRule="exact"/>
        <w:ind w:firstLine="640" w:firstLineChars="200"/>
        <w:outlineLvl w:val="0"/>
        <w:rPr>
          <w:rFonts w:ascii="仿宋" w:hAnsi="仿宋" w:eastAsia="仿宋" w:cs="仿宋"/>
          <w:bCs/>
          <w:sz w:val="32"/>
          <w:szCs w:val="32"/>
        </w:rPr>
      </w:pPr>
      <w:r>
        <w:rPr>
          <w:rFonts w:hint="eastAsia" w:ascii="仿宋" w:hAnsi="仿宋" w:eastAsia="仿宋" w:cs="仿宋"/>
          <w:bCs/>
          <w:sz w:val="32"/>
          <w:szCs w:val="32"/>
        </w:rPr>
        <w:t>工作建议：</w:t>
      </w:r>
    </w:p>
    <w:p>
      <w:pPr>
        <w:snapToGrid w:val="0"/>
        <w:spacing w:line="578" w:lineRule="exact"/>
        <w:ind w:firstLine="640" w:firstLineChars="200"/>
        <w:outlineLvl w:val="0"/>
        <w:rPr>
          <w:rFonts w:ascii="仿宋" w:hAnsi="仿宋" w:eastAsia="仿宋" w:cs="仿宋"/>
          <w:bCs/>
          <w:sz w:val="32"/>
          <w:szCs w:val="32"/>
        </w:rPr>
      </w:pPr>
      <w:r>
        <w:rPr>
          <w:rFonts w:hint="eastAsia" w:ascii="仿宋" w:hAnsi="仿宋" w:eastAsia="仿宋" w:cs="仿宋"/>
          <w:bCs/>
          <w:sz w:val="32"/>
          <w:szCs w:val="32"/>
        </w:rPr>
        <w:t>（一）继续加强项目培训与督导，提高HPV接种信息系统录入准确性。</w:t>
      </w:r>
    </w:p>
    <w:p>
      <w:pPr>
        <w:snapToGrid w:val="0"/>
        <w:spacing w:line="578" w:lineRule="exact"/>
        <w:ind w:firstLine="640" w:firstLineChars="200"/>
        <w:outlineLvl w:val="0"/>
        <w:rPr>
          <w:rFonts w:ascii="仿宋" w:hAnsi="仿宋" w:eastAsia="仿宋" w:cs="仿宋"/>
          <w:bCs/>
          <w:sz w:val="32"/>
          <w:szCs w:val="32"/>
        </w:rPr>
      </w:pPr>
      <w:r>
        <w:rPr>
          <w:rFonts w:hint="eastAsia" w:ascii="仿宋" w:hAnsi="仿宋" w:eastAsia="仿宋" w:cs="仿宋"/>
          <w:bCs/>
          <w:sz w:val="32"/>
          <w:szCs w:val="32"/>
        </w:rPr>
        <w:t>2022年项目执行期间，基层偶有出现录入错误，系批量接种时未认真核对导致，致使部分自费接种对象录为免费或免费录为自费，此外还出现了尚未接种第二针已有第二针接种记录及超龄人员纳入项目的情况。针对以上问题，建议各市县将本项目纳入政府重点工作考核内容，加强培训与质控。督导要贯穿活动全过程，包括前期准备、现场实施及后期评估等各阶段。督导内容要覆盖当地免疫活动的组织实施、社会宣传、人员培训、后勤保障、摸底调查以及现场接种质量等。督导结果要及时反馈到被督导单位，提出改进措施。各级对发现的问题要立即纠正、及时妥善解决。</w:t>
      </w:r>
    </w:p>
    <w:p>
      <w:pPr>
        <w:snapToGrid w:val="0"/>
        <w:spacing w:line="578" w:lineRule="exact"/>
        <w:ind w:firstLine="640" w:firstLineChars="200"/>
        <w:outlineLvl w:val="0"/>
        <w:rPr>
          <w:rFonts w:ascii="仿宋" w:hAnsi="仿宋" w:eastAsia="仿宋" w:cs="仿宋"/>
          <w:bCs/>
          <w:sz w:val="32"/>
          <w:szCs w:val="32"/>
        </w:rPr>
      </w:pPr>
      <w:r>
        <w:rPr>
          <w:rFonts w:hint="eastAsia" w:ascii="仿宋" w:hAnsi="仿宋" w:eastAsia="仿宋" w:cs="仿宋"/>
          <w:bCs/>
          <w:sz w:val="32"/>
          <w:szCs w:val="32"/>
        </w:rPr>
        <w:t>（二）加大健康教育宣传力度，提高项目参与度。</w:t>
      </w:r>
    </w:p>
    <w:p>
      <w:pPr>
        <w:snapToGrid w:val="0"/>
        <w:spacing w:line="578" w:lineRule="exact"/>
        <w:ind w:firstLine="640" w:firstLineChars="200"/>
        <w:outlineLvl w:val="0"/>
        <w:rPr>
          <w:rFonts w:ascii="仿宋" w:hAnsi="仿宋" w:eastAsia="仿宋" w:cs="仿宋"/>
          <w:bCs/>
          <w:sz w:val="32"/>
          <w:szCs w:val="32"/>
        </w:rPr>
      </w:pPr>
      <w:r>
        <w:rPr>
          <w:rFonts w:hint="eastAsia" w:ascii="仿宋" w:hAnsi="仿宋" w:eastAsia="仿宋" w:cs="仿宋"/>
          <w:bCs/>
          <w:sz w:val="32"/>
          <w:szCs w:val="32"/>
        </w:rPr>
        <w:t>部分学生家长对于HPV疫苗接种的意义、内容、注意事项仍不熟悉，建议继续加大宣传引导，多渠道、立体化对疫苗保护健康的作用及其安全性和有效性进行宣传解读，提升适龄女生和家长对 HPV 疫苗认识和接受程度，扩大宣传覆盖，营造全社会共同关心、关注的良好氛围。要充分发挥校园宣传作用，得到广大教师、女生及家长的充分理解和支持，提高项目参与度。密切监测舆情，迅速应对处置。及时组织专家解疑释惑，回应社会关切。</w:t>
      </w:r>
    </w:p>
    <w:p>
      <w:pPr>
        <w:snapToGrid w:val="0"/>
        <w:spacing w:line="578" w:lineRule="exact"/>
        <w:ind w:firstLine="640" w:firstLineChars="200"/>
        <w:outlineLvl w:val="0"/>
        <w:rPr>
          <w:rFonts w:ascii="仿宋" w:hAnsi="仿宋" w:eastAsia="仿宋" w:cs="仿宋"/>
          <w:bCs/>
          <w:sz w:val="32"/>
          <w:szCs w:val="32"/>
        </w:rPr>
      </w:pPr>
      <w:r>
        <w:rPr>
          <w:rFonts w:hint="eastAsia" w:ascii="仿宋" w:hAnsi="仿宋" w:eastAsia="仿宋" w:cs="仿宋"/>
          <w:bCs/>
          <w:sz w:val="32"/>
          <w:szCs w:val="32"/>
        </w:rPr>
        <w:t>（三）实施海南省消除宫颈癌行动计划。</w:t>
      </w:r>
    </w:p>
    <w:p>
      <w:pPr>
        <w:snapToGrid w:val="0"/>
        <w:spacing w:line="578" w:lineRule="exact"/>
        <w:ind w:firstLine="640" w:firstLineChars="200"/>
        <w:outlineLvl w:val="0"/>
        <w:rPr>
          <w:rFonts w:ascii="仿宋" w:hAnsi="仿宋" w:eastAsia="仿宋" w:cs="仿宋"/>
          <w:bCs/>
          <w:sz w:val="32"/>
          <w:szCs w:val="32"/>
        </w:rPr>
      </w:pPr>
      <w:r>
        <w:rPr>
          <w:rFonts w:hint="eastAsia" w:ascii="仿宋" w:hAnsi="仿宋" w:eastAsia="仿宋" w:cs="仿宋"/>
          <w:bCs/>
          <w:sz w:val="32"/>
          <w:szCs w:val="32"/>
        </w:rPr>
        <w:t>2022年海南省适龄女生HPV疫苗接种项目受到了适龄女生及学生家长的广泛好评和欢迎，但是我省宫颈癌的死亡率仍处于较高水平。为响应世界卫生组织提出的消除宫颈癌全球战略，完善我省宫颈癌防治措施，推进健康海南行动，保障妇女健康，建议继续推动宫颈癌消除行动项目在我省试点，进一步保障妇女儿童健康权益。消除宫颈癌行动计划工作任务包括：建立组织领导机构、有效开展健康教育和疫苗接种、巩固实施宫颈癌筛查、规范实施宫颈疾病治疗、完善信息化、成立宫颈疾病防治中心、开展基层宫颈病变专科门诊标准化建设等，最终目标为新发</w:t>
      </w:r>
      <w:bookmarkStart w:id="0" w:name="_GoBack"/>
      <w:bookmarkEnd w:id="0"/>
      <w:r>
        <w:rPr>
          <w:rFonts w:hint="eastAsia" w:ascii="仿宋" w:hAnsi="仿宋" w:eastAsia="仿宋" w:cs="仿宋"/>
          <w:bCs/>
          <w:sz w:val="32"/>
          <w:szCs w:val="32"/>
        </w:rPr>
        <w:t>宫颈癌每10万名女性少于4例。</w:t>
      </w:r>
    </w:p>
    <w:p>
      <w:pPr>
        <w:snapToGrid w:val="0"/>
        <w:spacing w:line="578" w:lineRule="exact"/>
        <w:ind w:firstLine="640" w:firstLineChars="200"/>
        <w:rPr>
          <w:rFonts w:ascii="黑体" w:hAnsi="黑体" w:eastAsia="黑体" w:cs="黑体"/>
          <w:bCs/>
          <w:sz w:val="32"/>
          <w:szCs w:val="32"/>
          <w:lang w:val="en"/>
        </w:rPr>
      </w:pPr>
      <w:r>
        <w:rPr>
          <w:rFonts w:hint="eastAsia" w:ascii="黑体" w:hAnsi="黑体" w:eastAsia="黑体" w:cs="黑体"/>
          <w:bCs/>
          <w:sz w:val="32"/>
          <w:szCs w:val="32"/>
          <w:lang w:val="en"/>
        </w:rPr>
        <w:t>四、附件</w:t>
      </w:r>
    </w:p>
    <w:p>
      <w:pPr>
        <w:snapToGrid w:val="0"/>
        <w:spacing w:line="578" w:lineRule="exact"/>
        <w:ind w:firstLine="640" w:firstLineChars="200"/>
        <w:rPr>
          <w:rFonts w:ascii="仿宋" w:hAnsi="仿宋" w:eastAsia="仿宋" w:cs="仿宋"/>
          <w:bCs/>
          <w:sz w:val="32"/>
          <w:szCs w:val="32"/>
          <w:lang w:val="en"/>
        </w:rPr>
      </w:pPr>
      <w:r>
        <w:rPr>
          <w:rFonts w:hint="eastAsia" w:ascii="仿宋" w:hAnsi="仿宋" w:eastAsia="仿宋" w:cs="仿宋"/>
          <w:bCs/>
          <w:sz w:val="32"/>
          <w:szCs w:val="32"/>
        </w:rPr>
        <w:t>海南省适龄女生HPV疫苗绩效目标</w:t>
      </w:r>
      <w:r>
        <w:rPr>
          <w:rFonts w:hint="eastAsia" w:ascii="仿宋" w:hAnsi="仿宋" w:eastAsia="仿宋" w:cs="仿宋"/>
          <w:bCs/>
          <w:sz w:val="32"/>
          <w:szCs w:val="32"/>
          <w:lang w:eastAsia="zh-CN"/>
        </w:rPr>
        <w:t>自评</w:t>
      </w:r>
      <w:r>
        <w:rPr>
          <w:rFonts w:hint="eastAsia" w:ascii="仿宋" w:hAnsi="仿宋" w:eastAsia="仿宋" w:cs="仿宋"/>
          <w:bCs/>
          <w:sz w:val="32"/>
          <w:szCs w:val="32"/>
        </w:rPr>
        <w:t>表</w:t>
      </w:r>
    </w:p>
    <w:sectPr>
      <w:footerReference r:id="rId3" w:type="default"/>
      <w:pgSz w:w="11906" w:h="16838"/>
      <w:pgMar w:top="2098" w:right="1474" w:bottom="1984" w:left="1587" w:header="851" w:footer="1587" w:gutter="0"/>
      <w:cols w:space="0" w:num="1"/>
      <w:docGrid w:type="lines" w:linePitch="41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55fBEw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0CPtcRk2WbHbdv1yW1ufsJu3&#10;F3EEx1cNmq9ZiI/MQw0YGAqPDziksmhie4uSvfWf/naf8kESopS0UFdFDeRPiXprQF4S4mD4wdgO&#10;hjnoOwu5ghDMkk384KMaTOmt/gjZL1MPyVRAYWY4uoGawbyL8Pogng8Xy+XVh/Qci2uzcbwnM2EZ&#10;3PIQgWeGOWF0AaaHDvrLRPVvJQn8Vz9nPb3o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OOeXwRMCAAAZBAAADgAAAAAAAAABACAAAAA1AQAAZHJzL2Uyb0RvYy54bWxQSwUGAAAAAAYABgBZ&#10;AQAAugUAAAAA&#10;">
              <v:fill on="f" focussize="0,0"/>
              <v:stroke on="f" weight="0.5pt"/>
              <v:imagedata o:title=""/>
              <o:lock v:ext="edit" aspectratio="f"/>
              <v:textbox inset="0mm,0mm,0mm,0mm" style="mso-fit-shape-to-text:t;">
                <w:txbxContent>
                  <w:p>
                    <w:pPr>
                      <w:pStyle w:val="3"/>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dit="readOnly" w:enforcement="0"/>
  <w:defaultTabStop w:val="420"/>
  <w:drawingGridHorizontalSpacing w:val="150"/>
  <w:drawingGridVerticalSpacing w:val="2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F82"/>
    <w:rsid w:val="000101E1"/>
    <w:rsid w:val="000732DA"/>
    <w:rsid w:val="00075CDC"/>
    <w:rsid w:val="000B1E8F"/>
    <w:rsid w:val="000B6964"/>
    <w:rsid w:val="00103D16"/>
    <w:rsid w:val="00111638"/>
    <w:rsid w:val="00111928"/>
    <w:rsid w:val="0012041C"/>
    <w:rsid w:val="00164D84"/>
    <w:rsid w:val="00173016"/>
    <w:rsid w:val="0017509C"/>
    <w:rsid w:val="001808CA"/>
    <w:rsid w:val="001A4E46"/>
    <w:rsid w:val="001E03FE"/>
    <w:rsid w:val="002123E8"/>
    <w:rsid w:val="00250053"/>
    <w:rsid w:val="0029569C"/>
    <w:rsid w:val="002A5FA7"/>
    <w:rsid w:val="002B3EEF"/>
    <w:rsid w:val="002B54E4"/>
    <w:rsid w:val="002E5562"/>
    <w:rsid w:val="002F6705"/>
    <w:rsid w:val="00301FC0"/>
    <w:rsid w:val="00336A16"/>
    <w:rsid w:val="003663A3"/>
    <w:rsid w:val="00387DD5"/>
    <w:rsid w:val="003B0980"/>
    <w:rsid w:val="003C6374"/>
    <w:rsid w:val="003D2CB9"/>
    <w:rsid w:val="00407280"/>
    <w:rsid w:val="00413F12"/>
    <w:rsid w:val="00493012"/>
    <w:rsid w:val="004C23FB"/>
    <w:rsid w:val="004D2137"/>
    <w:rsid w:val="005D1514"/>
    <w:rsid w:val="005D7CC3"/>
    <w:rsid w:val="006218A1"/>
    <w:rsid w:val="00682A10"/>
    <w:rsid w:val="006A30E4"/>
    <w:rsid w:val="006A74BF"/>
    <w:rsid w:val="006C1CEE"/>
    <w:rsid w:val="006D5A86"/>
    <w:rsid w:val="00707C2E"/>
    <w:rsid w:val="00722A7D"/>
    <w:rsid w:val="00724A6B"/>
    <w:rsid w:val="0073331B"/>
    <w:rsid w:val="00733C2D"/>
    <w:rsid w:val="00756C7F"/>
    <w:rsid w:val="007D7E6E"/>
    <w:rsid w:val="00850797"/>
    <w:rsid w:val="00853FC4"/>
    <w:rsid w:val="008720F1"/>
    <w:rsid w:val="00882EFA"/>
    <w:rsid w:val="008B2F56"/>
    <w:rsid w:val="008F0996"/>
    <w:rsid w:val="00903791"/>
    <w:rsid w:val="009600BD"/>
    <w:rsid w:val="00961C83"/>
    <w:rsid w:val="009922BC"/>
    <w:rsid w:val="009E0D8C"/>
    <w:rsid w:val="00A02AF3"/>
    <w:rsid w:val="00A25077"/>
    <w:rsid w:val="00A610CC"/>
    <w:rsid w:val="00A8737E"/>
    <w:rsid w:val="00AA19AF"/>
    <w:rsid w:val="00B975A7"/>
    <w:rsid w:val="00BC6882"/>
    <w:rsid w:val="00BD3FE0"/>
    <w:rsid w:val="00BE58CF"/>
    <w:rsid w:val="00C51080"/>
    <w:rsid w:val="00CA5578"/>
    <w:rsid w:val="00CA7DAA"/>
    <w:rsid w:val="00CD40CE"/>
    <w:rsid w:val="00D04826"/>
    <w:rsid w:val="00D63908"/>
    <w:rsid w:val="00D8718A"/>
    <w:rsid w:val="00D93453"/>
    <w:rsid w:val="00DC524D"/>
    <w:rsid w:val="00E071D6"/>
    <w:rsid w:val="00E24709"/>
    <w:rsid w:val="00ED3E0F"/>
    <w:rsid w:val="00F015E4"/>
    <w:rsid w:val="00F57F82"/>
    <w:rsid w:val="00F75224"/>
    <w:rsid w:val="00F91EAE"/>
    <w:rsid w:val="00FA086C"/>
    <w:rsid w:val="00FA2093"/>
    <w:rsid w:val="00FA357A"/>
    <w:rsid w:val="037D0BC8"/>
    <w:rsid w:val="0845082D"/>
    <w:rsid w:val="09E965F2"/>
    <w:rsid w:val="0FF7AA4F"/>
    <w:rsid w:val="11935622"/>
    <w:rsid w:val="139840D3"/>
    <w:rsid w:val="143E091F"/>
    <w:rsid w:val="14865FC8"/>
    <w:rsid w:val="150C2DB0"/>
    <w:rsid w:val="18FC8453"/>
    <w:rsid w:val="1A7D29EA"/>
    <w:rsid w:val="1D994BCF"/>
    <w:rsid w:val="1E5FB546"/>
    <w:rsid w:val="1E761F05"/>
    <w:rsid w:val="1F7BE1E6"/>
    <w:rsid w:val="1FC7205C"/>
    <w:rsid w:val="228B3D05"/>
    <w:rsid w:val="284E74F8"/>
    <w:rsid w:val="289F591A"/>
    <w:rsid w:val="2ADB48E8"/>
    <w:rsid w:val="36687282"/>
    <w:rsid w:val="367793B2"/>
    <w:rsid w:val="3794FC37"/>
    <w:rsid w:val="38EF7AD8"/>
    <w:rsid w:val="3E1672E6"/>
    <w:rsid w:val="3EB9C2BB"/>
    <w:rsid w:val="3F7DAA47"/>
    <w:rsid w:val="3FEF6A07"/>
    <w:rsid w:val="415F08D8"/>
    <w:rsid w:val="44E2230F"/>
    <w:rsid w:val="48B51347"/>
    <w:rsid w:val="491B45FA"/>
    <w:rsid w:val="4A55216A"/>
    <w:rsid w:val="4FE0696A"/>
    <w:rsid w:val="546F8569"/>
    <w:rsid w:val="55673508"/>
    <w:rsid w:val="59595A6F"/>
    <w:rsid w:val="597350B8"/>
    <w:rsid w:val="599330CA"/>
    <w:rsid w:val="5A7FCB1F"/>
    <w:rsid w:val="5FEAF7C9"/>
    <w:rsid w:val="5FEFA412"/>
    <w:rsid w:val="60D5009F"/>
    <w:rsid w:val="64AC2E11"/>
    <w:rsid w:val="660721C9"/>
    <w:rsid w:val="661E6C75"/>
    <w:rsid w:val="67F75FF5"/>
    <w:rsid w:val="681D4831"/>
    <w:rsid w:val="692E4B19"/>
    <w:rsid w:val="69513EF7"/>
    <w:rsid w:val="6BF3256F"/>
    <w:rsid w:val="6BFC990A"/>
    <w:rsid w:val="6CE7018A"/>
    <w:rsid w:val="6DEDB046"/>
    <w:rsid w:val="6E3E3F2D"/>
    <w:rsid w:val="715B2F02"/>
    <w:rsid w:val="76A548F2"/>
    <w:rsid w:val="7765772E"/>
    <w:rsid w:val="776F5E62"/>
    <w:rsid w:val="77867685"/>
    <w:rsid w:val="77EE7FE7"/>
    <w:rsid w:val="781F36B6"/>
    <w:rsid w:val="790627AD"/>
    <w:rsid w:val="79DFF8C4"/>
    <w:rsid w:val="7ADC59FA"/>
    <w:rsid w:val="7AFF2FC3"/>
    <w:rsid w:val="7B6F41DF"/>
    <w:rsid w:val="7BF6B4C5"/>
    <w:rsid w:val="7DDD794F"/>
    <w:rsid w:val="7DFA6624"/>
    <w:rsid w:val="7DFD8AD7"/>
    <w:rsid w:val="7DFEFB95"/>
    <w:rsid w:val="7ECD6B9A"/>
    <w:rsid w:val="7F7FE75F"/>
    <w:rsid w:val="7FBA576D"/>
    <w:rsid w:val="7FDE47D5"/>
    <w:rsid w:val="7FFD003D"/>
    <w:rsid w:val="94BFC172"/>
    <w:rsid w:val="9BFA614C"/>
    <w:rsid w:val="9FDF0C62"/>
    <w:rsid w:val="BAFE1E17"/>
    <w:rsid w:val="BBDF5B5A"/>
    <w:rsid w:val="BBE428C2"/>
    <w:rsid w:val="BD6F8907"/>
    <w:rsid w:val="BFBF52D7"/>
    <w:rsid w:val="C9FA7C05"/>
    <w:rsid w:val="DF6E82F1"/>
    <w:rsid w:val="DFCEE0CE"/>
    <w:rsid w:val="DFFF7077"/>
    <w:rsid w:val="EEBF76D9"/>
    <w:rsid w:val="F36EF6AC"/>
    <w:rsid w:val="F5BEA0BC"/>
    <w:rsid w:val="F6FDCC0E"/>
    <w:rsid w:val="F75204E9"/>
    <w:rsid w:val="F767D450"/>
    <w:rsid w:val="F76FB1DB"/>
    <w:rsid w:val="F7764ED3"/>
    <w:rsid w:val="F7FBEBBF"/>
    <w:rsid w:val="F9F3FBF0"/>
    <w:rsid w:val="FB9B969D"/>
    <w:rsid w:val="FB9F8FA2"/>
    <w:rsid w:val="FDB5389F"/>
    <w:rsid w:val="FF9D4583"/>
    <w:rsid w:val="FFAFB80B"/>
    <w:rsid w:val="FFF9F86D"/>
    <w:rsid w:val="FFFBF5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7"/>
    <w:qFormat/>
    <w:uiPriority w:val="99"/>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脚 字符"/>
    <w:basedOn w:val="6"/>
    <w:link w:val="3"/>
    <w:qFormat/>
    <w:uiPriority w:val="99"/>
    <w:rPr>
      <w:rFonts w:eastAsia="仿宋_GB2312"/>
      <w:kern w:val="2"/>
      <w:sz w:val="18"/>
      <w:szCs w:val="18"/>
    </w:rPr>
  </w:style>
  <w:style w:type="character" w:customStyle="1" w:styleId="8">
    <w:name w:val="页眉 字符"/>
    <w:basedOn w:val="6"/>
    <w:link w:val="4"/>
    <w:qFormat/>
    <w:uiPriority w:val="0"/>
    <w:rPr>
      <w:rFonts w:eastAsia="仿宋_GB2312"/>
      <w:kern w:val="2"/>
      <w:sz w:val="18"/>
      <w:szCs w:val="18"/>
    </w:rPr>
  </w:style>
  <w:style w:type="character" w:customStyle="1" w:styleId="9">
    <w:name w:val="批注框文本 字符"/>
    <w:basedOn w:val="6"/>
    <w:link w:val="2"/>
    <w:qFormat/>
    <w:uiPriority w:val="0"/>
    <w:rPr>
      <w:rFonts w:eastAsia="仿宋_GB2312"/>
      <w:kern w:val="2"/>
      <w:sz w:val="18"/>
      <w:szCs w:val="18"/>
    </w:rPr>
  </w:style>
  <w:style w:type="paragraph" w:customStyle="1" w:styleId="10">
    <w:name w:val="修订1"/>
    <w:hidden/>
    <w:semiHidden/>
    <w:qFormat/>
    <w:uiPriority w:val="99"/>
    <w:rPr>
      <w:rFonts w:ascii="Times New Roman" w:hAnsi="Times New Roman" w:eastAsia="仿宋_GB2312" w:cs="Times New Roman"/>
      <w:kern w:val="2"/>
      <w:sz w:val="30"/>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543</Words>
  <Characters>3096</Characters>
  <Lines>25</Lines>
  <Paragraphs>7</Paragraphs>
  <TotalTime>1</TotalTime>
  <ScaleCrop>false</ScaleCrop>
  <LinksUpToDate>false</LinksUpToDate>
  <CharactersWithSpaces>3632</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2019-02-18T06:26:00Z</dcterms:created>
  <dc:creator>lhn</dc:creator>
  <cp:lastModifiedBy>uos</cp:lastModifiedBy>
  <cp:lastPrinted>2023-02-25T17:51:00Z</cp:lastPrinted>
  <dcterms:modified xsi:type="dcterms:W3CDTF">2023-07-13T10:42:40Z</dcterms:modified>
  <dc:title>财政支出绩效评价报告</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