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年度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“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2+3”健康服务包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jc w:val="center"/>
        <w:textAlignment w:val="auto"/>
        <w:rPr>
          <w:rFonts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一、绩效目标分解下达情况</w:t>
      </w:r>
    </w:p>
    <w:p>
      <w:pPr>
        <w:spacing w:beforeLines="0" w:afterLines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2022年省级财政安排“2+3”健康服务包试点项目资金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5052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万元，其中：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海南省卫生健康委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255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万元；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省人民医院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590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万元，用于省级高血压防治中心建设，省级糖尿病防治中心建设，省级肝炎防治中心建设等；省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疾控中心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万元，用于省级结核病防治中心建设；海医二附院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548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万元，用于省级结核病诊疗中心建设；省安宁医院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427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万元，用于省级严重精神障碍防治中心建设，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全省严重精神障碍病情不稳定患者长效针救治管理（除琼海、东方和保亭）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。试点市县共计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3032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，其中琼海市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1282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万元、东方市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975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万元、保亭县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775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，用于（高血压、糖尿病）2+3（严重精神障碍、结核病、肝炎）疾病防治项目等。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eastAsia="zh-CN"/>
        </w:rPr>
        <w:t>绩效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（一）资金投入情况分析。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2022年省级财政安排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  <w:t>资金</w:t>
      </w:r>
      <w:r>
        <w:rPr>
          <w:rFonts w:hint="default" w:ascii="仿宋_GB2312" w:hAnsi="仿宋_GB2312" w:cs="仿宋_GB2312"/>
          <w:b w:val="0"/>
          <w:bCs/>
          <w:sz w:val="32"/>
          <w:szCs w:val="32"/>
          <w:highlight w:val="none"/>
          <w:lang w:val="en-US" w:eastAsia="zh-CN"/>
        </w:rPr>
        <w:t>5052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万元，支出</w:t>
      </w:r>
      <w:r>
        <w:rPr>
          <w:rFonts w:hint="default" w:ascii="仿宋_GB2312" w:hAnsi="仿宋_GB2312" w:cs="仿宋_GB2312"/>
          <w:b w:val="0"/>
          <w:bCs/>
          <w:sz w:val="32"/>
          <w:szCs w:val="32"/>
          <w:highlight w:val="none"/>
          <w:lang w:val="en-US" w:eastAsia="zh-CN"/>
        </w:rPr>
        <w:t>3434.8</w:t>
      </w:r>
      <w:bookmarkStart w:id="0" w:name="_GoBack"/>
      <w:bookmarkEnd w:id="0"/>
      <w:r>
        <w:rPr>
          <w:rFonts w:hint="default" w:ascii="仿宋_GB2312" w:hAnsi="仿宋_GB2312" w:cs="仿宋_GB2312"/>
          <w:b w:val="0"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万元，资金支出率</w:t>
      </w:r>
      <w:r>
        <w:rPr>
          <w:rFonts w:hint="default" w:ascii="仿宋_GB2312" w:hAnsi="仿宋_GB2312" w:cs="仿宋_GB2312"/>
          <w:b w:val="0"/>
          <w:bCs/>
          <w:sz w:val="32"/>
          <w:szCs w:val="32"/>
          <w:highlight w:val="none"/>
          <w:lang w:val="en-US" w:eastAsia="zh-CN"/>
        </w:rPr>
        <w:t>67.99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eastAsia="zh-CN"/>
        </w:rPr>
        <w:t>（二）资金管理情况分析。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年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月省财政厅根据相关单位和市县承担的任务，</w:t>
      </w:r>
      <w:r>
        <w:rPr>
          <w:rFonts w:hint="eastAsia" w:ascii="仿宋_GB2312" w:hAnsi="仿宋_GB2312" w:cs="仿宋_GB2312"/>
          <w:b w:val="0"/>
          <w:bCs/>
          <w:sz w:val="32"/>
          <w:szCs w:val="32"/>
          <w:highlight w:val="none"/>
          <w:lang w:eastAsia="zh-CN"/>
        </w:rPr>
        <w:t>及时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  <w:t>分配、下达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cs="仿宋_GB2312"/>
          <w:b w:val="0"/>
          <w:bCs/>
          <w:sz w:val="32"/>
          <w:szCs w:val="32"/>
          <w:highlight w:val="none"/>
          <w:lang w:eastAsia="zh-CN"/>
        </w:rPr>
        <w:t>到相关单位和市县。各相关单位和市县收到资金后，立即根据各自承担任务开展宣传、治疗、培训、筛查、督导等相关工作。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省级机构和市县经费支出总体按照计划进行，省疾控、省安宁医院、海医附二医院的专项经费使用率达90%以上，各市县级的经费总使用率在64.0%-78.72%之间。在三个试点市县中，保亭县各专病机构的经费使用率均达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cs="仿宋_GB2312"/>
          <w:b w:val="0"/>
          <w:bCs/>
          <w:color w:val="auto"/>
          <w:sz w:val="32"/>
          <w:szCs w:val="32"/>
          <w:highlight w:val="none"/>
          <w:lang w:eastAsia="zh-CN"/>
        </w:rPr>
        <w:t>度中，针对各市县项目实施方案中规定的使用范围，海南省卫生健康委组织专家不定期地督导检查项目资金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eastAsia="zh-CN"/>
        </w:rPr>
        <w:t>使用</w:t>
      </w:r>
      <w:r>
        <w:rPr>
          <w:rFonts w:hint="eastAsia" w:ascii="仿宋_GB2312" w:hAnsi="仿宋_GB2312" w:cs="仿宋_GB2312"/>
          <w:b w:val="0"/>
          <w:bCs/>
          <w:color w:val="auto"/>
          <w:sz w:val="32"/>
          <w:szCs w:val="32"/>
          <w:highlight w:val="none"/>
          <w:lang w:eastAsia="zh-CN"/>
        </w:rPr>
        <w:t>情况，根据省审计厅跟踪审计，各相关单位和市县全年无重大资金违规使用情况，较好地履行了支出责任。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）总体绩效目标完成情况分析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各个市县高血压、糖尿病、肺结核、严重精神障碍总体实施较好，尤其是重精，主要表现在各市（县）级高血压、糖尿病、肝炎和重精的主要指标完成率为100%，</w:t>
      </w:r>
      <w:r>
        <w:rPr>
          <w:rFonts w:hint="eastAsia" w:ascii="宋体" w:hAnsi="宋体"/>
          <w:sz w:val="32"/>
          <w:szCs w:val="32"/>
        </w:rPr>
        <w:t>肺结核的各项指标中，除了</w:t>
      </w:r>
      <w:r>
        <w:rPr>
          <w:rFonts w:hint="eastAsia" w:ascii="仿宋_GB2312" w:hAnsi="仿宋_GB2312" w:cs="仿宋_GB2312"/>
          <w:sz w:val="32"/>
          <w:szCs w:val="32"/>
        </w:rPr>
        <w:t>“肺结核患者病原学阳性诊断率、利福平耐药患者纳入治疗率”在保亭县未达标外，其他均完成较好，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80"/>
        <w:textAlignment w:val="auto"/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）绩效指标完成情况分析。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各绩效指标值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完成情况分别是：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82"/>
        <w:textAlignment w:val="auto"/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高血压</w:t>
      </w:r>
    </w:p>
    <w:tbl>
      <w:tblPr>
        <w:tblStyle w:val="5"/>
        <w:tblpPr w:leftFromText="180" w:rightFromText="180" w:vertAnchor="text" w:horzAnchor="margin" w:tblpY="498"/>
        <w:tblOverlap w:val="never"/>
        <w:tblW w:w="520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4"/>
        <w:gridCol w:w="1665"/>
        <w:gridCol w:w="1595"/>
        <w:gridCol w:w="1310"/>
        <w:gridCol w:w="14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798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421" w:type="pct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截止2022年12月</w:t>
            </w:r>
          </w:p>
        </w:tc>
        <w:tc>
          <w:tcPr>
            <w:tcW w:w="780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2022年目标值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798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琼海</w:t>
            </w:r>
          </w:p>
        </w:tc>
        <w:tc>
          <w:tcPr>
            <w:tcW w:w="8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东方</w:t>
            </w:r>
          </w:p>
        </w:tc>
        <w:tc>
          <w:tcPr>
            <w:tcW w:w="6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保亭</w:t>
            </w:r>
          </w:p>
        </w:tc>
        <w:tc>
          <w:tcPr>
            <w:tcW w:w="780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30岁及以上居民高血压知晓率</w:t>
            </w:r>
          </w:p>
        </w:tc>
        <w:tc>
          <w:tcPr>
            <w:tcW w:w="88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60.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8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56.33</w:t>
            </w:r>
          </w:p>
        </w:tc>
        <w:tc>
          <w:tcPr>
            <w:tcW w:w="6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50.10</w:t>
            </w:r>
          </w:p>
        </w:tc>
        <w:tc>
          <w:tcPr>
            <w:tcW w:w="7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高血压患者规范管理率（％）</w:t>
            </w:r>
          </w:p>
        </w:tc>
        <w:tc>
          <w:tcPr>
            <w:tcW w:w="88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75.61</w:t>
            </w:r>
          </w:p>
        </w:tc>
        <w:tc>
          <w:tcPr>
            <w:tcW w:w="8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75.08</w:t>
            </w:r>
          </w:p>
        </w:tc>
        <w:tc>
          <w:tcPr>
            <w:tcW w:w="6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79.17</w:t>
            </w:r>
          </w:p>
        </w:tc>
        <w:tc>
          <w:tcPr>
            <w:tcW w:w="7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高血压治疗率（％）</w:t>
            </w:r>
          </w:p>
        </w:tc>
        <w:tc>
          <w:tcPr>
            <w:tcW w:w="88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83.98</w:t>
            </w:r>
          </w:p>
        </w:tc>
        <w:tc>
          <w:tcPr>
            <w:tcW w:w="8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68.81</w:t>
            </w:r>
          </w:p>
        </w:tc>
        <w:tc>
          <w:tcPr>
            <w:tcW w:w="6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64.51</w:t>
            </w:r>
          </w:p>
        </w:tc>
        <w:tc>
          <w:tcPr>
            <w:tcW w:w="7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高血压控制率（％）</w:t>
            </w:r>
          </w:p>
        </w:tc>
        <w:tc>
          <w:tcPr>
            <w:tcW w:w="88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87.2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8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92.10</w:t>
            </w:r>
          </w:p>
        </w:tc>
        <w:tc>
          <w:tcPr>
            <w:tcW w:w="6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92.65</w:t>
            </w:r>
          </w:p>
        </w:tc>
        <w:tc>
          <w:tcPr>
            <w:tcW w:w="7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高血压患者筛查率（％）</w:t>
            </w:r>
          </w:p>
        </w:tc>
        <w:tc>
          <w:tcPr>
            <w:tcW w:w="88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63.88</w:t>
            </w:r>
          </w:p>
        </w:tc>
        <w:tc>
          <w:tcPr>
            <w:tcW w:w="8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66.38</w:t>
            </w:r>
          </w:p>
        </w:tc>
        <w:tc>
          <w:tcPr>
            <w:tcW w:w="6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61.47</w:t>
            </w:r>
          </w:p>
        </w:tc>
        <w:tc>
          <w:tcPr>
            <w:tcW w:w="7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≥60</w:t>
            </w:r>
          </w:p>
        </w:tc>
      </w:tr>
    </w:tbl>
    <w:p>
      <w:pPr>
        <w:snapToGrid w:val="0"/>
        <w:spacing w:line="360" w:lineRule="auto"/>
        <w:ind w:firstLine="480"/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</w:pPr>
    </w:p>
    <w:p>
      <w:pPr>
        <w:snapToGrid w:val="0"/>
        <w:spacing w:line="360" w:lineRule="auto"/>
        <w:ind w:firstLine="48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糖尿病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6"/>
        <w:gridCol w:w="1517"/>
        <w:gridCol w:w="1615"/>
        <w:gridCol w:w="1318"/>
        <w:gridCol w:w="1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885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主要指标</w:t>
            </w:r>
          </w:p>
        </w:tc>
        <w:tc>
          <w:tcPr>
            <w:tcW w:w="2455" w:type="pct"/>
            <w:gridSpan w:val="3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截止2022年12月</w:t>
            </w:r>
          </w:p>
        </w:tc>
        <w:tc>
          <w:tcPr>
            <w:tcW w:w="659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2022年目标值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885" w:type="pct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37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琼海</w:t>
            </w:r>
          </w:p>
        </w:tc>
        <w:tc>
          <w:tcPr>
            <w:tcW w:w="891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东方</w:t>
            </w:r>
          </w:p>
        </w:tc>
        <w:tc>
          <w:tcPr>
            <w:tcW w:w="726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保亭</w:t>
            </w:r>
          </w:p>
        </w:tc>
        <w:tc>
          <w:tcPr>
            <w:tcW w:w="659" w:type="pct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885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18岁及以上居民糖尿病知晓率（％）</w:t>
            </w:r>
          </w:p>
        </w:tc>
        <w:tc>
          <w:tcPr>
            <w:tcW w:w="837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70.23</w:t>
            </w:r>
          </w:p>
        </w:tc>
        <w:tc>
          <w:tcPr>
            <w:tcW w:w="891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64.45</w:t>
            </w:r>
          </w:p>
        </w:tc>
        <w:tc>
          <w:tcPr>
            <w:tcW w:w="726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48.39</w:t>
            </w:r>
          </w:p>
        </w:tc>
        <w:tc>
          <w:tcPr>
            <w:tcW w:w="659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885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糖尿病患者规范管理率（％）</w:t>
            </w:r>
          </w:p>
        </w:tc>
        <w:tc>
          <w:tcPr>
            <w:tcW w:w="837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75.20</w:t>
            </w:r>
          </w:p>
        </w:tc>
        <w:tc>
          <w:tcPr>
            <w:tcW w:w="891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75.55</w:t>
            </w:r>
          </w:p>
        </w:tc>
        <w:tc>
          <w:tcPr>
            <w:tcW w:w="726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80.98</w:t>
            </w:r>
          </w:p>
        </w:tc>
        <w:tc>
          <w:tcPr>
            <w:tcW w:w="659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885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糖尿病治疗率（％）</w:t>
            </w:r>
          </w:p>
        </w:tc>
        <w:tc>
          <w:tcPr>
            <w:tcW w:w="837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64.74</w:t>
            </w:r>
          </w:p>
        </w:tc>
        <w:tc>
          <w:tcPr>
            <w:tcW w:w="891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53.17</w:t>
            </w:r>
          </w:p>
        </w:tc>
        <w:tc>
          <w:tcPr>
            <w:tcW w:w="726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50.18</w:t>
            </w:r>
          </w:p>
        </w:tc>
        <w:tc>
          <w:tcPr>
            <w:tcW w:w="659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85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糖尿病控制率（％）</w:t>
            </w:r>
          </w:p>
        </w:tc>
        <w:tc>
          <w:tcPr>
            <w:tcW w:w="837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79.30</w:t>
            </w:r>
          </w:p>
        </w:tc>
        <w:tc>
          <w:tcPr>
            <w:tcW w:w="891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86.86</w:t>
            </w:r>
          </w:p>
        </w:tc>
        <w:tc>
          <w:tcPr>
            <w:tcW w:w="726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79.50</w:t>
            </w:r>
          </w:p>
        </w:tc>
        <w:tc>
          <w:tcPr>
            <w:tcW w:w="659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885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糖尿病患者筛查率（％）</w:t>
            </w:r>
          </w:p>
        </w:tc>
        <w:tc>
          <w:tcPr>
            <w:tcW w:w="837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63.89</w:t>
            </w:r>
          </w:p>
        </w:tc>
        <w:tc>
          <w:tcPr>
            <w:tcW w:w="891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66.38</w:t>
            </w:r>
          </w:p>
        </w:tc>
        <w:tc>
          <w:tcPr>
            <w:tcW w:w="726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62.00</w:t>
            </w:r>
          </w:p>
        </w:tc>
        <w:tc>
          <w:tcPr>
            <w:tcW w:w="659" w:type="pct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≥60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肝炎</w:t>
      </w:r>
    </w:p>
    <w:tbl>
      <w:tblPr>
        <w:tblStyle w:val="5"/>
        <w:tblW w:w="5000" w:type="pct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9"/>
        <w:gridCol w:w="1484"/>
        <w:gridCol w:w="1583"/>
        <w:gridCol w:w="1333"/>
        <w:gridCol w:w="12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03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主要指标</w:t>
            </w:r>
          </w:p>
        </w:tc>
        <w:tc>
          <w:tcPr>
            <w:tcW w:w="2427" w:type="pct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截止2022年12月</w:t>
            </w:r>
          </w:p>
        </w:tc>
        <w:tc>
          <w:tcPr>
            <w:tcW w:w="668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2022年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目标值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903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琼海</w:t>
            </w:r>
          </w:p>
        </w:tc>
        <w:tc>
          <w:tcPr>
            <w:tcW w:w="87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东方</w:t>
            </w:r>
          </w:p>
        </w:tc>
        <w:tc>
          <w:tcPr>
            <w:tcW w:w="73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保亭</w:t>
            </w:r>
          </w:p>
        </w:tc>
        <w:tc>
          <w:tcPr>
            <w:tcW w:w="668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18岁以上人群肝炎病毒感染标志筛查率（％）</w:t>
            </w:r>
          </w:p>
        </w:tc>
        <w:tc>
          <w:tcPr>
            <w:tcW w:w="8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50.25</w:t>
            </w:r>
          </w:p>
        </w:tc>
        <w:tc>
          <w:tcPr>
            <w:tcW w:w="87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55.72</w:t>
            </w:r>
          </w:p>
        </w:tc>
        <w:tc>
          <w:tcPr>
            <w:tcW w:w="73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50.70</w:t>
            </w:r>
          </w:p>
        </w:tc>
        <w:tc>
          <w:tcPr>
            <w:tcW w:w="66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9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病毒性肝炎诊断率（％）</w:t>
            </w:r>
          </w:p>
        </w:tc>
        <w:tc>
          <w:tcPr>
            <w:tcW w:w="8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82.78</w:t>
            </w:r>
          </w:p>
        </w:tc>
        <w:tc>
          <w:tcPr>
            <w:tcW w:w="87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50.97</w:t>
            </w:r>
          </w:p>
        </w:tc>
        <w:tc>
          <w:tcPr>
            <w:tcW w:w="73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51.02</w:t>
            </w:r>
          </w:p>
        </w:tc>
        <w:tc>
          <w:tcPr>
            <w:tcW w:w="66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病毒性肝炎治疗率（％）</w:t>
            </w:r>
          </w:p>
        </w:tc>
        <w:tc>
          <w:tcPr>
            <w:tcW w:w="8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45.62</w:t>
            </w:r>
          </w:p>
        </w:tc>
        <w:tc>
          <w:tcPr>
            <w:tcW w:w="87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49.92</w:t>
            </w:r>
          </w:p>
        </w:tc>
        <w:tc>
          <w:tcPr>
            <w:tcW w:w="73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55.07</w:t>
            </w:r>
          </w:p>
        </w:tc>
        <w:tc>
          <w:tcPr>
            <w:tcW w:w="66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45</w:t>
            </w:r>
          </w:p>
        </w:tc>
      </w:tr>
    </w:tbl>
    <w:p>
      <w:pPr>
        <w:numPr>
          <w:ilvl w:val="0"/>
          <w:numId w:val="0"/>
        </w:numPr>
        <w:snapToGrid w:val="0"/>
        <w:spacing w:line="360" w:lineRule="auto"/>
        <w:ind w:left="300" w:leftChars="0"/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napToGrid w:val="0"/>
        <w:spacing w:line="360" w:lineRule="auto"/>
        <w:ind w:left="3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结核病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3"/>
        <w:gridCol w:w="1500"/>
        <w:gridCol w:w="1600"/>
        <w:gridCol w:w="1300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894" w:type="pct"/>
            <w:vMerge w:val="restar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主要指标</w:t>
            </w:r>
          </w:p>
        </w:tc>
        <w:tc>
          <w:tcPr>
            <w:tcW w:w="2427" w:type="pct"/>
            <w:gridSpan w:val="3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截止2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022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月</w:t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2022年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426" w:hRule="atLeast"/>
        </w:trPr>
        <w:tc>
          <w:tcPr>
            <w:tcW w:w="1894" w:type="pct"/>
            <w:vMerge w:val="continue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琼海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东方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保亭</w:t>
            </w:r>
          </w:p>
        </w:tc>
        <w:tc>
          <w:tcPr>
            <w:tcW w:w="677" w:type="pct"/>
            <w:vMerge w:val="continue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报告肺结核患者和疑似肺结核患者的总体到位率（％）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95.00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98.00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100.00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55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肺结核患者病原学阳性诊断率（％）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60.00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61.07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39.60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病原学阳性肺结核患者耐药筛查率（％）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98.00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97.50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100.00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82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肺结核患者密切接触者结核病检查率％）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65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岁以上老人和糖尿病患者中有症状的结核病筛查率（％）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67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82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大中小学入学新生有症状者的结核病检查率（％）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100.00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肺结核患者的成功治疗率（％）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90.00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96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55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利福平耐药患者纳入治疗率（％）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基层医疗卫生机构肺结核患者规范管理率（％）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95.00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94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82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公众结核病防治核心知识知晓率（％）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72.00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71.67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72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.00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894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应用快速检测技术诊断患者数占所有患者数的比例（％）</w:t>
            </w:r>
          </w:p>
        </w:tc>
        <w:tc>
          <w:tcPr>
            <w:tcW w:w="82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90.00</w:t>
            </w:r>
          </w:p>
        </w:tc>
        <w:tc>
          <w:tcPr>
            <w:tcW w:w="882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90.08</w:t>
            </w:r>
          </w:p>
        </w:tc>
        <w:tc>
          <w:tcPr>
            <w:tcW w:w="71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91.30</w:t>
            </w:r>
          </w:p>
        </w:tc>
        <w:tc>
          <w:tcPr>
            <w:tcW w:w="677" w:type="pct"/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≥90</w:t>
            </w:r>
          </w:p>
        </w:tc>
      </w:tr>
    </w:tbl>
    <w:p>
      <w:pPr>
        <w:numPr>
          <w:ilvl w:val="-1"/>
          <w:numId w:val="0"/>
        </w:numPr>
        <w:snapToGrid w:val="0"/>
        <w:spacing w:line="360" w:lineRule="auto"/>
        <w:ind w:firstLine="0"/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</w:pPr>
    </w:p>
    <w:p>
      <w:pPr>
        <w:numPr>
          <w:ilvl w:val="-1"/>
          <w:numId w:val="0"/>
        </w:numPr>
        <w:snapToGrid w:val="0"/>
        <w:spacing w:line="360" w:lineRule="auto"/>
        <w:ind w:firstLine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严重精神障碍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9"/>
        <w:gridCol w:w="1499"/>
        <w:gridCol w:w="1584"/>
        <w:gridCol w:w="1301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903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主要指标</w:t>
            </w:r>
          </w:p>
        </w:tc>
        <w:tc>
          <w:tcPr>
            <w:tcW w:w="2419" w:type="pct"/>
            <w:gridSpan w:val="3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截止2022年12月</w:t>
            </w:r>
          </w:p>
        </w:tc>
        <w:tc>
          <w:tcPr>
            <w:tcW w:w="677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2022年目标值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903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2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琼海</w:t>
            </w:r>
          </w:p>
        </w:tc>
        <w:tc>
          <w:tcPr>
            <w:tcW w:w="874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</w:t>
            </w:r>
          </w:p>
        </w:tc>
        <w:tc>
          <w:tcPr>
            <w:tcW w:w="71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保亭</w:t>
            </w:r>
          </w:p>
        </w:tc>
        <w:tc>
          <w:tcPr>
            <w:tcW w:w="677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03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严重精神障碍患者报告患病率（‰）</w:t>
            </w:r>
          </w:p>
        </w:tc>
        <w:tc>
          <w:tcPr>
            <w:tcW w:w="82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5.13</w:t>
            </w:r>
          </w:p>
        </w:tc>
        <w:tc>
          <w:tcPr>
            <w:tcW w:w="874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5.85</w:t>
            </w:r>
          </w:p>
        </w:tc>
        <w:tc>
          <w:tcPr>
            <w:tcW w:w="71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6.05</w:t>
            </w:r>
          </w:p>
        </w:tc>
        <w:tc>
          <w:tcPr>
            <w:tcW w:w="67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903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在册患者规范管理率（％）</w:t>
            </w:r>
          </w:p>
        </w:tc>
        <w:tc>
          <w:tcPr>
            <w:tcW w:w="82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98.52</w:t>
            </w:r>
          </w:p>
        </w:tc>
        <w:tc>
          <w:tcPr>
            <w:tcW w:w="874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99.88</w:t>
            </w:r>
          </w:p>
        </w:tc>
        <w:tc>
          <w:tcPr>
            <w:tcW w:w="71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90.26</w:t>
            </w:r>
          </w:p>
        </w:tc>
        <w:tc>
          <w:tcPr>
            <w:tcW w:w="67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03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在册患者规律服药率（％）</w:t>
            </w:r>
          </w:p>
        </w:tc>
        <w:tc>
          <w:tcPr>
            <w:tcW w:w="82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92.55</w:t>
            </w:r>
          </w:p>
        </w:tc>
        <w:tc>
          <w:tcPr>
            <w:tcW w:w="874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84.37</w:t>
            </w:r>
          </w:p>
        </w:tc>
        <w:tc>
          <w:tcPr>
            <w:tcW w:w="71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77.35</w:t>
            </w:r>
          </w:p>
        </w:tc>
        <w:tc>
          <w:tcPr>
            <w:tcW w:w="67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903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在册精神分裂症患者规律服药率（％）</w:t>
            </w:r>
          </w:p>
        </w:tc>
        <w:tc>
          <w:tcPr>
            <w:tcW w:w="82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92.56</w:t>
            </w:r>
          </w:p>
        </w:tc>
        <w:tc>
          <w:tcPr>
            <w:tcW w:w="874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84.64</w:t>
            </w:r>
          </w:p>
        </w:tc>
        <w:tc>
          <w:tcPr>
            <w:tcW w:w="71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77.16</w:t>
            </w:r>
          </w:p>
        </w:tc>
        <w:tc>
          <w:tcPr>
            <w:tcW w:w="67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03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精神障碍患者社区康复服务率（％）</w:t>
            </w:r>
          </w:p>
        </w:tc>
        <w:tc>
          <w:tcPr>
            <w:tcW w:w="82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44.30</w:t>
            </w:r>
          </w:p>
        </w:tc>
        <w:tc>
          <w:tcPr>
            <w:tcW w:w="874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42.12</w:t>
            </w:r>
          </w:p>
        </w:tc>
        <w:tc>
          <w:tcPr>
            <w:tcW w:w="71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43.27</w:t>
            </w:r>
          </w:p>
        </w:tc>
        <w:tc>
          <w:tcPr>
            <w:tcW w:w="67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903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全民心理健康知晓率（％）</w:t>
            </w:r>
          </w:p>
        </w:tc>
        <w:tc>
          <w:tcPr>
            <w:tcW w:w="82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63.52</w:t>
            </w:r>
          </w:p>
        </w:tc>
        <w:tc>
          <w:tcPr>
            <w:tcW w:w="874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.00</w:t>
            </w:r>
          </w:p>
        </w:tc>
        <w:tc>
          <w:tcPr>
            <w:tcW w:w="71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65.94</w:t>
            </w:r>
          </w:p>
        </w:tc>
        <w:tc>
          <w:tcPr>
            <w:tcW w:w="677" w:type="pc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≥25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核心知识总知晓率为64.63%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居民的高血压、糖尿病和肝炎的知晓率提高明显，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肺</w:t>
      </w:r>
      <w:r>
        <w:rPr>
          <w:rFonts w:hint="eastAsia" w:ascii="仿宋_GB2312" w:hAnsi="仿宋_GB2312" w:eastAsia="仿宋_GB2312" w:cs="仿宋_GB2312"/>
          <w:sz w:val="32"/>
          <w:szCs w:val="32"/>
        </w:rPr>
        <w:t>结核和心理健康核心知识需加强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（一）偏离绩效目标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肺结核患者病原学阳性诊断率（％）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指标值≥50%，保亭县完成值39.60%。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利福平耐药患者纳入治疗率（％）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指标值=100%，保亭县完成值0.00%。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i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bCs/>
          <w:i w:val="0"/>
          <w:kern w:val="2"/>
          <w:sz w:val="32"/>
          <w:szCs w:val="32"/>
          <w:u w:val="none"/>
          <w:lang w:val="en-US" w:eastAsia="zh-CN" w:bidi="ar"/>
        </w:rPr>
        <w:t>（二）下一步改进措施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深入持续开展宣传发动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大力提升“2+3”疾病防治能力完善“2+3”疾病的防治服务体系建设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各级要按照《“2+3”疾病防治体系建设指导方案》要求，重点开展人员、场地、设备和药品等内容的五级能力建设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</w:pP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加强药品的科学合理配备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基层医疗卫生机构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要按照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健康服务包的治疗要求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配齐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药品配置种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类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，特别是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乡镇的结核病药品数量和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种类。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/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4.</w:t>
      </w:r>
      <w:r>
        <w:rPr>
          <w:rStyle w:val="12"/>
          <w:rFonts w:hint="eastAsia" w:ascii="仿宋_GB2312" w:hAnsi="仿宋_GB2312" w:eastAsia="仿宋_GB2312" w:cs="仿宋_GB2312"/>
          <w:color w:val="000000"/>
          <w:sz w:val="32"/>
          <w:szCs w:val="32"/>
        </w:rPr>
        <w:t>财政资金向耐多药/利福平耐药/广泛耐药患者倾斜，建立基金使用机制，以有效快速解决耐药患者治疗费用问题。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 w:bidi="ar"/>
        </w:rPr>
        <w:t>绩效自评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 w:bidi="ar"/>
        </w:rPr>
        <w:t>结果公开将根据省财政厅相关要求进行。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巡视、审计和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财会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监督中发现的问题。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“</w:t>
      </w:r>
      <w:r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  <w:t>2+3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”健康服务包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项目绩效目标自评表</w:t>
      </w:r>
    </w:p>
    <w:sectPr>
      <w:footerReference r:id="rId3" w:type="default"/>
      <w:pgSz w:w="11906" w:h="16838"/>
      <w:pgMar w:top="2098" w:right="1474" w:bottom="1984" w:left="1587" w:header="851" w:footer="1587" w:gutter="0"/>
      <w:pgNumType w:fmt="decimal"/>
      <w:cols w:space="0" w:num="1"/>
      <w:rtlGutter w:val="0"/>
      <w:docGrid w:type="lines" w:linePitch="41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D96453"/>
    <w:multiLevelType w:val="singleLevel"/>
    <w:tmpl w:val="71D9645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dit="readOnly" w:enforcement="0"/>
  <w:defaultTabStop w:val="420"/>
  <w:drawingGridHorizontalSpacing w:val="150"/>
  <w:drawingGridVerticalSpacing w:val="2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1E1"/>
    <w:rsid w:val="000732DA"/>
    <w:rsid w:val="00075CDC"/>
    <w:rsid w:val="000B1E8F"/>
    <w:rsid w:val="000B6964"/>
    <w:rsid w:val="00103D16"/>
    <w:rsid w:val="00111638"/>
    <w:rsid w:val="00111928"/>
    <w:rsid w:val="0012041C"/>
    <w:rsid w:val="00164D84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6218A1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BC6882"/>
    <w:rsid w:val="00BD3FE0"/>
    <w:rsid w:val="00BE58CF"/>
    <w:rsid w:val="00CA5578"/>
    <w:rsid w:val="00CA7DAA"/>
    <w:rsid w:val="00D04826"/>
    <w:rsid w:val="00D63908"/>
    <w:rsid w:val="00D8718A"/>
    <w:rsid w:val="00D93453"/>
    <w:rsid w:val="00DC524D"/>
    <w:rsid w:val="00E071D6"/>
    <w:rsid w:val="00ED3E0F"/>
    <w:rsid w:val="00F015E4"/>
    <w:rsid w:val="00F57F82"/>
    <w:rsid w:val="00F75224"/>
    <w:rsid w:val="00F91EAE"/>
    <w:rsid w:val="00FA086C"/>
    <w:rsid w:val="00FA2093"/>
    <w:rsid w:val="00FA357A"/>
    <w:rsid w:val="037D0BC8"/>
    <w:rsid w:val="055DEA84"/>
    <w:rsid w:val="08165F30"/>
    <w:rsid w:val="0845082D"/>
    <w:rsid w:val="09E965F2"/>
    <w:rsid w:val="0C1366BB"/>
    <w:rsid w:val="0FF7AA4F"/>
    <w:rsid w:val="139840D3"/>
    <w:rsid w:val="143E091F"/>
    <w:rsid w:val="14865FC8"/>
    <w:rsid w:val="150C2DB0"/>
    <w:rsid w:val="18FC8453"/>
    <w:rsid w:val="1A7D29EA"/>
    <w:rsid w:val="1D771D33"/>
    <w:rsid w:val="1D994BCF"/>
    <w:rsid w:val="1E5FB546"/>
    <w:rsid w:val="1E761F05"/>
    <w:rsid w:val="1F7BE1E6"/>
    <w:rsid w:val="1FC7205C"/>
    <w:rsid w:val="228B3D05"/>
    <w:rsid w:val="26143AC5"/>
    <w:rsid w:val="2675A621"/>
    <w:rsid w:val="284E74F8"/>
    <w:rsid w:val="289F591A"/>
    <w:rsid w:val="2ADB48E8"/>
    <w:rsid w:val="2E412982"/>
    <w:rsid w:val="2FFB518A"/>
    <w:rsid w:val="36687282"/>
    <w:rsid w:val="367793B2"/>
    <w:rsid w:val="3794FC37"/>
    <w:rsid w:val="38EF7AD8"/>
    <w:rsid w:val="38F73BD6"/>
    <w:rsid w:val="39AB2099"/>
    <w:rsid w:val="3B4768BE"/>
    <w:rsid w:val="3DAF576C"/>
    <w:rsid w:val="3E1672E6"/>
    <w:rsid w:val="3EB9C2BB"/>
    <w:rsid w:val="3F7DAA47"/>
    <w:rsid w:val="3FD79EC1"/>
    <w:rsid w:val="3FEF6A07"/>
    <w:rsid w:val="41571A34"/>
    <w:rsid w:val="415F08D8"/>
    <w:rsid w:val="44E2230F"/>
    <w:rsid w:val="47FFF147"/>
    <w:rsid w:val="48B51347"/>
    <w:rsid w:val="491B45FA"/>
    <w:rsid w:val="4A55216A"/>
    <w:rsid w:val="4FE0696A"/>
    <w:rsid w:val="51D7127C"/>
    <w:rsid w:val="52805CFE"/>
    <w:rsid w:val="546F8569"/>
    <w:rsid w:val="55673508"/>
    <w:rsid w:val="59595A6F"/>
    <w:rsid w:val="597350B8"/>
    <w:rsid w:val="599330CA"/>
    <w:rsid w:val="5A7FCB1F"/>
    <w:rsid w:val="5DCFF8FA"/>
    <w:rsid w:val="5EBB160F"/>
    <w:rsid w:val="5EF724AC"/>
    <w:rsid w:val="5FEAF7C9"/>
    <w:rsid w:val="5FEFA412"/>
    <w:rsid w:val="60D5009F"/>
    <w:rsid w:val="62582252"/>
    <w:rsid w:val="64AC2E11"/>
    <w:rsid w:val="660721C9"/>
    <w:rsid w:val="661E6C75"/>
    <w:rsid w:val="67F75FF5"/>
    <w:rsid w:val="681D4831"/>
    <w:rsid w:val="692E4B19"/>
    <w:rsid w:val="69513EF7"/>
    <w:rsid w:val="6AD00E18"/>
    <w:rsid w:val="6BF3256F"/>
    <w:rsid w:val="6CE7018A"/>
    <w:rsid w:val="6D995092"/>
    <w:rsid w:val="6DEDB046"/>
    <w:rsid w:val="6E3E3F2D"/>
    <w:rsid w:val="715B2F02"/>
    <w:rsid w:val="72554E27"/>
    <w:rsid w:val="76A548F2"/>
    <w:rsid w:val="7765772E"/>
    <w:rsid w:val="776F5E62"/>
    <w:rsid w:val="77867685"/>
    <w:rsid w:val="77EE7FE7"/>
    <w:rsid w:val="77EFD28D"/>
    <w:rsid w:val="781F36B6"/>
    <w:rsid w:val="790627AD"/>
    <w:rsid w:val="79DFF8C4"/>
    <w:rsid w:val="7ADC59FA"/>
    <w:rsid w:val="7AFF2FC3"/>
    <w:rsid w:val="7B6F41DF"/>
    <w:rsid w:val="7BF6B4C5"/>
    <w:rsid w:val="7DDD794F"/>
    <w:rsid w:val="7DEF9BC7"/>
    <w:rsid w:val="7DFA6624"/>
    <w:rsid w:val="7DFD8AD7"/>
    <w:rsid w:val="7DFEFB95"/>
    <w:rsid w:val="7E7DA511"/>
    <w:rsid w:val="7ECD6B9A"/>
    <w:rsid w:val="7F5F3225"/>
    <w:rsid w:val="7F7FE75F"/>
    <w:rsid w:val="7FBA576D"/>
    <w:rsid w:val="7FDE47D5"/>
    <w:rsid w:val="7FEB3777"/>
    <w:rsid w:val="7FFD003D"/>
    <w:rsid w:val="7FFDF67B"/>
    <w:rsid w:val="94BFC172"/>
    <w:rsid w:val="9BFA614C"/>
    <w:rsid w:val="B6EEF5B3"/>
    <w:rsid w:val="BA7B23C6"/>
    <w:rsid w:val="BAFE1E17"/>
    <w:rsid w:val="BBDF5B5A"/>
    <w:rsid w:val="BBE428C2"/>
    <w:rsid w:val="BD6F8907"/>
    <w:rsid w:val="BF6FCF11"/>
    <w:rsid w:val="BFBF52D7"/>
    <w:rsid w:val="C9FA7C05"/>
    <w:rsid w:val="D9DFCF4B"/>
    <w:rsid w:val="DB650284"/>
    <w:rsid w:val="DF6E82F1"/>
    <w:rsid w:val="DFCEE0CE"/>
    <w:rsid w:val="DFFF7077"/>
    <w:rsid w:val="E7DF35FE"/>
    <w:rsid w:val="EEBF76D9"/>
    <w:rsid w:val="EFCAB925"/>
    <w:rsid w:val="EFF17AD9"/>
    <w:rsid w:val="F07FBC45"/>
    <w:rsid w:val="F36EF6AC"/>
    <w:rsid w:val="F5BEA0BC"/>
    <w:rsid w:val="F6FDCC0E"/>
    <w:rsid w:val="F75204E9"/>
    <w:rsid w:val="F767D450"/>
    <w:rsid w:val="F76FB1DB"/>
    <w:rsid w:val="F7764ED3"/>
    <w:rsid w:val="F7F7ECB4"/>
    <w:rsid w:val="F7FBEBBF"/>
    <w:rsid w:val="F87BD2E6"/>
    <w:rsid w:val="F9F3FBF0"/>
    <w:rsid w:val="FB9B969D"/>
    <w:rsid w:val="FB9F8FA2"/>
    <w:rsid w:val="FBDE3BD9"/>
    <w:rsid w:val="FBFFA6F9"/>
    <w:rsid w:val="FDB5389F"/>
    <w:rsid w:val="FDBB3AD4"/>
    <w:rsid w:val="FE3E327E"/>
    <w:rsid w:val="FF9D4583"/>
    <w:rsid w:val="FFAFB80B"/>
    <w:rsid w:val="FFBD2F5B"/>
    <w:rsid w:val="FFEFC43F"/>
    <w:rsid w:val="FFF9F86D"/>
    <w:rsid w:val="FFFBF5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99"/>
    <w:rPr>
      <w:rFonts w:eastAsia="仿宋_GB2312"/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eastAsia="仿宋_GB2312"/>
      <w:kern w:val="2"/>
      <w:sz w:val="18"/>
      <w:szCs w:val="18"/>
    </w:rPr>
  </w:style>
  <w:style w:type="paragraph" w:customStyle="1" w:styleId="10">
    <w:name w:val="UserStyle_0"/>
    <w:basedOn w:val="11"/>
    <w:qFormat/>
    <w:uiPriority w:val="0"/>
    <w:pPr>
      <w:ind w:firstLine="420" w:firstLineChars="200"/>
    </w:pPr>
    <w:rPr>
      <w:rFonts w:ascii="Times New Roman" w:hAnsi="Times New Roman" w:eastAsia="仿宋_GB2312"/>
      <w:sz w:val="32"/>
    </w:rPr>
  </w:style>
  <w:style w:type="paragraph" w:customStyle="1" w:styleId="11">
    <w:name w:val="UserStyle_1"/>
    <w:basedOn w:val="1"/>
    <w:qFormat/>
    <w:uiPriority w:val="0"/>
    <w:pPr>
      <w:suppressAutoHyphens/>
      <w:spacing w:after="140" w:line="276" w:lineRule="auto"/>
    </w:pPr>
  </w:style>
  <w:style w:type="character" w:customStyle="1" w:styleId="12">
    <w:name w:val="UserStyle_2"/>
    <w:qFormat/>
    <w:uiPriority w:val="0"/>
    <w:rPr>
      <w:rFonts w:ascii="Calibri" w:hAnsi="Calibri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</Words>
  <Characters>410</Characters>
  <Lines>3</Lines>
  <Paragraphs>1</Paragraphs>
  <TotalTime>26</TotalTime>
  <ScaleCrop>false</ScaleCrop>
  <LinksUpToDate>false</LinksUpToDate>
  <CharactersWithSpaces>480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2019-02-20T06:26:00Z</dcterms:created>
  <dc:creator>lhn</dc:creator>
  <cp:lastModifiedBy>uos</cp:lastModifiedBy>
  <cp:lastPrinted>2023-02-27T17:51:00Z</cp:lastPrinted>
  <dcterms:modified xsi:type="dcterms:W3CDTF">2023-07-14T09:25:42Z</dcterms:modified>
  <dc:title>财政支出绩效评价报告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F090E44A4CB6494FBD3BDC3977B75089</vt:lpwstr>
  </property>
</Properties>
</file>