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2022年</w:t>
      </w:r>
      <w:r>
        <w:rPr>
          <w:rFonts w:hint="eastAsia" w:ascii="方正小标宋_GBK" w:hAnsi="方正小标宋_GBK" w:eastAsia="方正小标宋_GBK" w:cs="方正小标宋_GBK"/>
          <w:sz w:val="44"/>
          <w:szCs w:val="44"/>
        </w:rPr>
        <w:t>省级公立医院取消药品加成补助</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项目支出绩效自评报告</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一、项目概况 </w:t>
      </w:r>
      <w:r>
        <w:rPr>
          <w:rFonts w:hint="eastAsia" w:ascii="仿宋_GB2312" w:hAnsi="仿宋_GB2312" w:eastAsia="仿宋_GB2312" w:cs="仿宋_GB2312"/>
          <w:sz w:val="32"/>
          <w:szCs w:val="32"/>
        </w:rPr>
        <w:t xml:space="preserve">   </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rPr>
        <w:t>（一）项目基本情况</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根据深化医改工作安排，我省省属公立医院于</w:t>
      </w:r>
      <w:r>
        <w:rPr>
          <w:rFonts w:hint="eastAsia" w:ascii="仿宋_GB2312" w:hAnsi="仿宋_GB2312" w:eastAsia="仿宋_GB2312" w:cs="仿宋_GB2312"/>
          <w:sz w:val="32"/>
          <w:szCs w:val="32"/>
          <w:lang w:val="en-US" w:eastAsia="zh-CN"/>
        </w:rPr>
        <w:t>2017年全面取消药品加成。</w:t>
      </w:r>
      <w:r>
        <w:rPr>
          <w:rFonts w:hint="eastAsia" w:ascii="仿宋_GB2312" w:hAnsi="仿宋_GB2312" w:eastAsia="仿宋_GB2312" w:cs="仿宋_GB2312"/>
          <w:sz w:val="32"/>
          <w:szCs w:val="32"/>
        </w:rPr>
        <w:t>根据《关于海南省省属公立医院综合改革有关事项的通知》（琼医改办〔2018〕3号），省财政对省属公立医院因取消药品加成减少的合理收入补偿比例为：“1-医院控制成本占比（5%）-实际医疗服务价格调整补偿占比”。从2018年开始，省财政厅要求在对省级公立医院上一年度取消药品加成情况进行审计的基础上再进行结算。据此要求，我委通过</w:t>
      </w:r>
      <w:r>
        <w:rPr>
          <w:rFonts w:hint="eastAsia" w:ascii="仿宋_GB2312" w:hAnsi="仿宋_GB2312" w:eastAsia="仿宋_GB2312" w:cs="仿宋_GB2312"/>
          <w:sz w:val="32"/>
          <w:szCs w:val="32"/>
          <w:lang w:eastAsia="zh-CN"/>
        </w:rPr>
        <w:t>购买服务</w:t>
      </w:r>
      <w:r>
        <w:rPr>
          <w:rFonts w:hint="eastAsia" w:ascii="仿宋_GB2312" w:hAnsi="仿宋_GB2312" w:eastAsia="仿宋_GB2312" w:cs="仿宋_GB2312"/>
          <w:sz w:val="32"/>
          <w:szCs w:val="32"/>
        </w:rPr>
        <w:t>委托</w:t>
      </w:r>
      <w:r>
        <w:rPr>
          <w:rFonts w:hint="eastAsia" w:ascii="仿宋_GB2312" w:hAnsi="仿宋_GB2312" w:eastAsia="仿宋_GB2312" w:cs="仿宋_GB2312"/>
          <w:sz w:val="32"/>
          <w:szCs w:val="32"/>
          <w:lang w:eastAsia="zh-CN"/>
        </w:rPr>
        <w:t>第三方会计师事务所</w:t>
      </w:r>
      <w:r>
        <w:rPr>
          <w:rFonts w:hint="eastAsia" w:ascii="仿宋_GB2312" w:hAnsi="仿宋_GB2312" w:eastAsia="仿宋_GB2312" w:cs="仿宋_GB2312"/>
          <w:sz w:val="32"/>
          <w:szCs w:val="32"/>
        </w:rPr>
        <w:t>对2020年省属公立医院取消药品加成情况进行审计，以2020年度审计报告结果作为</w:t>
      </w:r>
      <w:r>
        <w:rPr>
          <w:rFonts w:hint="eastAsia" w:ascii="仿宋_GB2312" w:hAnsi="仿宋_GB2312" w:eastAsia="仿宋_GB2312" w:cs="仿宋_GB2312"/>
          <w:sz w:val="32"/>
          <w:szCs w:val="32"/>
          <w:lang w:val="en-US" w:eastAsia="zh-CN"/>
        </w:rPr>
        <w:t>2022年</w:t>
      </w:r>
      <w:r>
        <w:rPr>
          <w:rFonts w:hint="eastAsia" w:ascii="仿宋_GB2312" w:hAnsi="仿宋_GB2312" w:eastAsia="仿宋_GB2312" w:cs="仿宋_GB2312"/>
          <w:sz w:val="32"/>
          <w:szCs w:val="32"/>
        </w:rPr>
        <w:t>预算编制依据。省级公立医院取消药品加成补助资金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用于弥补公立医院</w:t>
      </w:r>
      <w:r>
        <w:rPr>
          <w:rFonts w:hint="eastAsia" w:ascii="仿宋_GB2312" w:hAnsi="仿宋_GB2312" w:eastAsia="仿宋_GB2312" w:cs="仿宋_GB2312"/>
          <w:sz w:val="32"/>
          <w:szCs w:val="32"/>
          <w:lang w:eastAsia="zh-CN"/>
        </w:rPr>
        <w:t>因</w:t>
      </w:r>
      <w:r>
        <w:rPr>
          <w:rFonts w:hint="eastAsia" w:ascii="仿宋_GB2312" w:hAnsi="仿宋_GB2312" w:eastAsia="仿宋_GB2312" w:cs="仿宋_GB2312"/>
          <w:sz w:val="32"/>
          <w:szCs w:val="32"/>
        </w:rPr>
        <w:t>取消药品加成而减少的医疗收入。</w:t>
      </w:r>
      <w:r>
        <w:rPr>
          <w:rFonts w:hint="eastAsia" w:ascii="仿宋_GB2312" w:hAnsi="仿宋_GB2312" w:eastAsia="仿宋_GB2312" w:cs="仿宋_GB2312"/>
          <w:sz w:val="32"/>
          <w:szCs w:val="32"/>
          <w:lang w:val="en-US" w:eastAsia="zh-CN"/>
        </w:rPr>
        <w:t>2022年项目预算下达总资金5307万元。</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xml:space="preserve">（二）项目年度预算绩效目标和绩效指标设定情况  </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总体目标：此财政资金用专款专用，用于弥补公立医院</w:t>
      </w:r>
      <w:r>
        <w:rPr>
          <w:rFonts w:hint="eastAsia" w:ascii="仿宋_GB2312" w:hAnsi="仿宋_GB2312" w:eastAsia="仿宋_GB2312" w:cs="仿宋_GB2312"/>
          <w:sz w:val="32"/>
          <w:szCs w:val="32"/>
          <w:lang w:eastAsia="zh-CN"/>
        </w:rPr>
        <w:t>因</w:t>
      </w:r>
      <w:r>
        <w:rPr>
          <w:rFonts w:hint="eastAsia" w:ascii="仿宋_GB2312" w:hAnsi="仿宋_GB2312" w:eastAsia="仿宋_GB2312" w:cs="仿宋_GB2312"/>
          <w:sz w:val="32"/>
          <w:szCs w:val="32"/>
        </w:rPr>
        <w:t>取消药品加成而减少的医疗收入。</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年度目标：省级公立医院全部取消药品加成。</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当年年度目标完成情况：已完成年度目标。</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二、项目决策及资金使用管理情况</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（一）项目决策情况（包括决策过程和结果）</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关于海南省省属公立医院综合改革有关事项的通知》（琼医改办〔2018〕3号），省财政对省属公立医院因取消药品加成减少的合理收入补偿比例为：“1-医院控制成本占比（5%）-实际医疗服务价格调整补偿占比”。</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w:t>
      </w:r>
      <w:r>
        <w:rPr>
          <w:rFonts w:hint="eastAsia" w:ascii="仿宋_GB2312" w:hAnsi="仿宋_GB2312" w:eastAsia="仿宋_GB2312" w:cs="仿宋_GB2312"/>
          <w:sz w:val="32"/>
          <w:szCs w:val="32"/>
        </w:rPr>
        <w:t>省财政厅、省医改办、省发改委关于进一步明确公立医院财政补助有关事项的通知（琼财社〔2017〕2225号）</w:t>
      </w:r>
      <w:r>
        <w:rPr>
          <w:rFonts w:hint="eastAsia" w:ascii="仿宋_GB2312" w:hAnsi="仿宋_GB2312" w:eastAsia="仿宋_GB2312" w:cs="仿宋_GB2312"/>
          <w:sz w:val="32"/>
          <w:szCs w:val="32"/>
          <w:lang w:eastAsia="zh-CN"/>
        </w:rPr>
        <w:t>，药品零差率政策性亏损补助使用不限定用途，由各医院根据需要统筹使用。</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（二）</w:t>
      </w:r>
      <w:r>
        <w:rPr>
          <w:rFonts w:hint="eastAsia" w:ascii="楷体_GB2312" w:hAnsi="楷体_GB2312" w:eastAsia="楷体_GB2312" w:cs="楷体_GB2312"/>
          <w:sz w:val="32"/>
          <w:szCs w:val="32"/>
        </w:rPr>
        <w:t>项目资金（包括财政资金、自筹资金等）安排落实、总投入等情况</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由省卫健委根据第三方会计师事务所的审计报告编制预算，经省财政厅审核同意后下达给各有关省级公立医院。</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预算下达情况具体如下：</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下达海南省人民医院全年预算数2100万元；</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下达海南医学院第一附属医院全年预算数1400万元；</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下达海南医学院第一附属医院全年预算数1500万元；</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下达省中医院全年预算数300万元；</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下达省安宁医院全年预算数7万元；</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（三）项目资金（主要是指财政资金）实际使用情况</w:t>
      </w:r>
    </w:p>
    <w:p>
      <w:pPr>
        <w:keepNext w:val="0"/>
        <w:keepLines w:val="0"/>
        <w:pageBreakBefore w:val="0"/>
        <w:widowControl/>
        <w:kinsoku/>
        <w:wordWrap/>
        <w:overflowPunct/>
        <w:topLinePunct w:val="0"/>
        <w:autoSpaceDE/>
        <w:autoSpaceDN/>
        <w:bidi w:val="0"/>
        <w:adjustRightInd/>
        <w:snapToGrid/>
        <w:textAlignment w:val="auto"/>
        <w:rPr>
          <w:rFonts w:hint="eastAsia" w:ascii="楷体_GB2312" w:hAnsi="楷体_GB2312" w:eastAsia="楷体_GB2312" w:cs="楷体_GB2312"/>
          <w:sz w:val="32"/>
          <w:szCs w:val="32"/>
        </w:rPr>
      </w:pPr>
      <w:bookmarkStart w:id="0" w:name="_GoBack"/>
      <w:bookmarkEnd w:id="0"/>
      <w:r>
        <w:rPr>
          <w:rFonts w:hint="eastAsia" w:ascii="楷体_GB2312" w:hAnsi="楷体_GB2312" w:eastAsia="楷体_GB2312" w:cs="楷体_GB2312"/>
          <w:sz w:val="32"/>
          <w:szCs w:val="32"/>
          <w:lang w:eastAsia="zh-CN"/>
        </w:rPr>
        <w:t>五家省级公立医院的</w:t>
      </w:r>
      <w:r>
        <w:rPr>
          <w:rFonts w:hint="eastAsia" w:ascii="楷体_GB2312" w:hAnsi="楷体_GB2312" w:eastAsia="楷体_GB2312" w:cs="楷体_GB2312"/>
          <w:sz w:val="32"/>
          <w:szCs w:val="32"/>
        </w:rPr>
        <w:t>执行率</w:t>
      </w:r>
      <w:r>
        <w:rPr>
          <w:rFonts w:hint="eastAsia" w:ascii="楷体_GB2312" w:hAnsi="楷体_GB2312" w:eastAsia="楷体_GB2312" w:cs="楷体_GB2312"/>
          <w:sz w:val="32"/>
          <w:szCs w:val="32"/>
          <w:lang w:eastAsia="zh-CN"/>
        </w:rPr>
        <w:t>均为</w:t>
      </w:r>
      <w:r>
        <w:rPr>
          <w:rFonts w:hint="eastAsia" w:ascii="楷体_GB2312" w:hAnsi="楷体_GB2312" w:eastAsia="楷体_GB2312" w:cs="楷体_GB2312"/>
          <w:sz w:val="32"/>
          <w:szCs w:val="32"/>
        </w:rPr>
        <w:t>100.00%元</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（四）项目资金管理情况（包括管理制度、办法的制订及执行情况）</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根据省财政厅、省医改办、省发改委关于进一步明确公立医院财政补助有关事项的通知（琼财社〔2017〕2225号），药品零差率政策性亏损补助使用不限定用途，由各医院根据需要统筹使用。</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三、项目组织实施情况</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w:t>
      </w:r>
      <w:r>
        <w:rPr>
          <w:rFonts w:hint="eastAsia" w:ascii="仿宋_GB2312" w:hAnsi="仿宋_GB2312" w:eastAsia="仿宋_GB2312" w:cs="仿宋_GB2312"/>
          <w:sz w:val="32"/>
          <w:szCs w:val="32"/>
        </w:rPr>
        <w:t>省财政厅、省医改办、省发改委关于进一步明确公立医院财政补助有关事项的通知（琼财社〔2017〕2225号）</w:t>
      </w:r>
      <w:r>
        <w:rPr>
          <w:rFonts w:hint="eastAsia" w:ascii="仿宋_GB2312" w:hAnsi="仿宋_GB2312" w:eastAsia="仿宋_GB2312" w:cs="仿宋_GB2312"/>
          <w:sz w:val="32"/>
          <w:szCs w:val="32"/>
          <w:lang w:eastAsia="zh-CN"/>
        </w:rPr>
        <w:t>，药品零差率政策性亏损补助使用不限定用途，由各医院根据需要统筹使用。</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四、项目绩效情况</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数量指标</w:t>
      </w:r>
      <w:r>
        <w:rPr>
          <w:rFonts w:hint="eastAsia" w:ascii="仿宋_GB2312" w:hAnsi="仿宋_GB2312" w:eastAsia="仿宋_GB2312" w:cs="仿宋_GB2312"/>
          <w:sz w:val="32"/>
          <w:szCs w:val="32"/>
        </w:rPr>
        <w:t>：2022年省级公立医院</w:t>
      </w:r>
      <w:r>
        <w:rPr>
          <w:rFonts w:hint="eastAsia" w:ascii="仿宋_GB2312" w:hAnsi="仿宋_GB2312" w:eastAsia="仿宋_GB2312" w:cs="仿宋_GB2312"/>
          <w:sz w:val="32"/>
          <w:szCs w:val="32"/>
          <w:lang w:eastAsia="zh-CN"/>
        </w:rPr>
        <w:t>已</w:t>
      </w:r>
      <w:r>
        <w:rPr>
          <w:rFonts w:hint="eastAsia" w:ascii="仿宋_GB2312" w:hAnsi="仿宋_GB2312" w:eastAsia="仿宋_GB2312" w:cs="仿宋_GB2312"/>
          <w:sz w:val="32"/>
          <w:szCs w:val="32"/>
        </w:rPr>
        <w:t>全部取消药品加成</w:t>
      </w:r>
      <w:r>
        <w:rPr>
          <w:rFonts w:hint="eastAsia" w:ascii="仿宋_GB2312" w:hAnsi="仿宋_GB2312" w:eastAsia="仿宋_GB2312" w:cs="仿宋_GB2312"/>
          <w:sz w:val="32"/>
          <w:szCs w:val="32"/>
          <w:lang w:eastAsia="zh-CN"/>
        </w:rPr>
        <w:t>，降低老百姓看病就医负担。</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、可持续影响指标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省级公立医院取消药品加成减少的合理收入除通过调整医疗服务价格补偿及自我消化外，其余部分通过财政补助资金得到补偿</w:t>
      </w:r>
      <w:r>
        <w:rPr>
          <w:rFonts w:hint="eastAsia" w:ascii="仿宋_GB2312" w:hAnsi="仿宋_GB2312" w:eastAsia="仿宋_GB2312" w:cs="仿宋_GB2312"/>
          <w:sz w:val="32"/>
          <w:szCs w:val="32"/>
          <w:lang w:eastAsia="zh-CN"/>
        </w:rPr>
        <w:t>，目前预算已全部下达并执行，助力医院发展。</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五、其他需要说明的问题</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方正黑体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小标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43B8E"/>
    <w:rsid w:val="00104A38"/>
    <w:rsid w:val="00943B8E"/>
    <w:rsid w:val="17F586C1"/>
    <w:rsid w:val="1FB75035"/>
    <w:rsid w:val="234D199A"/>
    <w:rsid w:val="47EFAAE6"/>
    <w:rsid w:val="4BFE8353"/>
    <w:rsid w:val="530D0A67"/>
    <w:rsid w:val="57BD1BE4"/>
    <w:rsid w:val="65F5520E"/>
    <w:rsid w:val="6BB05A57"/>
    <w:rsid w:val="6BFF9D9A"/>
    <w:rsid w:val="773F24F5"/>
    <w:rsid w:val="7DEB48F6"/>
    <w:rsid w:val="7F1AC56A"/>
    <w:rsid w:val="7F9B46F3"/>
    <w:rsid w:val="9AFA4149"/>
    <w:rsid w:val="B7B08A55"/>
    <w:rsid w:val="DE9FE27B"/>
    <w:rsid w:val="ED7F1030"/>
    <w:rsid w:val="F3F713FC"/>
    <w:rsid w:val="FCDB796B"/>
    <w:rsid w:val="FE7F6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kern w:val="0"/>
      <w:sz w:val="24"/>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spacing w:before="100" w:beforeAutospacing="1" w:after="100" w:afterAutospacing="1"/>
    </w:pPr>
  </w:style>
  <w:style w:type="character" w:styleId="5">
    <w:name w:val="Strong"/>
    <w:basedOn w:val="4"/>
    <w:qFormat/>
    <w:uiPriority w:val="22"/>
    <w:rPr>
      <w:b/>
      <w:bCs/>
    </w:rPr>
  </w:style>
  <w:style w:type="paragraph" w:customStyle="1" w:styleId="6">
    <w:name w:val="普通(网站) Char"/>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8</Pages>
  <Words>508</Words>
  <Characters>2898</Characters>
  <Lines>24</Lines>
  <Paragraphs>6</Paragraphs>
  <TotalTime>6</TotalTime>
  <ScaleCrop>false</ScaleCrop>
  <LinksUpToDate>false</LinksUpToDate>
  <CharactersWithSpaces>3400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2023-04-19T08:21:00Z</dcterms:created>
  <dc:creator>g</dc:creator>
  <cp:lastModifiedBy>uos</cp:lastModifiedBy>
  <dcterms:modified xsi:type="dcterms:W3CDTF">2023-07-14T09:49:24Z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