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atLeast"/>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医疗服务能力提升补助资金项目</w:t>
      </w:r>
    </w:p>
    <w:p>
      <w:pPr>
        <w:widowControl/>
        <w:spacing w:line="578" w:lineRule="atLeast"/>
        <w:jc w:val="center"/>
        <w:rPr>
          <w:rFonts w:hAnsi="宋体" w:cs="宋体"/>
          <w:color w:val="000000"/>
          <w:kern w:val="0"/>
          <w:szCs w:val="32"/>
        </w:rPr>
      </w:pPr>
      <w:r>
        <w:rPr>
          <w:rFonts w:hint="eastAsia" w:ascii="宋体" w:hAnsi="宋体" w:cs="宋体"/>
          <w:b/>
          <w:bCs/>
          <w:color w:val="000000"/>
          <w:kern w:val="0"/>
          <w:sz w:val="44"/>
          <w:szCs w:val="44"/>
        </w:rPr>
        <w:t>202</w:t>
      </w:r>
      <w:r>
        <w:rPr>
          <w:rFonts w:hint="eastAsia" w:ascii="宋体" w:hAnsi="宋体" w:cs="宋体"/>
          <w:b/>
          <w:bCs/>
          <w:color w:val="000000"/>
          <w:kern w:val="0"/>
          <w:sz w:val="44"/>
          <w:szCs w:val="44"/>
          <w:lang w:val="en-US" w:eastAsia="zh-CN"/>
        </w:rPr>
        <w:t>2</w:t>
      </w:r>
      <w:r>
        <w:rPr>
          <w:rFonts w:hint="eastAsia" w:ascii="宋体" w:hAnsi="宋体" w:cs="宋体"/>
          <w:b/>
          <w:bCs/>
          <w:color w:val="000000"/>
          <w:kern w:val="0"/>
          <w:sz w:val="44"/>
          <w:szCs w:val="44"/>
        </w:rPr>
        <w:t>年度绩效自评报告</w:t>
      </w:r>
    </w:p>
    <w:p>
      <w:pPr>
        <w:widowControl/>
        <w:spacing w:line="578" w:lineRule="atLeast"/>
        <w:ind w:firstLine="640"/>
        <w:rPr>
          <w:rFonts w:hint="eastAsia" w:hAnsi="宋体" w:cs="宋体"/>
          <w:color w:val="000000"/>
          <w:kern w:val="0"/>
          <w:szCs w:val="32"/>
        </w:rPr>
      </w:pPr>
    </w:p>
    <w:p>
      <w:pPr>
        <w:widowControl/>
        <w:spacing w:line="578" w:lineRule="atLeast"/>
        <w:ind w:firstLine="640"/>
        <w:rPr>
          <w:rFonts w:hint="eastAsia" w:ascii="仿宋_GB2312" w:hAnsi="宋体" w:eastAsia="仿宋_GB2312" w:cs="宋体"/>
          <w:b/>
          <w:bCs/>
          <w:color w:val="000000"/>
          <w:kern w:val="0"/>
          <w:szCs w:val="32"/>
        </w:rPr>
      </w:pPr>
      <w:r>
        <w:rPr>
          <w:rFonts w:hint="eastAsia" w:ascii="仿宋_GB2312" w:hAnsi="宋体" w:eastAsia="仿宋_GB2312" w:cs="宋体"/>
          <w:b/>
          <w:bCs/>
          <w:color w:val="000000"/>
          <w:kern w:val="0"/>
          <w:szCs w:val="32"/>
        </w:rPr>
        <w:t>一、项目概况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（一）项目基本性质、用途和主要内容</w:t>
      </w:r>
    </w:p>
    <w:p>
      <w:pPr>
        <w:spacing w:line="640" w:lineRule="exact"/>
        <w:ind w:firstLine="640" w:firstLineChars="200"/>
        <w:rPr>
          <w:rFonts w:hint="eastAsia" w:ascii="Times New Roman" w:hAnsi="Times New Roman"/>
          <w:color w:val="000000" w:themeColor="text1"/>
          <w:szCs w:val="32"/>
          <w:lang w:eastAsia="zh-CN"/>
          <w14:textFill>
            <w14:solidFill>
              <w14:schemeClr w14:val="tx1"/>
            </w14:solidFill>
          </w14:textFill>
        </w:rPr>
      </w:pPr>
      <w:r>
        <w:rPr>
          <w:rFonts w:hint="eastAsia" w:ascii="Times New Roman" w:hAnsi="Times New Roman"/>
          <w:color w:val="000000" w:themeColor="text1"/>
          <w:szCs w:val="32"/>
          <w14:textFill>
            <w14:solidFill>
              <w14:schemeClr w14:val="tx1"/>
            </w14:solidFill>
          </w14:textFill>
        </w:rPr>
        <w:t>该项目主要用于建设海南“云上妇幼”远程医疗平台和卫生健康人才培养</w:t>
      </w:r>
      <w:r>
        <w:rPr>
          <w:rFonts w:hint="eastAsia" w:ascii="Times New Roman" w:hAnsi="Times New Roman"/>
          <w:color w:val="000000" w:themeColor="text1"/>
          <w:szCs w:val="32"/>
          <w:lang w:eastAsia="zh-CN"/>
          <w14:textFill>
            <w14:solidFill>
              <w14:schemeClr w14:val="tx1"/>
            </w14:solidFill>
          </w14:textFill>
        </w:rPr>
        <w:t>。</w:t>
      </w:r>
    </w:p>
    <w:p>
      <w:pPr>
        <w:spacing w:line="640" w:lineRule="exact"/>
        <w:ind w:firstLine="640" w:firstLineChars="200"/>
        <w:rPr>
          <w:rFonts w:hint="eastAsia" w:ascii="Times New Roman"/>
          <w:color w:val="000000" w:themeColor="text1"/>
          <w:sz w:val="32"/>
          <w:szCs w:val="32"/>
          <w14:textFill>
            <w14:solidFill>
              <w14:schemeClr w14:val="tx1"/>
            </w14:solidFill>
          </w14:textFill>
        </w:rPr>
      </w:pPr>
      <w:r>
        <w:rPr>
          <w:rFonts w:hint="eastAsia" w:ascii="Times New Roman" w:hAnsi="Times New Roman"/>
          <w:color w:val="000000" w:themeColor="text1"/>
          <w:szCs w:val="32"/>
          <w14:textFill>
            <w14:solidFill>
              <w14:schemeClr w14:val="tx1"/>
            </w14:solidFill>
          </w14:textFill>
        </w:rPr>
        <w:t>海南省“云上妇幼”远程医疗平台项目由海南省妇女儿童医学中心牵头省级“云上妇幼”平台建设和移动端（小程序）开发，通过升级院内远程医疗服务平台、建设云上妇幼移动端、购置远程终端医疗设备（包括23套大屏幕触摸远程会诊设备等）及建设危重救治管理平台，加强远程医疗信息系统建设，建立覆盖省内各级危重孕产妇和新生儿救治中心、各级妇幼保健机构和助产机构的“云上妇幼”远程医疗信息系统。</w:t>
      </w:r>
      <w:r>
        <w:rPr>
          <w:rFonts w:hint="eastAsia" w:ascii="Times New Roman"/>
          <w:color w:val="000000" w:themeColor="text1"/>
          <w:sz w:val="32"/>
          <w:szCs w:val="32"/>
          <w14:textFill>
            <w14:solidFill>
              <w14:schemeClr w14:val="tx1"/>
            </w14:solidFill>
          </w14:textFill>
        </w:rPr>
        <w:t>通过项目的建设，医院的医护人员利用平台为居民提供远程会诊服务，为患者提供准确诊断。推进“云上妇幼”远程医疗平台建设，能够使医院信息化管理体系得到加强，能够以数据驱动分析决策，创新管理模式，能够使经治医生的医疗技术水平得到很多方面的提高。</w:t>
      </w:r>
    </w:p>
    <w:p>
      <w:pPr>
        <w:pStyle w:val="2"/>
        <w:ind w:firstLine="640" w:firstLineChars="200"/>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卫生健康人才培养</w:t>
      </w:r>
      <w:r>
        <w:rPr>
          <w:rFonts w:hint="eastAsia" w:ascii="Times New Roman" w:hAnsi="新宋体" w:cs="Times New Roman"/>
          <w:color w:val="000000" w:themeColor="text1"/>
          <w:kern w:val="2"/>
          <w:sz w:val="32"/>
          <w:szCs w:val="32"/>
          <w:lang w:val="en-US" w:eastAsia="zh-CN" w:bidi="ar-SA"/>
          <w14:textFill>
            <w14:solidFill>
              <w14:schemeClr w14:val="tx1"/>
            </w14:solidFill>
          </w14:textFill>
        </w:rPr>
        <w:t>含</w:t>
      </w: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出生缺陷防治人才培训</w:t>
      </w:r>
      <w:r>
        <w:rPr>
          <w:rFonts w:hint="eastAsia" w:ascii="Times New Roman" w:hAnsi="新宋体" w:cs="Times New Roman"/>
          <w:color w:val="000000" w:themeColor="text1"/>
          <w:kern w:val="2"/>
          <w:sz w:val="32"/>
          <w:szCs w:val="32"/>
          <w:lang w:val="en-US" w:eastAsia="zh-CN" w:bidi="ar-SA"/>
          <w14:textFill>
            <w14:solidFill>
              <w14:schemeClr w14:val="tx1"/>
            </w14:solidFill>
          </w14:textFill>
        </w:rPr>
        <w:t>、</w:t>
      </w: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县级儿童保健人员培训</w:t>
      </w:r>
      <w:r>
        <w:rPr>
          <w:rFonts w:hint="eastAsia" w:ascii="Times New Roman" w:hAnsi="新宋体" w:cs="Times New Roman"/>
          <w:color w:val="000000" w:themeColor="text1"/>
          <w:kern w:val="2"/>
          <w:sz w:val="32"/>
          <w:szCs w:val="32"/>
          <w:lang w:val="en-US" w:eastAsia="zh-CN" w:bidi="ar-SA"/>
          <w14:textFill>
            <w14:solidFill>
              <w14:schemeClr w14:val="tx1"/>
            </w14:solidFill>
          </w14:textFill>
        </w:rPr>
        <w:t>和</w:t>
      </w: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儿科医师转岗培训项目</w:t>
      </w:r>
      <w:r>
        <w:rPr>
          <w:rFonts w:hint="eastAsia" w:ascii="Times New Roman" w:hAnsi="新宋体" w:cs="Times New Roman"/>
          <w:color w:val="000000" w:themeColor="text1"/>
          <w:kern w:val="2"/>
          <w:sz w:val="32"/>
          <w:szCs w:val="32"/>
          <w:lang w:val="en-US" w:eastAsia="zh-CN" w:bidi="ar-SA"/>
          <w14:textFill>
            <w14:solidFill>
              <w14:schemeClr w14:val="tx1"/>
            </w14:solidFill>
          </w14:textFill>
        </w:rPr>
        <w:t>，</w:t>
      </w: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包括学员住宿、实践轮转、临床带教、BLS基础生命支持课程培训、项目管理等方面，经费实行综合定额标准，统筹使用，确保培训质量和工作开展。</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（二）项目年度预算绩效目标和绩效指标设定情况</w:t>
      </w:r>
    </w:p>
    <w:p>
      <w:pPr>
        <w:spacing w:line="620" w:lineRule="exact"/>
        <w:ind w:firstLine="640" w:firstLineChars="200"/>
      </w:pPr>
      <w:r>
        <w:rPr>
          <w:rFonts w:hint="eastAsia"/>
        </w:rPr>
        <w:t>海南省“云上妇幼”远程医疗平台项目</w:t>
      </w:r>
      <w:r>
        <w:rPr>
          <w:rFonts w:hint="eastAsia"/>
          <w:lang w:val="en-US" w:eastAsia="zh-CN"/>
        </w:rPr>
        <w:t>完成</w:t>
      </w:r>
      <w:r>
        <w:rPr>
          <w:rFonts w:hint="eastAsia"/>
        </w:rPr>
        <w:t>终验</w:t>
      </w:r>
      <w:r>
        <w:rPr>
          <w:rFonts w:hint="eastAsia"/>
          <w:lang w:eastAsia="zh-CN"/>
        </w:rPr>
        <w:t>，</w:t>
      </w:r>
      <w:r>
        <w:rPr>
          <w:rFonts w:hint="eastAsia"/>
          <w:lang w:val="en-US" w:eastAsia="zh-CN"/>
        </w:rPr>
        <w:t>项目</w:t>
      </w:r>
      <w:r>
        <w:rPr>
          <w:rFonts w:hint="eastAsia"/>
          <w:lang w:eastAsia="zh-CN"/>
        </w:rPr>
        <w:t>验收合格率</w:t>
      </w:r>
      <w:r>
        <w:rPr>
          <w:rFonts w:hint="eastAsia"/>
          <w:lang w:val="en-US" w:eastAsia="zh-CN"/>
        </w:rPr>
        <w:t>100%；</w:t>
      </w:r>
      <w:r>
        <w:rPr>
          <w:rFonts w:hint="eastAsia" w:ascii="Times New Roman" w:cs="Calibri"/>
          <w:color w:val="auto"/>
          <w:kern w:val="2"/>
          <w:sz w:val="32"/>
          <w:szCs w:val="32"/>
          <w:lang w:val="en-US" w:eastAsia="zh-CN" w:bidi="ar-SA"/>
        </w:rPr>
        <w:t>卫生健康人才培养项目</w:t>
      </w:r>
      <w:r>
        <w:rPr>
          <w:rFonts w:hint="eastAsia"/>
          <w:lang w:val="en-US" w:eastAsia="zh-CN"/>
        </w:rPr>
        <w:t>完成儿科医师转岗培训10人次，完成出生缺陷防治人才培训项目30人次和完成中西部地区县级儿童保健人员项目5人次。</w:t>
      </w:r>
    </w:p>
    <w:p>
      <w:pPr>
        <w:widowControl/>
        <w:spacing w:line="578" w:lineRule="atLeast"/>
        <w:rPr>
          <w:rFonts w:hint="eastAsia" w:hAnsi="宋体" w:cs="宋体"/>
          <w:color w:val="000000"/>
          <w:kern w:val="0"/>
          <w:szCs w:val="32"/>
        </w:rPr>
      </w:pPr>
      <w:r>
        <w:rPr>
          <w:rFonts w:hint="eastAsia" w:hAnsi="宋体" w:cs="宋体"/>
          <w:color w:val="000000"/>
          <w:kern w:val="0"/>
          <w:szCs w:val="32"/>
        </w:rPr>
        <w:t xml:space="preserve">   </w:t>
      </w:r>
      <w:r>
        <w:rPr>
          <w:rFonts w:hint="eastAsia" w:ascii="仿宋_GB2312" w:hAnsi="宋体" w:eastAsia="仿宋_GB2312" w:cs="宋体"/>
          <w:b/>
          <w:bCs/>
          <w:color w:val="000000"/>
          <w:kern w:val="0"/>
          <w:szCs w:val="32"/>
        </w:rPr>
        <w:t xml:space="preserve"> 二、项目决策及资金使用管理情况</w:t>
      </w:r>
    </w:p>
    <w:p>
      <w:pPr>
        <w:widowControl/>
        <w:spacing w:line="578" w:lineRule="atLeast"/>
        <w:ind w:firstLine="640"/>
        <w:rPr>
          <w:rFonts w:hint="eastAsia" w:hAnsi="宋体" w:cs="宋体"/>
          <w:kern w:val="0"/>
          <w:szCs w:val="32"/>
        </w:rPr>
      </w:pPr>
      <w:r>
        <w:rPr>
          <w:rFonts w:hint="eastAsia" w:hAnsi="宋体" w:cs="宋体"/>
          <w:kern w:val="0"/>
          <w:szCs w:val="32"/>
        </w:rPr>
        <w:t>（一）项目决策情况（包括决策过程和结果）</w:t>
      </w:r>
    </w:p>
    <w:p>
      <w:pPr>
        <w:pStyle w:val="2"/>
        <w:rPr>
          <w:rFonts w:hint="default" w:ascii="Times New Roman"/>
          <w:color w:val="000000" w:themeColor="text1"/>
          <w:kern w:val="2"/>
          <w:sz w:val="32"/>
          <w:szCs w:val="32"/>
          <w:lang w:val="en-US" w:eastAsia="zh-CN"/>
          <w14:textFill>
            <w14:solidFill>
              <w14:schemeClr w14:val="tx1"/>
            </w14:solidFill>
          </w14:textFill>
        </w:rPr>
      </w:pPr>
      <w:r>
        <w:rPr>
          <w:rFonts w:hint="eastAsia" w:hAnsi="宋体" w:cs="宋体"/>
          <w:kern w:val="0"/>
          <w:szCs w:val="32"/>
          <w:lang w:val="en-US" w:eastAsia="zh-CN"/>
        </w:rPr>
        <w:t xml:space="preserve">      </w:t>
      </w:r>
      <w:r>
        <w:rPr>
          <w:rFonts w:hint="eastAsia" w:ascii="Times New Roman"/>
          <w:color w:val="000000" w:themeColor="text1"/>
          <w:kern w:val="2"/>
          <w:sz w:val="32"/>
          <w:szCs w:val="32"/>
          <w:lang w:val="en-US" w:eastAsia="zh-CN"/>
          <w14:textFill>
            <w14:solidFill>
              <w14:schemeClr w14:val="tx1"/>
            </w14:solidFill>
          </w14:textFill>
        </w:rPr>
        <w:t>坚持党的全面领导，严格按照我单位党委会会议和院长办公会议议事规则要求，坚持民主集中制，实行集体领导和个人分工负责相结合的制度，凡涉及本项目重大决策事项，包括项目功能布局确定和50万元以上重大资金支出等，须经院长办公会议研究后提请党委会会议集体研究做出批准或通过后方可实施。</w:t>
      </w:r>
    </w:p>
    <w:p>
      <w:pPr>
        <w:widowControl/>
        <w:spacing w:line="578" w:lineRule="atLeast"/>
        <w:ind w:firstLine="640"/>
        <w:rPr>
          <w:rFonts w:hint="eastAsia" w:hAnsi="宋体" w:cs="宋体"/>
          <w:kern w:val="0"/>
          <w:szCs w:val="32"/>
        </w:rPr>
      </w:pPr>
      <w:r>
        <w:rPr>
          <w:rFonts w:hint="eastAsia" w:hAnsi="宋体" w:cs="宋体"/>
          <w:kern w:val="0"/>
          <w:szCs w:val="32"/>
          <w:lang w:eastAsia="zh-CN"/>
        </w:rPr>
        <w:t>（</w:t>
      </w:r>
      <w:r>
        <w:rPr>
          <w:rFonts w:hint="eastAsia" w:hAnsi="宋体" w:cs="宋体"/>
          <w:kern w:val="0"/>
          <w:szCs w:val="32"/>
          <w:lang w:val="en-US" w:eastAsia="zh-CN"/>
        </w:rPr>
        <w:t>二）</w:t>
      </w:r>
      <w:r>
        <w:rPr>
          <w:rFonts w:hint="eastAsia" w:hAnsi="宋体" w:cs="宋体"/>
          <w:kern w:val="0"/>
          <w:szCs w:val="32"/>
        </w:rPr>
        <w:t>项目资金（包括财政资金、自筹资金等）安排落实、总投入等情况</w:t>
      </w:r>
    </w:p>
    <w:p>
      <w:pPr>
        <w:pStyle w:val="2"/>
        <w:ind w:firstLine="640" w:firstLineChars="200"/>
        <w:rPr>
          <w:rFonts w:hint="eastAsia" w:eastAsia="仿宋_GB2312"/>
          <w:lang w:eastAsia="zh-CN"/>
        </w:rPr>
      </w:pPr>
      <w:r>
        <w:rPr>
          <w:rFonts w:hint="eastAsia" w:ascii="Times New Roman"/>
          <w:color w:val="000000" w:themeColor="text1"/>
          <w:kern w:val="2"/>
          <w:sz w:val="32"/>
          <w:szCs w:val="32"/>
          <w14:textFill>
            <w14:solidFill>
              <w14:schemeClr w14:val="tx1"/>
            </w14:solidFill>
          </w14:textFill>
        </w:rPr>
        <w:t>2022年到位资金516</w:t>
      </w:r>
      <w:r>
        <w:rPr>
          <w:rFonts w:hint="eastAsia" w:ascii="Times New Roman"/>
          <w:color w:val="000000" w:themeColor="text1"/>
          <w:kern w:val="2"/>
          <w:sz w:val="32"/>
          <w:szCs w:val="32"/>
          <w:lang w:val="en-US" w:eastAsia="zh-CN"/>
          <w14:textFill>
            <w14:solidFill>
              <w14:schemeClr w14:val="tx1"/>
            </w14:solidFill>
          </w14:textFill>
        </w:rPr>
        <w:t>.</w:t>
      </w:r>
      <w:r>
        <w:rPr>
          <w:rFonts w:hint="eastAsia" w:ascii="Times New Roman"/>
          <w:color w:val="000000" w:themeColor="text1"/>
          <w:kern w:val="2"/>
          <w:sz w:val="32"/>
          <w:szCs w:val="32"/>
          <w14:textFill>
            <w14:solidFill>
              <w14:schemeClr w14:val="tx1"/>
            </w14:solidFill>
          </w14:textFill>
        </w:rPr>
        <w:t>125</w:t>
      </w:r>
      <w:r>
        <w:rPr>
          <w:rFonts w:hint="eastAsia" w:ascii="Times New Roman"/>
          <w:color w:val="000000" w:themeColor="text1"/>
          <w:kern w:val="2"/>
          <w:sz w:val="32"/>
          <w:szCs w:val="32"/>
          <w:lang w:val="en-US" w:eastAsia="zh-CN"/>
          <w14:textFill>
            <w14:solidFill>
              <w14:schemeClr w14:val="tx1"/>
            </w14:solidFill>
          </w14:textFill>
        </w:rPr>
        <w:t>万</w:t>
      </w:r>
      <w:r>
        <w:rPr>
          <w:rFonts w:hint="eastAsia" w:ascii="Times New Roman"/>
          <w:color w:val="000000" w:themeColor="text1"/>
          <w:kern w:val="2"/>
          <w:sz w:val="32"/>
          <w:szCs w:val="32"/>
          <w14:textFill>
            <w14:solidFill>
              <w14:schemeClr w14:val="tx1"/>
            </w14:solidFill>
          </w14:textFill>
        </w:rPr>
        <w:t>元。其中海南省“云上妇幼”远程医疗平台</w:t>
      </w:r>
      <w:r>
        <w:rPr>
          <w:rFonts w:hint="eastAsia" w:ascii="Times New Roman"/>
          <w:color w:val="000000" w:themeColor="text1"/>
          <w:kern w:val="2"/>
          <w:sz w:val="32"/>
          <w:szCs w:val="32"/>
          <w:lang w:val="en-US" w:eastAsia="zh-CN"/>
          <w14:textFill>
            <w14:solidFill>
              <w14:schemeClr w14:val="tx1"/>
            </w14:solidFill>
          </w14:textFill>
        </w:rPr>
        <w:t>建设</w:t>
      </w:r>
      <w:r>
        <w:rPr>
          <w:rFonts w:hint="eastAsia" w:ascii="Times New Roman"/>
          <w:color w:val="000000" w:themeColor="text1"/>
          <w:kern w:val="2"/>
          <w:sz w:val="32"/>
          <w:szCs w:val="32"/>
          <w14:textFill>
            <w14:solidFill>
              <w14:schemeClr w14:val="tx1"/>
            </w14:solidFill>
          </w14:textFill>
        </w:rPr>
        <w:t>500万元，480万元用于项目建设，20万用于培训工作</w:t>
      </w:r>
      <w:r>
        <w:rPr>
          <w:rFonts w:hint="eastAsia" w:ascii="Times New Roman"/>
          <w:color w:val="000000" w:themeColor="text1"/>
          <w:kern w:val="2"/>
          <w:sz w:val="32"/>
          <w:szCs w:val="32"/>
          <w:lang w:eastAsia="zh-CN"/>
          <w14:textFill>
            <w14:solidFill>
              <w14:schemeClr w14:val="tx1"/>
            </w14:solidFill>
          </w14:textFill>
        </w:rPr>
        <w:t>；</w:t>
      </w:r>
      <w:r>
        <w:rPr>
          <w:rFonts w:hint="eastAsia" w:ascii="Times New Roman" w:hAnsi="新宋体" w:eastAsia="仿宋_GB2312" w:cs="Times New Roman"/>
          <w:color w:val="000000" w:themeColor="text1"/>
          <w:kern w:val="2"/>
          <w:sz w:val="32"/>
          <w:szCs w:val="32"/>
          <w:lang w:val="en-US" w:eastAsia="zh-CN" w:bidi="ar-SA"/>
          <w14:textFill>
            <w14:solidFill>
              <w14:schemeClr w14:val="tx1"/>
            </w14:solidFill>
          </w14:textFill>
        </w:rPr>
        <w:t>卫生健康人才培养</w:t>
      </w:r>
      <w:r>
        <w:rPr>
          <w:rFonts w:hint="eastAsia" w:ascii="Times New Roman"/>
          <w:color w:val="000000" w:themeColor="text1"/>
          <w:kern w:val="2"/>
          <w:sz w:val="32"/>
          <w:szCs w:val="32"/>
          <w14:textFill>
            <w14:solidFill>
              <w14:schemeClr w14:val="tx1"/>
            </w14:solidFill>
          </w14:textFill>
        </w:rPr>
        <w:t>16</w:t>
      </w:r>
      <w:r>
        <w:rPr>
          <w:rFonts w:hint="eastAsia" w:ascii="Times New Roman"/>
          <w:color w:val="000000" w:themeColor="text1"/>
          <w:kern w:val="2"/>
          <w:sz w:val="32"/>
          <w:szCs w:val="32"/>
          <w:lang w:val="en-US" w:eastAsia="zh-CN"/>
          <w14:textFill>
            <w14:solidFill>
              <w14:schemeClr w14:val="tx1"/>
            </w14:solidFill>
          </w14:textFill>
        </w:rPr>
        <w:t>.</w:t>
      </w:r>
      <w:r>
        <w:rPr>
          <w:rFonts w:hint="eastAsia" w:ascii="Times New Roman"/>
          <w:color w:val="000000" w:themeColor="text1"/>
          <w:kern w:val="2"/>
          <w:sz w:val="32"/>
          <w:szCs w:val="32"/>
          <w14:textFill>
            <w14:solidFill>
              <w14:schemeClr w14:val="tx1"/>
            </w14:solidFill>
          </w14:textFill>
        </w:rPr>
        <w:t>125</w:t>
      </w:r>
      <w:r>
        <w:rPr>
          <w:rFonts w:hint="eastAsia" w:ascii="Times New Roman"/>
          <w:color w:val="000000" w:themeColor="text1"/>
          <w:kern w:val="2"/>
          <w:sz w:val="32"/>
          <w:szCs w:val="32"/>
          <w:lang w:val="en-US" w:eastAsia="zh-CN"/>
          <w14:textFill>
            <w14:solidFill>
              <w14:schemeClr w14:val="tx1"/>
            </w14:solidFill>
          </w14:textFill>
        </w:rPr>
        <w:t>万</w:t>
      </w:r>
      <w:r>
        <w:rPr>
          <w:rFonts w:hint="eastAsia" w:ascii="Times New Roman"/>
          <w:color w:val="000000" w:themeColor="text1"/>
          <w:kern w:val="2"/>
          <w:sz w:val="32"/>
          <w:szCs w:val="32"/>
          <w14:textFill>
            <w14:solidFill>
              <w14:schemeClr w14:val="tx1"/>
            </w14:solidFill>
          </w14:textFill>
        </w:rPr>
        <w:t>元</w:t>
      </w:r>
      <w:r>
        <w:rPr>
          <w:rFonts w:hint="eastAsia" w:ascii="Times New Roman"/>
          <w:color w:val="000000" w:themeColor="text1"/>
          <w:kern w:val="2"/>
          <w:sz w:val="32"/>
          <w:szCs w:val="32"/>
          <w:lang w:eastAsia="zh-CN"/>
          <w14:textFill>
            <w14:solidFill>
              <w14:schemeClr w14:val="tx1"/>
            </w14:solidFill>
          </w14:textFill>
        </w:rPr>
        <w:t>。</w:t>
      </w:r>
    </w:p>
    <w:p>
      <w:pPr>
        <w:widowControl/>
        <w:numPr>
          <w:ilvl w:val="0"/>
          <w:numId w:val="0"/>
        </w:numPr>
        <w:spacing w:line="578" w:lineRule="atLeast"/>
        <w:ind w:firstLine="640" w:firstLineChars="200"/>
        <w:rPr>
          <w:rFonts w:hint="eastAsia" w:hAnsi="宋体" w:cs="宋体"/>
          <w:kern w:val="0"/>
          <w:szCs w:val="32"/>
        </w:rPr>
      </w:pPr>
      <w:r>
        <w:rPr>
          <w:rFonts w:hint="eastAsia" w:hAnsi="宋体" w:cs="宋体"/>
          <w:kern w:val="0"/>
          <w:szCs w:val="32"/>
          <w:lang w:eastAsia="zh-CN"/>
        </w:rPr>
        <w:t>（</w:t>
      </w:r>
      <w:r>
        <w:rPr>
          <w:rFonts w:hint="eastAsia" w:hAnsi="宋体" w:cs="宋体"/>
          <w:kern w:val="0"/>
          <w:szCs w:val="32"/>
          <w:lang w:val="en-US" w:eastAsia="zh-CN"/>
        </w:rPr>
        <w:t>三）</w:t>
      </w:r>
      <w:r>
        <w:rPr>
          <w:rFonts w:hint="eastAsia" w:hAnsi="宋体" w:cs="宋体"/>
          <w:kern w:val="0"/>
          <w:szCs w:val="32"/>
        </w:rPr>
        <w:t>项目资金（主要是指财政资金）实际使用情况</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rPr>
        <w:t>截至2022年12月31日，累计已使用资金</w:t>
      </w:r>
      <w:r>
        <w:rPr>
          <w:rFonts w:hint="eastAsia" w:ascii="Times New Roman" w:hAnsi="Times New Roman" w:cs="Calibri"/>
          <w:szCs w:val="32"/>
          <w:lang w:val="en-US" w:eastAsia="zh-CN"/>
        </w:rPr>
        <w:t>495.33</w:t>
      </w:r>
      <w:r>
        <w:rPr>
          <w:rFonts w:hint="eastAsia" w:ascii="Times New Roman" w:hAnsi="Times New Roman" w:cs="Calibri"/>
          <w:szCs w:val="32"/>
        </w:rPr>
        <w:t>万元，项目资金支付率</w:t>
      </w:r>
      <w:r>
        <w:rPr>
          <w:rFonts w:hint="eastAsia" w:ascii="Times New Roman" w:hAnsi="Times New Roman" w:cs="Calibri"/>
          <w:szCs w:val="32"/>
          <w:lang w:val="en-US" w:eastAsia="zh-CN"/>
        </w:rPr>
        <w:t>95.97</w:t>
      </w:r>
      <w:r>
        <w:rPr>
          <w:rFonts w:hint="eastAsia" w:ascii="Times New Roman" w:hAnsi="Times New Roman" w:cs="Calibri"/>
          <w:szCs w:val="32"/>
        </w:rPr>
        <w:t>%。项目资金均按预算和规定用途使用，未出现虚列项目支出情况，不存在截留、挤占、挪用项目资金情况，也不存在超标准开支情况。</w:t>
      </w:r>
    </w:p>
    <w:p>
      <w:pPr>
        <w:widowControl/>
        <w:spacing w:line="578" w:lineRule="atLeast"/>
        <w:ind w:firstLine="640"/>
        <w:rPr>
          <w:rFonts w:hint="eastAsia" w:ascii="仿宋_GB2312" w:hAnsi="宋体" w:eastAsia="仿宋_GB2312" w:cs="宋体"/>
          <w:b/>
          <w:bCs/>
          <w:color w:val="000000"/>
          <w:kern w:val="0"/>
          <w:szCs w:val="32"/>
        </w:rPr>
      </w:pPr>
      <w:r>
        <w:rPr>
          <w:rFonts w:hint="eastAsia" w:ascii="仿宋_GB2312" w:hAnsi="宋体" w:eastAsia="仿宋_GB2312" w:cs="宋体"/>
          <w:b/>
          <w:bCs/>
          <w:color w:val="000000"/>
          <w:kern w:val="0"/>
          <w:szCs w:val="32"/>
        </w:rPr>
        <w:t>三、项目组织实施情况</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（一）项目组织情况（包括项目招投标情况、调整情况、完成验收等）</w:t>
      </w:r>
    </w:p>
    <w:p>
      <w:pPr>
        <w:spacing w:line="620" w:lineRule="exact"/>
        <w:ind w:firstLine="640" w:firstLineChars="200"/>
        <w:rPr>
          <w:rFonts w:ascii="Times New Roman" w:hAnsi="Times New Roman" w:cs="Calibri"/>
          <w:szCs w:val="32"/>
        </w:rPr>
      </w:pPr>
      <w:r>
        <w:rPr>
          <w:rFonts w:hint="eastAsia" w:ascii="Times New Roman" w:hAnsi="Times New Roman" w:cs="Calibri"/>
          <w:szCs w:val="32"/>
        </w:rPr>
        <w:t>海南省“云上妇幼”远程医疗平台</w:t>
      </w:r>
      <w:r>
        <w:rPr>
          <w:rFonts w:hint="eastAsia" w:ascii="Times New Roman" w:hAnsi="Times New Roman" w:cs="Calibri"/>
          <w:szCs w:val="32"/>
          <w:lang w:val="en-US" w:eastAsia="zh-CN"/>
        </w:rPr>
        <w:t>项目</w:t>
      </w:r>
      <w:r>
        <w:rPr>
          <w:rFonts w:hint="eastAsia" w:ascii="Times New Roman" w:hAnsi="Times New Roman" w:cs="Calibri"/>
          <w:szCs w:val="32"/>
        </w:rPr>
        <w:t>2022年5月</w:t>
      </w:r>
      <w:r>
        <w:rPr>
          <w:rFonts w:hint="eastAsia" w:ascii="Times New Roman" w:hAnsi="Times New Roman" w:cs="Calibri"/>
          <w:szCs w:val="32"/>
          <w:lang w:val="en-US" w:eastAsia="zh-CN"/>
        </w:rPr>
        <w:t>通过公开招标采购方式确定</w:t>
      </w:r>
      <w:r>
        <w:rPr>
          <w:rFonts w:hint="eastAsia" w:ascii="Times New Roman" w:hAnsi="Times New Roman" w:cs="Calibri"/>
          <w:szCs w:val="32"/>
        </w:rPr>
        <w:t>中标单位。2022年6月项目正式开工。2022年9月项目顺利通过初步验收。</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lang w:eastAsia="zh-CN"/>
        </w:rPr>
        <w:t>（</w:t>
      </w:r>
      <w:r>
        <w:rPr>
          <w:rFonts w:hint="eastAsia" w:hAnsi="宋体" w:cs="宋体"/>
          <w:color w:val="000000"/>
          <w:kern w:val="0"/>
          <w:szCs w:val="32"/>
          <w:lang w:val="en-US" w:eastAsia="zh-CN"/>
        </w:rPr>
        <w:t>二）</w:t>
      </w:r>
      <w:r>
        <w:rPr>
          <w:rFonts w:hint="eastAsia" w:hAnsi="宋体" w:cs="宋体"/>
          <w:color w:val="000000"/>
          <w:kern w:val="0"/>
          <w:szCs w:val="32"/>
        </w:rPr>
        <w:t>项目管理情况（包括项目管理制度建设、日常检查监督等情况）</w:t>
      </w:r>
    </w:p>
    <w:p>
      <w:pPr>
        <w:spacing w:line="620" w:lineRule="exact"/>
        <w:ind w:firstLine="640" w:firstLineChars="200"/>
        <w:rPr>
          <w:rFonts w:ascii="Times New Roman" w:hAnsi="Times New Roman" w:cs="Calibri"/>
          <w:szCs w:val="32"/>
        </w:rPr>
      </w:pPr>
      <w:r>
        <w:rPr>
          <w:rFonts w:hint="eastAsia" w:ascii="Times New Roman" w:hAnsi="Times New Roman" w:cs="Calibri"/>
          <w:szCs w:val="32"/>
        </w:rPr>
        <w:t>项目严格遵循《施工组织方案》和《工程进度计划表》所规定的管理制度。在项目试运行期间，每日都有专门的项目管理人员对项目所建设内容进行检查和维护，保证项目建设质量。</w:t>
      </w:r>
    </w:p>
    <w:p>
      <w:pPr>
        <w:widowControl/>
        <w:spacing w:line="578" w:lineRule="atLeast"/>
        <w:ind w:firstLine="640"/>
        <w:rPr>
          <w:rFonts w:hint="eastAsia" w:ascii="仿宋_GB2312" w:hAnsi="宋体" w:eastAsia="仿宋_GB2312" w:cs="宋体"/>
          <w:b/>
          <w:bCs/>
          <w:color w:val="000000"/>
          <w:kern w:val="0"/>
          <w:szCs w:val="32"/>
        </w:rPr>
      </w:pPr>
      <w:r>
        <w:rPr>
          <w:rFonts w:hint="eastAsia" w:ascii="仿宋_GB2312" w:hAnsi="宋体" w:eastAsia="仿宋_GB2312" w:cs="宋体"/>
          <w:b/>
          <w:bCs/>
          <w:color w:val="000000"/>
          <w:kern w:val="0"/>
          <w:szCs w:val="32"/>
        </w:rPr>
        <w:t>四、项目绩效情况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（一）项目绩效目标完成情况。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1. 项目的经济性分析</w:t>
      </w:r>
    </w:p>
    <w:p>
      <w:pPr>
        <w:widowControl/>
        <w:spacing w:line="578" w:lineRule="atLeast"/>
        <w:ind w:firstLine="640"/>
        <w:rPr>
          <w:rFonts w:hAnsi="宋体" w:cs="宋体"/>
          <w:kern w:val="0"/>
          <w:szCs w:val="32"/>
        </w:rPr>
      </w:pPr>
      <w:r>
        <w:rPr>
          <w:rFonts w:hint="eastAsia" w:hAnsi="宋体" w:cs="宋体"/>
          <w:kern w:val="0"/>
          <w:szCs w:val="32"/>
        </w:rPr>
        <w:t>（1）项目成本（预算）控制情况</w:t>
      </w:r>
    </w:p>
    <w:p>
      <w:pPr>
        <w:spacing w:line="620" w:lineRule="exact"/>
        <w:ind w:firstLine="640" w:firstLineChars="200"/>
        <w:rPr>
          <w:rFonts w:ascii="Times New Roman" w:hAnsi="Times New Roman" w:cs="Calibri"/>
          <w:szCs w:val="32"/>
        </w:rPr>
      </w:pPr>
      <w:r>
        <w:rPr>
          <w:rFonts w:hint="eastAsia" w:ascii="Times New Roman" w:hAnsi="Times New Roman" w:cs="Calibri"/>
          <w:szCs w:val="32"/>
        </w:rPr>
        <w:t>项目严格按照文件规定资金用途执行，</w:t>
      </w:r>
      <w:r>
        <w:rPr>
          <w:rFonts w:hint="eastAsia" w:ascii="Times New Roman" w:hAnsi="Times New Roman" w:cs="Calibri"/>
          <w:szCs w:val="32"/>
          <w:lang w:eastAsia="zh-CN"/>
        </w:rPr>
        <w:t>严格控制项目成本，</w:t>
      </w:r>
      <w:r>
        <w:rPr>
          <w:rFonts w:hint="eastAsia" w:ascii="Times New Roman" w:hAnsi="Times New Roman" w:cs="Calibri"/>
          <w:szCs w:val="32"/>
        </w:rPr>
        <w:t>发挥资金用途效益最大化</w:t>
      </w:r>
      <w:r>
        <w:rPr>
          <w:rFonts w:hint="eastAsia" w:ascii="Times New Roman" w:hAnsi="Times New Roman" w:cs="Calibri"/>
          <w:szCs w:val="32"/>
          <w:lang w:eastAsia="zh-CN"/>
        </w:rPr>
        <w:t>，未出现超预算现象</w:t>
      </w:r>
      <w:r>
        <w:rPr>
          <w:rFonts w:hint="eastAsia" w:ascii="Times New Roman" w:hAnsi="Times New Roman" w:cs="Calibri"/>
          <w:szCs w:val="32"/>
        </w:rPr>
        <w:t>。</w:t>
      </w:r>
    </w:p>
    <w:p>
      <w:pPr>
        <w:widowControl/>
        <w:numPr>
          <w:ilvl w:val="0"/>
          <w:numId w:val="1"/>
        </w:numPr>
        <w:spacing w:line="578" w:lineRule="atLeast"/>
        <w:ind w:firstLine="640"/>
      </w:pPr>
      <w:r>
        <w:rPr>
          <w:rFonts w:hint="eastAsia" w:hAnsi="宋体" w:cs="宋体"/>
          <w:kern w:val="0"/>
          <w:szCs w:val="32"/>
        </w:rPr>
        <w:t>项目成本（预算）节约情况</w:t>
      </w:r>
    </w:p>
    <w:p>
      <w:pPr>
        <w:spacing w:line="620" w:lineRule="exact"/>
        <w:ind w:firstLine="640" w:firstLineChars="200"/>
        <w:rPr>
          <w:rFonts w:ascii="Times New Roman" w:hAnsi="Times New Roman" w:cs="Calibri"/>
          <w:szCs w:val="32"/>
        </w:rPr>
      </w:pPr>
      <w:r>
        <w:rPr>
          <w:rFonts w:hint="eastAsia" w:ascii="Times New Roman" w:hAnsi="Times New Roman" w:cs="Calibri"/>
          <w:szCs w:val="32"/>
        </w:rPr>
        <w:t>该项目成本</w:t>
      </w:r>
      <w:r>
        <w:rPr>
          <w:rFonts w:hint="eastAsia" w:ascii="Times New Roman" w:hAnsi="Times New Roman" w:cs="Calibri"/>
          <w:szCs w:val="32"/>
          <w:lang w:val="en-US" w:eastAsia="zh-CN"/>
        </w:rPr>
        <w:t>控制在预算内</w:t>
      </w:r>
      <w:r>
        <w:rPr>
          <w:rFonts w:hint="eastAsia" w:ascii="Times New Roman" w:hAnsi="Times New Roman" w:cs="Calibri"/>
          <w:szCs w:val="32"/>
        </w:rPr>
        <w:t>。</w:t>
      </w:r>
    </w:p>
    <w:p>
      <w:pPr>
        <w:widowControl/>
        <w:spacing w:line="578" w:lineRule="atLeast"/>
        <w:ind w:firstLine="640"/>
        <w:rPr>
          <w:rFonts w:hAnsi="宋体" w:cs="宋体"/>
          <w:color w:val="000000"/>
          <w:kern w:val="0"/>
          <w:szCs w:val="32"/>
        </w:rPr>
      </w:pPr>
      <w:r>
        <w:rPr>
          <w:rFonts w:hint="eastAsia" w:hAnsi="宋体" w:cs="宋体"/>
          <w:color w:val="000000"/>
          <w:kern w:val="0"/>
          <w:szCs w:val="32"/>
        </w:rPr>
        <w:t>2. 项目的效率性分析</w:t>
      </w:r>
    </w:p>
    <w:p>
      <w:pPr>
        <w:widowControl/>
        <w:spacing w:line="578" w:lineRule="atLeast"/>
        <w:ind w:firstLine="640"/>
        <w:rPr>
          <w:rFonts w:hAnsi="宋体" w:cs="宋体"/>
          <w:kern w:val="0"/>
          <w:szCs w:val="32"/>
        </w:rPr>
      </w:pPr>
      <w:r>
        <w:rPr>
          <w:rFonts w:hint="eastAsia" w:hAnsi="宋体" w:cs="宋体"/>
          <w:kern w:val="0"/>
          <w:szCs w:val="32"/>
        </w:rPr>
        <w:t>（1）项目的实施进度</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rPr>
        <w:t>在海南省“云上妇幼”远程医疗平台建设的实施过程中完全遵照项目招投标文件及合同要求提供系统开发、应用集成、 数据治理、硬件采购、系统部署、系统培训的服务，完成全部建设内容，履行双方约定各项职责及义务，完全遵照第三方监理公司的管理要求执行与实施。项目自2022年6月21日开工以来，按照既定的实施进度计划稳步推进，于2022年9月14日通过初步验收后，在2022年9月16日进入试运行阶段，经过3个月以上的试运行，按照项目初验会上专家意见进行项目整改，系统通过等保测评、密码测评，系统运行稳定，设备工作正常，各项功能满足合同规定。由于试运行的时长超过合同时长，承建单位申请了项目延期并由建设单位批准通过。按照既定计划，在</w:t>
      </w:r>
      <w:r>
        <w:rPr>
          <w:rFonts w:hint="eastAsia" w:ascii="Times New Roman" w:hAnsi="Times New Roman" w:cs="Calibri"/>
          <w:szCs w:val="32"/>
          <w:lang w:val="en-US" w:eastAsia="zh-CN"/>
        </w:rPr>
        <w:t>2023年</w:t>
      </w:r>
      <w:r>
        <w:rPr>
          <w:rFonts w:hint="eastAsia" w:ascii="Times New Roman" w:hAnsi="Times New Roman" w:cs="Calibri"/>
          <w:szCs w:val="32"/>
        </w:rPr>
        <w:t>3月底启动项目终验。</w:t>
      </w:r>
    </w:p>
    <w:p>
      <w:pPr>
        <w:widowControl/>
        <w:spacing w:line="578" w:lineRule="atLeast"/>
        <w:ind w:firstLine="640"/>
      </w:pPr>
      <w:r>
        <w:rPr>
          <w:rFonts w:hint="eastAsia" w:ascii="仿宋" w:hAnsi="仿宋" w:eastAsia="仿宋" w:cs="宋体"/>
          <w:color w:val="000000"/>
          <w:kern w:val="0"/>
          <w:szCs w:val="32"/>
          <w:lang w:val="en-US" w:eastAsia="zh-CN"/>
        </w:rPr>
        <w:t>卫生健康人才培养</w:t>
      </w:r>
      <w:r>
        <w:rPr>
          <w:rFonts w:hint="eastAsia" w:ascii="仿宋" w:hAnsi="仿宋" w:eastAsia="仿宋" w:cs="宋体"/>
          <w:color w:val="000000"/>
          <w:kern w:val="0"/>
          <w:szCs w:val="32"/>
        </w:rPr>
        <w:t>项目严格按照国家卫生健康委要求组织实施，经科学谋划、积极筹备、认真落实，已顺利按时完成计划</w:t>
      </w:r>
      <w:r>
        <w:rPr>
          <w:rFonts w:ascii="仿宋" w:hAnsi="仿宋" w:eastAsia="仿宋" w:cs="宋体"/>
          <w:color w:val="000000"/>
          <w:kern w:val="0"/>
          <w:szCs w:val="32"/>
        </w:rPr>
        <w:t>培训任务</w:t>
      </w:r>
      <w:r>
        <w:rPr>
          <w:rFonts w:hint="eastAsia" w:ascii="仿宋" w:hAnsi="仿宋" w:eastAsia="仿宋" w:cs="宋体"/>
          <w:color w:val="000000"/>
          <w:kern w:val="0"/>
          <w:szCs w:val="32"/>
          <w:lang w:eastAsia="zh-CN"/>
        </w:rPr>
        <w:t>。</w:t>
      </w:r>
    </w:p>
    <w:p>
      <w:pPr>
        <w:widowControl/>
        <w:numPr>
          <w:ilvl w:val="0"/>
          <w:numId w:val="1"/>
        </w:numPr>
        <w:spacing w:line="578" w:lineRule="atLeast"/>
        <w:ind w:firstLine="640"/>
        <w:rPr>
          <w:rFonts w:hAnsi="宋体" w:cs="宋体"/>
          <w:kern w:val="0"/>
          <w:szCs w:val="32"/>
        </w:rPr>
      </w:pPr>
      <w:r>
        <w:rPr>
          <w:rFonts w:hint="eastAsia" w:hAnsi="宋体" w:cs="宋体"/>
          <w:kern w:val="0"/>
          <w:szCs w:val="32"/>
        </w:rPr>
        <w:t>项目完成质量</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rPr>
        <w:t>项目建设成果经三方共同核对，符合初设方案、合同、需求规格说明书约定的建设内容，系统功能符合建设要求</w:t>
      </w:r>
      <w:r>
        <w:rPr>
          <w:rFonts w:hint="eastAsia" w:ascii="Times New Roman" w:hAnsi="Times New Roman" w:cs="Calibri"/>
          <w:szCs w:val="32"/>
          <w:lang w:eastAsia="zh-CN"/>
        </w:rPr>
        <w:t>，</w:t>
      </w:r>
      <w:r>
        <w:rPr>
          <w:rFonts w:hint="eastAsia" w:ascii="Times New Roman" w:hAnsi="Times New Roman" w:cs="Calibri"/>
          <w:szCs w:val="32"/>
        </w:rPr>
        <w:t>项目监理</w:t>
      </w:r>
      <w:r>
        <w:rPr>
          <w:rFonts w:hint="eastAsia" w:ascii="Times New Roman" w:hAnsi="Times New Roman" w:cs="Calibri"/>
          <w:szCs w:val="32"/>
          <w:lang w:val="en-US" w:eastAsia="zh-CN"/>
        </w:rPr>
        <w:t>单位出具</w:t>
      </w:r>
      <w:r>
        <w:rPr>
          <w:rFonts w:hint="eastAsia" w:ascii="Times New Roman" w:hAnsi="Times New Roman" w:cs="Calibri"/>
          <w:szCs w:val="32"/>
        </w:rPr>
        <w:t>项目竣工验收</w:t>
      </w:r>
      <w:r>
        <w:rPr>
          <w:rFonts w:hint="eastAsia" w:ascii="Times New Roman" w:hAnsi="Times New Roman" w:cs="Calibri"/>
          <w:szCs w:val="32"/>
          <w:lang w:val="en-US" w:eastAsia="zh-CN"/>
        </w:rPr>
        <w:t>合格</w:t>
      </w:r>
      <w:r>
        <w:rPr>
          <w:rFonts w:hint="eastAsia" w:ascii="Times New Roman" w:hAnsi="Times New Roman" w:cs="Calibri"/>
          <w:szCs w:val="32"/>
        </w:rPr>
        <w:t>的监理报告。</w:t>
      </w:r>
    </w:p>
    <w:p>
      <w:pPr>
        <w:widowControl/>
        <w:spacing w:line="578" w:lineRule="atLeast"/>
        <w:ind w:firstLine="660"/>
      </w:pPr>
      <w:r>
        <w:rPr>
          <w:rFonts w:hint="eastAsia" w:ascii="仿宋" w:hAnsi="仿宋" w:eastAsia="仿宋" w:cs="宋体"/>
          <w:color w:val="000000"/>
          <w:kern w:val="0"/>
          <w:szCs w:val="32"/>
        </w:rPr>
        <w:t>县级儿童保健人员培训、儿科医师转岗培训、出生缺陷防治人才培训</w:t>
      </w:r>
      <w:r>
        <w:rPr>
          <w:rFonts w:hint="eastAsia" w:ascii="仿宋" w:hAnsi="仿宋" w:eastAsia="仿宋" w:cs="宋体"/>
          <w:kern w:val="0"/>
          <w:szCs w:val="32"/>
        </w:rPr>
        <w:t>已完成既定任务，</w:t>
      </w:r>
      <w:r>
        <w:rPr>
          <w:rFonts w:hint="eastAsia" w:ascii="仿宋" w:hAnsi="仿宋" w:eastAsia="仿宋" w:cs="宋体"/>
          <w:color w:val="000000"/>
          <w:kern w:val="0"/>
          <w:szCs w:val="32"/>
        </w:rPr>
        <w:t>取得了显著成效。</w:t>
      </w:r>
    </w:p>
    <w:p>
      <w:pPr>
        <w:widowControl/>
        <w:spacing w:line="578" w:lineRule="atLeast"/>
        <w:ind w:firstLine="640"/>
        <w:rPr>
          <w:rFonts w:hAnsi="宋体" w:cs="宋体"/>
          <w:color w:val="000000"/>
          <w:kern w:val="0"/>
          <w:szCs w:val="32"/>
        </w:rPr>
      </w:pPr>
      <w:r>
        <w:rPr>
          <w:rFonts w:hint="eastAsia" w:hAnsi="宋体" w:cs="宋体"/>
          <w:color w:val="000000"/>
          <w:kern w:val="0"/>
          <w:szCs w:val="32"/>
        </w:rPr>
        <w:t>3. 项目的</w:t>
      </w:r>
      <w:r>
        <w:rPr>
          <w:rFonts w:hint="eastAsia" w:hAnsi="宋体" w:cs="宋体"/>
          <w:kern w:val="0"/>
          <w:szCs w:val="32"/>
        </w:rPr>
        <w:t>效益性分析</w:t>
      </w:r>
    </w:p>
    <w:p>
      <w:pPr>
        <w:widowControl/>
        <w:spacing w:line="578" w:lineRule="atLeast"/>
        <w:ind w:firstLine="640"/>
        <w:rPr>
          <w:rFonts w:hAnsi="宋体" w:cs="宋体"/>
          <w:kern w:val="0"/>
          <w:szCs w:val="32"/>
        </w:rPr>
      </w:pPr>
      <w:r>
        <w:rPr>
          <w:rFonts w:hint="eastAsia" w:hAnsi="宋体" w:cs="宋体"/>
          <w:kern w:val="0"/>
          <w:szCs w:val="32"/>
        </w:rPr>
        <w:t>（1）项目预期目标完成程度</w:t>
      </w:r>
    </w:p>
    <w:p>
      <w:pPr>
        <w:pStyle w:val="2"/>
        <w:ind w:firstLine="640" w:firstLineChars="200"/>
        <w:rPr>
          <w:rFonts w:hint="eastAsia" w:ascii="Times New Roman" w:hAnsi="Times New Roman" w:eastAsia="仿宋_GB2312" w:cs="Calibri"/>
          <w:color w:val="auto"/>
          <w:kern w:val="2"/>
          <w:sz w:val="32"/>
          <w:szCs w:val="32"/>
          <w:lang w:val="en-US" w:eastAsia="zh-CN" w:bidi="ar-SA"/>
        </w:rPr>
      </w:pPr>
      <w:r>
        <w:rPr>
          <w:rFonts w:hint="eastAsia" w:ascii="Times New Roman" w:hAnsi="Times New Roman" w:eastAsia="仿宋_GB2312" w:cs="Calibri"/>
          <w:color w:val="auto"/>
          <w:kern w:val="2"/>
          <w:sz w:val="32"/>
          <w:szCs w:val="32"/>
          <w:lang w:val="en-US" w:eastAsia="zh-CN" w:bidi="ar-SA"/>
        </w:rPr>
        <w:t>海南省“云上妇幼”远程医疗平台项目完成终验，项目验收合格率100%；</w:t>
      </w:r>
      <w:r>
        <w:rPr>
          <w:rFonts w:hint="eastAsia" w:ascii="Times New Roman" w:cs="Calibri"/>
          <w:color w:val="auto"/>
          <w:kern w:val="2"/>
          <w:sz w:val="32"/>
          <w:szCs w:val="32"/>
          <w:lang w:val="en-US" w:eastAsia="zh-CN" w:bidi="ar-SA"/>
        </w:rPr>
        <w:t>卫生健康人才培养项目</w:t>
      </w:r>
      <w:r>
        <w:rPr>
          <w:rFonts w:hint="eastAsia" w:ascii="Times New Roman" w:hAnsi="Times New Roman" w:eastAsia="仿宋_GB2312" w:cs="Calibri"/>
          <w:color w:val="auto"/>
          <w:kern w:val="2"/>
          <w:sz w:val="32"/>
          <w:szCs w:val="32"/>
          <w:lang w:val="en-US" w:eastAsia="zh-CN" w:bidi="ar-SA"/>
        </w:rPr>
        <w:t>完成儿科医师转岗培训10人次，完成出生缺陷防治人才培训项目30人次和完成中西部地区县级儿童保健人员项目5人次。</w:t>
      </w:r>
    </w:p>
    <w:p>
      <w:pPr>
        <w:widowControl/>
        <w:numPr>
          <w:ilvl w:val="0"/>
          <w:numId w:val="2"/>
        </w:numPr>
        <w:spacing w:line="578" w:lineRule="atLeast"/>
        <w:ind w:firstLine="640"/>
        <w:rPr>
          <w:rFonts w:hAnsi="宋体" w:cs="宋体"/>
          <w:kern w:val="0"/>
          <w:szCs w:val="32"/>
        </w:rPr>
      </w:pPr>
      <w:r>
        <w:rPr>
          <w:rFonts w:hint="eastAsia" w:hAnsi="宋体" w:cs="宋体"/>
          <w:kern w:val="0"/>
          <w:szCs w:val="32"/>
        </w:rPr>
        <w:t>项目实施对经济和社会的影响</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rPr>
        <w:t>通过本项目建设的“云上妇幼”远程医疗平台，</w:t>
      </w:r>
      <w:r>
        <w:rPr>
          <w:rFonts w:hint="eastAsia" w:ascii="Times New Roman" w:hAnsi="Times New Roman" w:cs="Calibri"/>
          <w:szCs w:val="32"/>
          <w:lang w:val="en-US" w:eastAsia="zh-CN"/>
        </w:rPr>
        <w:t>医护人员</w:t>
      </w:r>
      <w:r>
        <w:rPr>
          <w:rFonts w:hint="eastAsia" w:ascii="Times New Roman" w:hAnsi="Times New Roman" w:cs="Calibri"/>
          <w:szCs w:val="32"/>
        </w:rPr>
        <w:t>可利用平台为居民提供远程会诊服务，为患者提供准确诊断，减少疾病误判率，节省医护人员的工作时间，提升医护人员工作效率，节省医院运营成本，减少医疗资源浪费。结合医院现有信息化基础，加快医疗健康与互联网等新兴技术的深度融合，优化资源配置，创新服务模式，提高服务效率，降低服务成本，更好地满足人民群众日益增长的医疗卫生健康需求，以改善人民群众就医体验，增强就医服务获得感，提高医疗质量与效率，提升医院管理能力</w:t>
      </w:r>
      <w:r>
        <w:rPr>
          <w:rFonts w:hint="eastAsia" w:ascii="Times New Roman" w:hAnsi="Times New Roman" w:cs="Calibri"/>
          <w:szCs w:val="32"/>
          <w:lang w:eastAsia="zh-CN"/>
        </w:rPr>
        <w:t>，</w:t>
      </w:r>
      <w:r>
        <w:rPr>
          <w:rFonts w:hint="eastAsia" w:ascii="Times New Roman" w:hAnsi="Times New Roman" w:cs="Calibri"/>
          <w:szCs w:val="32"/>
        </w:rPr>
        <w:t>极大地提升省级和地市级的危重孕产妇和儿童救治中心的沟通、交流工作，具有明显的社会效益。</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lang w:val="en-US" w:eastAsia="zh-CN"/>
        </w:rPr>
        <w:t>卫生健康人才培养项目的</w:t>
      </w:r>
      <w:r>
        <w:rPr>
          <w:rFonts w:hint="eastAsia" w:ascii="Times New Roman" w:hAnsi="Times New Roman" w:cs="Calibri"/>
          <w:szCs w:val="32"/>
        </w:rPr>
        <w:t>实施有利于基层卫生健康人才培养工作，为推动基层卫生健康人才培养、队伍建设发挥了积极作用</w:t>
      </w:r>
      <w:r>
        <w:rPr>
          <w:rFonts w:hint="eastAsia" w:ascii="Times New Roman" w:hAnsi="Times New Roman" w:cs="Calibri"/>
          <w:szCs w:val="32"/>
          <w:lang w:eastAsia="zh-CN"/>
        </w:rPr>
        <w:t>，</w:t>
      </w:r>
      <w:r>
        <w:rPr>
          <w:rFonts w:hint="eastAsia" w:ascii="Times New Roman" w:hAnsi="Times New Roman" w:cs="Calibri"/>
          <w:szCs w:val="32"/>
        </w:rPr>
        <w:t>为健康中国、健康海南、保障海南人民群众健康事业做出了积极贡献。</w:t>
      </w:r>
    </w:p>
    <w:p>
      <w:pPr>
        <w:widowControl/>
        <w:numPr>
          <w:ilvl w:val="0"/>
          <w:numId w:val="3"/>
        </w:numPr>
        <w:spacing w:line="578" w:lineRule="atLeast"/>
        <w:ind w:firstLine="640"/>
        <w:rPr>
          <w:rFonts w:hAnsi="宋体" w:cs="宋体"/>
          <w:color w:val="000000"/>
          <w:kern w:val="0"/>
          <w:szCs w:val="32"/>
        </w:rPr>
      </w:pPr>
      <w:r>
        <w:rPr>
          <w:rFonts w:hint="eastAsia" w:hAnsi="宋体" w:cs="宋体"/>
          <w:color w:val="000000"/>
          <w:kern w:val="0"/>
          <w:szCs w:val="32"/>
        </w:rPr>
        <w:t>项目的可持续性分析</w:t>
      </w:r>
    </w:p>
    <w:p>
      <w:pPr>
        <w:spacing w:line="620" w:lineRule="exact"/>
        <w:ind w:firstLine="640" w:firstLineChars="200"/>
        <w:rPr>
          <w:rFonts w:hint="eastAsia" w:ascii="Times New Roman" w:hAnsi="Times New Roman" w:cs="Calibri"/>
          <w:szCs w:val="32"/>
        </w:rPr>
      </w:pPr>
      <w:r>
        <w:rPr>
          <w:rFonts w:hint="eastAsia" w:ascii="Times New Roman" w:hAnsi="Times New Roman" w:cs="Calibri"/>
          <w:szCs w:val="32"/>
        </w:rPr>
        <w:t>海南省“云上妇幼”远程医疗平台建设项目</w:t>
      </w:r>
      <w:r>
        <w:rPr>
          <w:rFonts w:hint="eastAsia" w:ascii="Times New Roman" w:hAnsi="Times New Roman" w:cs="Calibri"/>
          <w:szCs w:val="32"/>
          <w:lang w:val="en-US" w:eastAsia="zh-CN"/>
        </w:rPr>
        <w:t>于</w:t>
      </w:r>
      <w:r>
        <w:rPr>
          <w:rFonts w:hint="eastAsia" w:ascii="Times New Roman" w:hAnsi="Times New Roman" w:cs="Calibri"/>
          <w:szCs w:val="32"/>
        </w:rPr>
        <w:t>2022年9月16日-2023年3月17日开展试运行工作，预计将于</w:t>
      </w:r>
      <w:r>
        <w:rPr>
          <w:rFonts w:hint="eastAsia" w:ascii="Times New Roman" w:hAnsi="Times New Roman" w:cs="Calibri"/>
          <w:szCs w:val="32"/>
          <w:lang w:val="en-US" w:eastAsia="zh-CN"/>
        </w:rPr>
        <w:t>2023年</w:t>
      </w:r>
      <w:r>
        <w:rPr>
          <w:rFonts w:ascii="Times New Roman" w:hAnsi="Times New Roman" w:cs="Calibri"/>
          <w:szCs w:val="32"/>
        </w:rPr>
        <w:t>4</w:t>
      </w:r>
      <w:r>
        <w:rPr>
          <w:rFonts w:hint="eastAsia" w:ascii="Times New Roman" w:hAnsi="Times New Roman" w:cs="Calibri"/>
          <w:szCs w:val="32"/>
        </w:rPr>
        <w:t>月中旬完成竣工验收，系统正式交付使用。</w:t>
      </w:r>
    </w:p>
    <w:p>
      <w:pPr>
        <w:widowControl/>
        <w:spacing w:line="578" w:lineRule="atLeast"/>
        <w:ind w:firstLine="640"/>
        <w:rPr>
          <w:rFonts w:hint="eastAsia" w:ascii="仿宋" w:hAnsi="仿宋" w:eastAsia="仿宋" w:cs="宋体"/>
          <w:color w:val="000000"/>
          <w:kern w:val="0"/>
          <w:szCs w:val="32"/>
        </w:rPr>
      </w:pPr>
      <w:r>
        <w:rPr>
          <w:rFonts w:hint="eastAsia" w:ascii="仿宋" w:hAnsi="仿宋" w:eastAsia="仿宋" w:cs="宋体"/>
          <w:color w:val="000000"/>
          <w:kern w:val="0"/>
          <w:szCs w:val="32"/>
        </w:rPr>
        <w:t>我单位将制定鼓励与基层卫生健康人才培训专项制度，安排专项资金，坚决保障基层卫生健康人才培训完成项目任务后，创造良好的工作平台环境，进一步专职开展工作。</w:t>
      </w:r>
    </w:p>
    <w:p>
      <w:pPr>
        <w:widowControl/>
        <w:numPr>
          <w:ilvl w:val="0"/>
          <w:numId w:val="0"/>
        </w:numPr>
        <w:spacing w:line="578" w:lineRule="atLeast"/>
        <w:ind w:firstLine="643" w:firstLineChars="200"/>
        <w:rPr>
          <w:rFonts w:hAnsi="宋体" w:cs="宋体"/>
          <w:b/>
          <w:bCs/>
          <w:kern w:val="0"/>
          <w:szCs w:val="32"/>
        </w:rPr>
      </w:pPr>
      <w:r>
        <w:rPr>
          <w:rFonts w:hint="eastAsia" w:hAnsi="宋体" w:cs="宋体"/>
          <w:b/>
          <w:bCs/>
          <w:kern w:val="0"/>
          <w:szCs w:val="32"/>
          <w:lang w:val="en-US" w:eastAsia="zh-CN"/>
        </w:rPr>
        <w:t>五、</w:t>
      </w:r>
      <w:r>
        <w:rPr>
          <w:rFonts w:hint="eastAsia" w:hAnsi="宋体" w:cs="宋体"/>
          <w:b/>
          <w:bCs/>
          <w:kern w:val="0"/>
          <w:szCs w:val="32"/>
        </w:rPr>
        <w:t>主要经验及做法、存在的问题和建议</w:t>
      </w:r>
    </w:p>
    <w:p>
      <w:pPr>
        <w:spacing w:line="620" w:lineRule="exact"/>
        <w:ind w:firstLine="640" w:firstLineChars="200"/>
        <w:rPr>
          <w:rFonts w:ascii="Times New Roman" w:hAnsi="Times New Roman" w:cs="Calibri"/>
          <w:szCs w:val="32"/>
        </w:rPr>
      </w:pPr>
      <w:bookmarkStart w:id="0" w:name="_GoBack"/>
      <w:bookmarkEnd w:id="0"/>
      <w:r>
        <w:rPr>
          <w:rFonts w:hint="eastAsia" w:ascii="Times New Roman" w:hAnsi="Times New Roman" w:cs="Calibri"/>
          <w:szCs w:val="32"/>
        </w:rPr>
        <w:t xml:space="preserve">举全局之力，通过视频会议等方式推进项目建设。坚持例会制度，定期召开三方人员参加的例会，听取承建方和监理单位汇报项目实施情况及进度，解决项目实施中需要协调的事项；坚持周报制度，查看监理单位提供的监理周报，周报呈报局领导掌握；发挥项目监理 “三控”、“两管”、“一协调”职责作用。先后召开多次征求意见会，在各方支持下确保项目建设顺利开展。 </w:t>
      </w:r>
    </w:p>
    <w:p>
      <w:pPr>
        <w:pStyle w:val="2"/>
        <w:rPr>
          <w:rFonts w:ascii="Times New Roman" w:cs="Calibri"/>
          <w:sz w:val="32"/>
          <w:szCs w:val="32"/>
        </w:rPr>
      </w:pPr>
    </w:p>
    <w:p>
      <w:pPr>
        <w:pStyle w:val="2"/>
        <w:jc w:val="center"/>
      </w:pPr>
    </w:p>
    <w:sectPr>
      <w:footerReference r:id="rId3" w:type="default"/>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eastAsia="宋体"/>
        <w:sz w:val="28"/>
        <w:szCs w:val="28"/>
      </w:rPr>
    </w:pPr>
    <w:r>
      <w:rPr>
        <w:rStyle w:val="7"/>
        <w:rFonts w:hint="eastAsia" w:ascii="宋体" w:hAnsi="宋体" w:eastAsia="宋体"/>
        <w:sz w:val="28"/>
        <w:szCs w:val="28"/>
      </w:rPr>
      <w:t>—</w:t>
    </w: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1</w:t>
    </w:r>
    <w:r>
      <w:rPr>
        <w:rStyle w:val="7"/>
        <w:rFonts w:ascii="宋体" w:hAnsi="宋体" w:eastAsia="宋体"/>
        <w:sz w:val="28"/>
        <w:szCs w:val="28"/>
      </w:rPr>
      <w:fldChar w:fldCharType="end"/>
    </w:r>
    <w:r>
      <w:rPr>
        <w:rStyle w:val="7"/>
        <w:rFonts w:hint="eastAsia" w:ascii="宋体" w:hAnsi="宋体" w:eastAsia="宋体"/>
        <w:sz w:val="28"/>
        <w:szCs w:val="28"/>
      </w:rPr>
      <w:t>—</w:t>
    </w:r>
  </w:p>
  <w:p>
    <w:pPr>
      <w:pStyle w:val="3"/>
      <w:ind w:right="360" w:firstLine="360"/>
      <w:jc w:val="cente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E61C21"/>
    <w:multiLevelType w:val="singleLevel"/>
    <w:tmpl w:val="D6E61C21"/>
    <w:lvl w:ilvl="0" w:tentative="0">
      <w:start w:val="2"/>
      <w:numFmt w:val="decimal"/>
      <w:suff w:val="nothing"/>
      <w:lvlText w:val="（%1）"/>
      <w:lvlJc w:val="left"/>
    </w:lvl>
  </w:abstractNum>
  <w:abstractNum w:abstractNumId="1">
    <w:nsid w:val="D7F8C7B2"/>
    <w:multiLevelType w:val="singleLevel"/>
    <w:tmpl w:val="D7F8C7B2"/>
    <w:lvl w:ilvl="0" w:tentative="0">
      <w:start w:val="2"/>
      <w:numFmt w:val="decimal"/>
      <w:suff w:val="nothing"/>
      <w:lvlText w:val="（%1）"/>
      <w:lvlJc w:val="left"/>
    </w:lvl>
  </w:abstractNum>
  <w:abstractNum w:abstractNumId="2">
    <w:nsid w:val="1CBA0B67"/>
    <w:multiLevelType w:val="singleLevel"/>
    <w:tmpl w:val="1CBA0B67"/>
    <w:lvl w:ilvl="0" w:tentative="0">
      <w:start w:val="4"/>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OTdkYTRiOGE5ZWQ5NDZhZjNkYzBhNzcxYjJkNzIifQ=="/>
  </w:docVars>
  <w:rsids>
    <w:rsidRoot w:val="007476F0"/>
    <w:rsid w:val="000E40A1"/>
    <w:rsid w:val="001D7144"/>
    <w:rsid w:val="003A7079"/>
    <w:rsid w:val="00500AC1"/>
    <w:rsid w:val="00730F98"/>
    <w:rsid w:val="00735997"/>
    <w:rsid w:val="007476F0"/>
    <w:rsid w:val="00873CE8"/>
    <w:rsid w:val="009443E2"/>
    <w:rsid w:val="00CA4B77"/>
    <w:rsid w:val="00CB21C2"/>
    <w:rsid w:val="00D12E1E"/>
    <w:rsid w:val="00E7267E"/>
    <w:rsid w:val="00F41010"/>
    <w:rsid w:val="018362EB"/>
    <w:rsid w:val="05EC0902"/>
    <w:rsid w:val="0A1973BD"/>
    <w:rsid w:val="0C1110C3"/>
    <w:rsid w:val="0C654F6B"/>
    <w:rsid w:val="10FE773C"/>
    <w:rsid w:val="110915BF"/>
    <w:rsid w:val="13384D67"/>
    <w:rsid w:val="159A3ED7"/>
    <w:rsid w:val="174D6D27"/>
    <w:rsid w:val="186407CC"/>
    <w:rsid w:val="18AB01A9"/>
    <w:rsid w:val="19EF40C6"/>
    <w:rsid w:val="19FE0B08"/>
    <w:rsid w:val="1F7E2174"/>
    <w:rsid w:val="227930C6"/>
    <w:rsid w:val="2396763D"/>
    <w:rsid w:val="26AB5818"/>
    <w:rsid w:val="28CF4FC9"/>
    <w:rsid w:val="32F6606D"/>
    <w:rsid w:val="33DE547F"/>
    <w:rsid w:val="344423B0"/>
    <w:rsid w:val="376143FD"/>
    <w:rsid w:val="3EC84D62"/>
    <w:rsid w:val="3F1C50AD"/>
    <w:rsid w:val="426C1EA8"/>
    <w:rsid w:val="43572B58"/>
    <w:rsid w:val="46C329DE"/>
    <w:rsid w:val="4A45370A"/>
    <w:rsid w:val="4B9132B3"/>
    <w:rsid w:val="501926C6"/>
    <w:rsid w:val="50A8054F"/>
    <w:rsid w:val="51792548"/>
    <w:rsid w:val="5288688A"/>
    <w:rsid w:val="532508F1"/>
    <w:rsid w:val="54E3088E"/>
    <w:rsid w:val="553F2171"/>
    <w:rsid w:val="56002BDB"/>
    <w:rsid w:val="56C360E3"/>
    <w:rsid w:val="574D3BFE"/>
    <w:rsid w:val="596F5E5F"/>
    <w:rsid w:val="5B1A473F"/>
    <w:rsid w:val="5CB32755"/>
    <w:rsid w:val="63411D52"/>
    <w:rsid w:val="639A641D"/>
    <w:rsid w:val="67D55C76"/>
    <w:rsid w:val="69236EB5"/>
    <w:rsid w:val="6A7272B0"/>
    <w:rsid w:val="6BAA3939"/>
    <w:rsid w:val="6CD209D6"/>
    <w:rsid w:val="70192714"/>
    <w:rsid w:val="70B83816"/>
    <w:rsid w:val="755C1784"/>
    <w:rsid w:val="76DF3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黑体" w:hAnsi="Times New Roman" w:eastAsia="仿宋_GB2312" w:cs="Times New Roman"/>
      <w:color w:val="000000"/>
      <w:sz w:val="24"/>
      <w:szCs w:val="22"/>
      <w:lang w:val="en-US" w:eastAsia="zh-CN" w:bidi="ar-SA"/>
    </w:rPr>
  </w:style>
  <w:style w:type="paragraph" w:styleId="3">
    <w:name w:val="footer"/>
    <w:basedOn w:val="1"/>
    <w:link w:val="9"/>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uiPriority w:val="0"/>
  </w:style>
  <w:style w:type="character" w:customStyle="1" w:styleId="8">
    <w:name w:val="页眉 字符"/>
    <w:basedOn w:val="6"/>
    <w:link w:val="4"/>
    <w:semiHidden/>
    <w:uiPriority w:val="99"/>
    <w:rPr>
      <w:sz w:val="18"/>
      <w:szCs w:val="18"/>
    </w:rPr>
  </w:style>
  <w:style w:type="character" w:customStyle="1" w:styleId="9">
    <w:name w:val="页脚 字符"/>
    <w:basedOn w:val="6"/>
    <w:link w:val="3"/>
    <w:semiHidden/>
    <w:uiPriority w:val="99"/>
    <w:rPr>
      <w:sz w:val="18"/>
      <w:szCs w:val="18"/>
    </w:rPr>
  </w:style>
  <w:style w:type="paragraph" w:customStyle="1" w:styleId="10">
    <w:name w:val="正文1 Char Char Char"/>
    <w:basedOn w:val="1"/>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2649</Words>
  <Characters>2739</Characters>
  <Lines>24</Lines>
  <Paragraphs>6</Paragraphs>
  <TotalTime>8</TotalTime>
  <ScaleCrop>false</ScaleCrop>
  <LinksUpToDate>false</LinksUpToDate>
  <CharactersWithSpaces>2755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2022-04-20T02:05:00Z</dcterms:created>
  <dc:creator>微软用户</dc:creator>
  <cp:lastModifiedBy>吴金蔓</cp:lastModifiedBy>
  <dcterms:modified xsi:type="dcterms:W3CDTF">2023-04-13T02:38:27Z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171751B6243E4C5E92274495D72A9805</vt:lpwstr>
  </property>
</Properties>
</file>