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44"/>
          <w:szCs w:val="44"/>
        </w:rPr>
      </w:pPr>
      <w:r>
        <w:rPr>
          <w:rFonts w:hint="eastAsia" w:ascii="宋体" w:hAnsi="宋体" w:eastAsia="宋体" w:cs="宋体"/>
          <w:b/>
          <w:sz w:val="44"/>
          <w:szCs w:val="44"/>
        </w:rPr>
        <w:t>海南省妇幼保健院异地新建项目（暨海南省</w:t>
      </w:r>
    </w:p>
    <w:p>
      <w:pPr>
        <w:jc w:val="center"/>
        <w:rPr>
          <w:rFonts w:ascii="宋体" w:hAnsi="宋体" w:eastAsia="宋体" w:cs="宋体"/>
          <w:b/>
          <w:sz w:val="44"/>
          <w:szCs w:val="44"/>
        </w:rPr>
      </w:pPr>
      <w:r>
        <w:rPr>
          <w:rFonts w:hint="eastAsia" w:ascii="宋体" w:hAnsi="宋体" w:eastAsia="宋体" w:cs="宋体"/>
          <w:b/>
          <w:sz w:val="44"/>
          <w:szCs w:val="44"/>
        </w:rPr>
        <w:t>妇产科医院新建项目）202</w:t>
      </w:r>
      <w:r>
        <w:rPr>
          <w:rFonts w:hint="eastAsia" w:ascii="宋体" w:hAnsi="宋体" w:eastAsia="宋体" w:cs="宋体"/>
          <w:b/>
          <w:sz w:val="44"/>
          <w:szCs w:val="44"/>
          <w:lang w:val="en-US" w:eastAsia="zh-CN"/>
        </w:rPr>
        <w:t>2</w:t>
      </w:r>
      <w:r>
        <w:rPr>
          <w:rFonts w:hint="eastAsia" w:ascii="宋体" w:hAnsi="宋体" w:eastAsia="宋体" w:cs="宋体"/>
          <w:b/>
          <w:sz w:val="44"/>
          <w:szCs w:val="44"/>
        </w:rPr>
        <w:t>年度绩效自评报告</w:t>
      </w:r>
    </w:p>
    <w:p/>
    <w:p>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一、项目概况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（一）项目基本情况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海南省妇幼保健院异地新建项目（暨海南省妇产科医院新建项目）是《海南省“十四五”卫生健康规划》全生命周期健康保障工程</w:t>
      </w:r>
      <w:r>
        <w:rPr>
          <w:rFonts w:hAnsi="宋体" w:cs="宋体"/>
          <w:color w:val="000000"/>
          <w:kern w:val="0"/>
          <w:szCs w:val="32"/>
        </w:rPr>
        <w:t>,是省政府推动省会城市三级医院布局结构调整重点建设项目。项目位于海口市西海岸新区南片区B2401地块，总用地面积55373.97 平方米（约83.06亩），规划设置床位500张，总建筑面积为99191.34平方米（地上面积为76607.19平方米,地下面积为22584.15平方米），主要建设综合楼（包括01、02住院楼，门诊保健楼，行政科研楼）、设备用房和地下室，同步配套建设室外总体附属设施等。</w:t>
      </w:r>
      <w:r>
        <w:rPr>
          <w:rFonts w:hint="eastAsia" w:hAnsi="宋体" w:cs="宋体"/>
          <w:color w:val="000000"/>
          <w:kern w:val="0"/>
          <w:szCs w:val="32"/>
        </w:rPr>
        <w:t>项目概算总投资</w:t>
      </w:r>
      <w:r>
        <w:rPr>
          <w:rFonts w:hAnsi="宋体" w:cs="宋体"/>
          <w:color w:val="000000"/>
          <w:kern w:val="0"/>
          <w:szCs w:val="32"/>
        </w:rPr>
        <w:t>87774万元（不含土地成本费和医疗设备购置费）。项目于2020年12月29日开工，计划于2023年12月竣工投入使用。</w:t>
      </w:r>
    </w:p>
    <w:p>
      <w:pPr>
        <w:widowControl/>
        <w:spacing w:line="578" w:lineRule="atLeast"/>
        <w:ind w:firstLine="640"/>
        <w:rPr>
          <w:rFonts w:hAnsi="宋体" w:cs="宋体"/>
          <w:color w:val="000000"/>
          <w:kern w:val="0"/>
          <w:szCs w:val="32"/>
        </w:rPr>
      </w:pPr>
      <w:r>
        <w:rPr>
          <w:rFonts w:hint="eastAsia" w:hAnsi="宋体" w:cs="宋体"/>
          <w:color w:val="000000"/>
          <w:kern w:val="0"/>
          <w:szCs w:val="32"/>
        </w:rPr>
        <w:t>（二）项目年度预算绩效目标和绩效指标设定情况</w:t>
      </w:r>
    </w:p>
    <w:p>
      <w:pPr>
        <w:widowControl/>
        <w:spacing w:line="578" w:lineRule="atLeast"/>
        <w:rPr>
          <w:rFonts w:hAnsi="宋体" w:cs="宋体"/>
          <w:kern w:val="0"/>
          <w:szCs w:val="32"/>
        </w:rPr>
      </w:pPr>
      <w:r>
        <w:rPr>
          <w:rFonts w:hint="eastAsia" w:hAnsi="宋体" w:cs="宋体"/>
          <w:kern w:val="0"/>
          <w:szCs w:val="32"/>
        </w:rPr>
        <w:t xml:space="preserve">    本项目设定年度预期目标</w:t>
      </w:r>
      <w:r>
        <w:rPr>
          <w:rFonts w:hAnsi="宋体" w:cs="宋体"/>
          <w:kern w:val="0"/>
          <w:szCs w:val="32"/>
        </w:rPr>
        <w:t>3项，分别为完成室内外土方回填、完成主体工程施工和完成投资25000万元。根据年度预期目标，设定绩效指标2项，其中一级指标2项，二级指标3项，三级指标3项，各项指标均可实现量化考核评价。</w:t>
      </w:r>
    </w:p>
    <w:p>
      <w:pPr>
        <w:widowControl/>
        <w:spacing w:line="578" w:lineRule="atLeast"/>
        <w:rPr>
          <w:rFonts w:hAnsi="宋体" w:cs="宋体"/>
          <w:color w:val="000000"/>
          <w:kern w:val="0"/>
          <w:szCs w:val="32"/>
        </w:rPr>
      </w:pPr>
      <w:r>
        <w:rPr>
          <w:rFonts w:hint="eastAsia" w:hAnsi="宋体" w:cs="宋体"/>
          <w:color w:val="000000"/>
          <w:kern w:val="0"/>
          <w:szCs w:val="32"/>
        </w:rPr>
        <w:t xml:space="preserve">  </w:t>
      </w:r>
      <w:r>
        <w:rPr>
          <w:rFonts w:hint="eastAsia" w:hAnsi="宋体" w:cs="宋体"/>
          <w:b/>
          <w:bCs/>
          <w:color w:val="000000"/>
          <w:kern w:val="0"/>
          <w:szCs w:val="32"/>
        </w:rPr>
        <w:t xml:space="preserve">  二、项目决策及资金使用管理情况</w:t>
      </w:r>
    </w:p>
    <w:p>
      <w:pPr>
        <w:widowControl/>
        <w:spacing w:line="578" w:lineRule="atLeast"/>
        <w:ind w:firstLine="640"/>
        <w:rPr>
          <w:rFonts w:hAnsi="宋体" w:cs="宋体"/>
          <w:kern w:val="0"/>
          <w:szCs w:val="32"/>
        </w:rPr>
      </w:pPr>
      <w:r>
        <w:rPr>
          <w:rFonts w:hint="eastAsia" w:hAnsi="宋体" w:cs="宋体"/>
          <w:kern w:val="0"/>
          <w:szCs w:val="32"/>
        </w:rPr>
        <w:t>（一）项目决策情况（包括决策过程和结果）</w:t>
      </w:r>
    </w:p>
    <w:p>
      <w:pPr>
        <w:widowControl/>
        <w:spacing w:line="578" w:lineRule="atLeast"/>
        <w:ind w:firstLine="640"/>
        <w:rPr>
          <w:rFonts w:hAnsi="宋体" w:cs="宋体"/>
          <w:kern w:val="0"/>
          <w:szCs w:val="32"/>
        </w:rPr>
      </w:pPr>
      <w:r>
        <w:rPr>
          <w:rFonts w:hint="eastAsia" w:hAnsi="宋体" w:cs="宋体"/>
          <w:kern w:val="0"/>
          <w:szCs w:val="32"/>
        </w:rPr>
        <w:t>坚持党的全面领导，严格按照我单位党委会会议和院长办公会议议事规则要求，坚持民主集中制，实行集体领导和个人分工负责相结合的制度，凡涉及本项目重大决策事项，包括项目功能布局确定和</w:t>
      </w:r>
      <w:r>
        <w:rPr>
          <w:rFonts w:hAnsi="宋体" w:cs="宋体"/>
          <w:kern w:val="0"/>
          <w:szCs w:val="32"/>
        </w:rPr>
        <w:t>50万元以上重大资金支出等，须经院长办公会议研究后提请党委会会议集体研究做出</w:t>
      </w:r>
      <w:r>
        <w:rPr>
          <w:rFonts w:hint="eastAsia" w:hAnsi="宋体" w:cs="宋体"/>
          <w:kern w:val="0"/>
          <w:szCs w:val="32"/>
          <w:lang w:val="en-US" w:eastAsia="zh-CN"/>
        </w:rPr>
        <w:t>批准或通过</w:t>
      </w:r>
      <w:r>
        <w:rPr>
          <w:rFonts w:hAnsi="宋体" w:cs="宋体"/>
          <w:kern w:val="0"/>
          <w:szCs w:val="32"/>
        </w:rPr>
        <w:t>后方可实施。</w:t>
      </w:r>
    </w:p>
    <w:p>
      <w:pPr>
        <w:widowControl/>
        <w:spacing w:line="578" w:lineRule="atLeast"/>
        <w:ind w:firstLine="640"/>
        <w:rPr>
          <w:rFonts w:hAnsi="宋体" w:cs="宋体"/>
          <w:kern w:val="0"/>
          <w:szCs w:val="32"/>
        </w:rPr>
      </w:pPr>
      <w:r>
        <w:rPr>
          <w:rFonts w:hint="eastAsia" w:hAnsi="宋体" w:cs="宋体"/>
          <w:kern w:val="0"/>
          <w:szCs w:val="32"/>
        </w:rPr>
        <w:t>（二）项目资金（包括财政资金、自筹资金等）安排落实、总投入等情况</w:t>
      </w:r>
    </w:p>
    <w:p>
      <w:pPr>
        <w:widowControl/>
        <w:spacing w:line="578" w:lineRule="atLeast"/>
        <w:ind w:firstLine="640"/>
        <w:rPr>
          <w:rFonts w:hAnsi="宋体" w:cs="宋体"/>
          <w:kern w:val="0"/>
          <w:szCs w:val="32"/>
        </w:rPr>
      </w:pPr>
      <w:r>
        <w:rPr>
          <w:rFonts w:hAnsi="宋体" w:cs="宋体"/>
          <w:kern w:val="0"/>
          <w:szCs w:val="32"/>
        </w:rPr>
        <w:t>2022年到位资金19197万元，其中一般债券资金4000万元、中央预算内投资资金15000万元，调剂资金197万元。</w:t>
      </w:r>
    </w:p>
    <w:p>
      <w:pPr>
        <w:widowControl/>
        <w:spacing w:line="578" w:lineRule="atLeast"/>
        <w:ind w:firstLine="640"/>
        <w:rPr>
          <w:rFonts w:hAnsi="宋体" w:cs="宋体"/>
          <w:kern w:val="0"/>
          <w:szCs w:val="32"/>
        </w:rPr>
      </w:pPr>
      <w:r>
        <w:rPr>
          <w:rFonts w:hint="eastAsia" w:hAnsi="宋体" w:cs="宋体"/>
          <w:kern w:val="0"/>
          <w:szCs w:val="32"/>
        </w:rPr>
        <w:t>（三）项目资金（主要是指财政资金）实际使用情况</w:t>
      </w:r>
    </w:p>
    <w:p>
      <w:pPr>
        <w:widowControl/>
        <w:spacing w:line="578" w:lineRule="atLeast"/>
        <w:ind w:firstLine="640"/>
        <w:rPr>
          <w:rFonts w:hAnsi="宋体" w:cs="宋体"/>
          <w:kern w:val="0"/>
          <w:szCs w:val="32"/>
        </w:rPr>
      </w:pPr>
      <w:r>
        <w:rPr>
          <w:rFonts w:hint="eastAsia" w:hAnsi="宋体" w:cs="宋体"/>
          <w:kern w:val="0"/>
          <w:szCs w:val="32"/>
        </w:rPr>
        <w:t>截至</w:t>
      </w:r>
      <w:r>
        <w:rPr>
          <w:rFonts w:hAnsi="宋体" w:cs="宋体"/>
          <w:kern w:val="0"/>
          <w:szCs w:val="32"/>
        </w:rPr>
        <w:t>2022年12月31日，累计已使用资金16725.6万元，项目资金支付率87.1%。项目资金均按预算和规定用途使用，未出现虚列项目支出情况，不存在截留、挤占、挪用项目资金情况，也不存在超标准开支情况。</w:t>
      </w:r>
    </w:p>
    <w:p>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三、项目组织实施情况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（一）项目组织情况（包括项目招投标情况、调整情况、完成验收等）</w:t>
      </w:r>
    </w:p>
    <w:p>
      <w:pPr>
        <w:widowControl/>
        <w:spacing w:line="578" w:lineRule="atLeast"/>
        <w:ind w:firstLine="640"/>
        <w:rPr>
          <w:rFonts w:hAnsi="宋体" w:cs="宋体"/>
          <w:color w:val="000000"/>
          <w:kern w:val="0"/>
          <w:szCs w:val="32"/>
        </w:rPr>
      </w:pPr>
      <w:r>
        <w:rPr>
          <w:rFonts w:hint="eastAsia" w:hAnsi="宋体" w:cs="宋体"/>
          <w:color w:val="000000"/>
          <w:kern w:val="0"/>
          <w:szCs w:val="32"/>
        </w:rPr>
        <w:t>在项目建设用地申请方面，我单位严格按照海口市有关规定程序办理项目建设用地申请，并按要求缴纳土地成本费</w:t>
      </w:r>
      <w:r>
        <w:rPr>
          <w:rFonts w:hAnsi="宋体" w:cs="宋体"/>
          <w:color w:val="000000"/>
          <w:kern w:val="0"/>
          <w:szCs w:val="32"/>
        </w:rPr>
        <w:t>14535.5万元。</w:t>
      </w:r>
    </w:p>
    <w:p>
      <w:pPr>
        <w:widowControl/>
        <w:spacing w:line="578" w:lineRule="atLeast"/>
        <w:ind w:firstLine="640"/>
        <w:rPr>
          <w:rFonts w:hAnsi="宋体" w:cs="宋体"/>
          <w:color w:val="000000"/>
          <w:kern w:val="0"/>
          <w:szCs w:val="32"/>
        </w:rPr>
      </w:pPr>
      <w:r>
        <w:rPr>
          <w:rFonts w:hint="eastAsia" w:hAnsi="宋体" w:cs="宋体"/>
          <w:color w:val="000000"/>
          <w:kern w:val="0"/>
          <w:szCs w:val="32"/>
        </w:rPr>
        <w:t>在项目工程招标方面，按照项目委托代管合同约定，委托代管单位严格按照招标管理规定，依法组织开展项目工程设计、施工和监理等招标工作。</w:t>
      </w:r>
    </w:p>
    <w:p>
      <w:pPr>
        <w:widowControl/>
        <w:spacing w:line="578" w:lineRule="atLeast"/>
        <w:ind w:firstLine="640"/>
        <w:rPr>
          <w:rFonts w:hAnsi="宋体" w:cs="宋体"/>
          <w:color w:val="000000"/>
          <w:kern w:val="0"/>
          <w:szCs w:val="32"/>
        </w:rPr>
      </w:pPr>
      <w:r>
        <w:rPr>
          <w:rFonts w:hint="eastAsia" w:hAnsi="宋体" w:cs="宋体"/>
          <w:color w:val="000000"/>
          <w:kern w:val="0"/>
          <w:szCs w:val="32"/>
        </w:rPr>
        <w:t>（二）项目管理情况（包括项目管理制度建设、日常检查监督等情况）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我单位于</w:t>
      </w:r>
      <w:r>
        <w:rPr>
          <w:rFonts w:hAnsi="宋体" w:cs="宋体"/>
          <w:color w:val="000000"/>
          <w:kern w:val="0"/>
          <w:szCs w:val="32"/>
        </w:rPr>
        <w:t>2020年5月21日与代管单位签订代管协议，委托代管单位自项目可行性研究报告获批之日起开始对项目实施全面代管。自项目启动以来，我</w:t>
      </w:r>
      <w:r>
        <w:rPr>
          <w:rFonts w:hint="eastAsia" w:hAnsi="宋体" w:cs="宋体"/>
          <w:color w:val="000000"/>
          <w:kern w:val="0"/>
          <w:szCs w:val="32"/>
        </w:rPr>
        <w:t>单位</w:t>
      </w:r>
      <w:r>
        <w:rPr>
          <w:rFonts w:hAnsi="宋体" w:cs="宋体"/>
          <w:color w:val="000000"/>
          <w:kern w:val="0"/>
          <w:szCs w:val="32"/>
        </w:rPr>
        <w:t>高度重视项目工程建设，不断加强组织管理，切实履行项目工程建设主体责任和跟踪监督职责，积极督促代管单位加强项目工程建设管理，高质量、高标准推进工程建设。一是成立了医院党委书记、院长任组长，党政领导班子成员任副组长，内设党政管理机构的主要负责同志任小组成员的领导小组，建立了主要领导亲自抓、负总责，分管领导具体抓的责任落实机制；设立领导小组办公室，由分管副院长兼任办公室主任，选优</w:t>
      </w:r>
      <w:r>
        <w:rPr>
          <w:rFonts w:hint="eastAsia" w:hAnsi="宋体" w:cs="宋体"/>
          <w:color w:val="000000"/>
          <w:kern w:val="0"/>
          <w:szCs w:val="32"/>
        </w:rPr>
        <w:t>配强办公室成员，并安排专职人员驻地项目工地现场开展项目日常跟踪监督。二是建立项目周例会制度，每周定期召开，及时了解和推进项目建设。三是严格履行项目工程实施的主体责任，切实加强项目工程跟踪监督。明确重点工作督查督办工作制度，明确督查工作分管领导和跟踪监督工作的联络员；建立项目管理廉政风险点排查和廉政查房工作制度，对负责基础设施建设、设备招标采购等关键部门、关键岗位定期进行廉政风险排查，谈心谈话常态化。与代管单位签订了《工程建设项目廉政责任书》，明确要求代管单位应按照有关法律法规和程序开展业务工作，严格执行工程建设的有关方针、政策，执行工程建设强制性标准和严格执行廉政建设有关规定。印发《开展公共工程项目跟踪监督工作方案》，制订了开展公共工程项目跟踪监督工作任务清单。四是加强“三重一大”管理，将项目重大决策事项纳入“三重一大”决策范畴，并进行公示公开。</w:t>
      </w:r>
    </w:p>
    <w:p>
      <w:pPr>
        <w:widowControl/>
        <w:spacing w:line="578" w:lineRule="atLeast"/>
        <w:ind w:firstLine="640"/>
        <w:rPr>
          <w:rFonts w:hAnsi="宋体" w:cs="宋体"/>
          <w:kern w:val="0"/>
          <w:szCs w:val="32"/>
        </w:rPr>
      </w:pPr>
      <w:r>
        <w:rPr>
          <w:rFonts w:hint="eastAsia" w:hAnsi="宋体" w:cs="宋体"/>
          <w:kern w:val="0"/>
          <w:szCs w:val="32"/>
        </w:rPr>
        <w:t>四、项目绩效情况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（一）项目绩效目标完成情况。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1. 项目的经济性分析</w:t>
      </w:r>
    </w:p>
    <w:p>
      <w:pPr>
        <w:widowControl/>
        <w:spacing w:line="578" w:lineRule="atLeast"/>
        <w:ind w:firstLine="640"/>
        <w:rPr>
          <w:rFonts w:hAnsi="宋体" w:cs="宋体"/>
          <w:kern w:val="0"/>
          <w:szCs w:val="32"/>
        </w:rPr>
      </w:pPr>
      <w:r>
        <w:rPr>
          <w:rFonts w:hint="eastAsia" w:hAnsi="宋体" w:cs="宋体"/>
          <w:kern w:val="0"/>
          <w:szCs w:val="32"/>
        </w:rPr>
        <w:t>（1）项目成本（预算）控制情况</w:t>
      </w:r>
    </w:p>
    <w:p>
      <w:pPr>
        <w:ind w:firstLine="640" w:firstLineChars="200"/>
      </w:pPr>
      <w:r>
        <w:rPr>
          <w:rFonts w:hint="eastAsia"/>
        </w:rPr>
        <w:t>严格控制项目成本，未出现超预算现象。</w:t>
      </w:r>
    </w:p>
    <w:p>
      <w:pPr>
        <w:widowControl/>
        <w:spacing w:line="578" w:lineRule="atLeast"/>
        <w:ind w:firstLine="640"/>
        <w:rPr>
          <w:rFonts w:hAnsi="宋体" w:cs="宋体"/>
          <w:kern w:val="0"/>
          <w:szCs w:val="32"/>
        </w:rPr>
      </w:pPr>
      <w:r>
        <w:rPr>
          <w:rFonts w:hint="eastAsia" w:hAnsi="宋体" w:cs="宋体"/>
          <w:kern w:val="0"/>
          <w:szCs w:val="32"/>
        </w:rPr>
        <w:t>（2）项目成本（预算）节约情况</w:t>
      </w:r>
    </w:p>
    <w:p>
      <w:pPr>
        <w:ind w:firstLine="640" w:firstLineChars="200"/>
      </w:pPr>
      <w:r>
        <w:rPr>
          <w:rFonts w:hint="eastAsia"/>
        </w:rPr>
        <w:t>截至2022年底，已先后完成了项目工程勘察、设计、施工、监理、造价咨询等有关招标，中标金额均有效控制在批复概算范围以内。</w:t>
      </w:r>
    </w:p>
    <w:p>
      <w:pPr>
        <w:widowControl/>
        <w:spacing w:line="578" w:lineRule="atLeast"/>
        <w:ind w:firstLine="640"/>
        <w:rPr>
          <w:rFonts w:hAnsi="宋体" w:cs="宋体"/>
          <w:color w:val="000000"/>
          <w:kern w:val="0"/>
          <w:szCs w:val="32"/>
        </w:rPr>
      </w:pPr>
      <w:r>
        <w:rPr>
          <w:rFonts w:hint="eastAsia" w:hAnsi="宋体" w:cs="宋体"/>
          <w:color w:val="000000"/>
          <w:kern w:val="0"/>
          <w:szCs w:val="32"/>
        </w:rPr>
        <w:t>2. 项目的效率性分析</w:t>
      </w:r>
    </w:p>
    <w:p>
      <w:pPr>
        <w:widowControl/>
        <w:spacing w:line="578" w:lineRule="atLeast"/>
        <w:ind w:firstLine="640"/>
        <w:rPr>
          <w:rFonts w:hAnsi="宋体" w:cs="宋体"/>
          <w:kern w:val="0"/>
          <w:szCs w:val="32"/>
        </w:rPr>
      </w:pPr>
      <w:r>
        <w:rPr>
          <w:rFonts w:hint="eastAsia" w:hAnsi="宋体" w:cs="宋体"/>
          <w:kern w:val="0"/>
          <w:szCs w:val="32"/>
        </w:rPr>
        <w:t>（1）项目的实施进度</w:t>
      </w:r>
    </w:p>
    <w:p>
      <w:pPr>
        <w:widowControl/>
        <w:spacing w:line="578" w:lineRule="atLeast"/>
        <w:ind w:firstLine="640"/>
        <w:rPr>
          <w:rFonts w:hAnsi="宋体" w:cs="宋体"/>
          <w:kern w:val="0"/>
          <w:szCs w:val="32"/>
        </w:rPr>
      </w:pPr>
      <w:r>
        <w:rPr>
          <w:rFonts w:hAnsi="宋体" w:cs="宋体"/>
          <w:kern w:val="0"/>
          <w:szCs w:val="32"/>
        </w:rPr>
        <w:t>截至2022年底，项目基坑土石方开挖、基坑支护施工完成，共完成土石方开挖14.48万m³（其中土方7.65万m³，石方6.83万m³）；地上、地下主体结构施工完成，且通过验收；外幕墙施工总体完成40%，电气、给排水、消防和暖通等机电安装完成10%，室内装饰装修完成5%</w:t>
      </w:r>
      <w:r>
        <w:rPr>
          <w:rFonts w:hint="eastAsia" w:hAnsi="宋体" w:cs="宋体"/>
          <w:kern w:val="0"/>
          <w:szCs w:val="32"/>
        </w:rPr>
        <w:t>。</w:t>
      </w:r>
    </w:p>
    <w:p>
      <w:pPr>
        <w:widowControl/>
        <w:spacing w:line="578" w:lineRule="atLeast"/>
        <w:ind w:firstLine="640"/>
        <w:rPr>
          <w:rFonts w:hAnsi="宋体" w:cs="宋体"/>
          <w:kern w:val="0"/>
          <w:szCs w:val="32"/>
        </w:rPr>
      </w:pPr>
      <w:r>
        <w:rPr>
          <w:rFonts w:hint="eastAsia" w:hAnsi="宋体" w:cs="宋体"/>
          <w:kern w:val="0"/>
          <w:szCs w:val="32"/>
        </w:rPr>
        <w:t>（2）项目完成质量</w:t>
      </w:r>
    </w:p>
    <w:p>
      <w:pPr>
        <w:widowControl/>
        <w:spacing w:line="578" w:lineRule="atLeast"/>
        <w:ind w:firstLine="640"/>
        <w:rPr>
          <w:rFonts w:hAnsi="宋体" w:cs="宋体"/>
          <w:kern w:val="0"/>
          <w:szCs w:val="32"/>
        </w:rPr>
      </w:pPr>
      <w:r>
        <w:rPr>
          <w:rFonts w:hint="eastAsia" w:hAnsi="宋体" w:cs="宋体"/>
          <w:kern w:val="0"/>
          <w:szCs w:val="32"/>
        </w:rPr>
        <w:t>项目全过程管理符合国家基本建设程序，施工质量满足设计和工程建设强制性标准要求，总体项目完成质量</w:t>
      </w:r>
      <w:r>
        <w:rPr>
          <w:rFonts w:hint="eastAsia" w:hAnsi="宋体" w:cs="宋体"/>
          <w:kern w:val="0"/>
          <w:szCs w:val="32"/>
          <w:lang w:val="en-US" w:eastAsia="zh-CN"/>
        </w:rPr>
        <w:t>优良</w:t>
      </w:r>
      <w:r>
        <w:rPr>
          <w:rFonts w:hint="eastAsia" w:hAnsi="宋体" w:cs="宋体"/>
          <w:kern w:val="0"/>
          <w:szCs w:val="32"/>
        </w:rPr>
        <w:t>。</w:t>
      </w:r>
      <w:bookmarkStart w:id="0" w:name="_GoBack"/>
      <w:bookmarkEnd w:id="0"/>
    </w:p>
    <w:p>
      <w:pPr>
        <w:widowControl/>
        <w:spacing w:line="578" w:lineRule="atLeast"/>
        <w:ind w:firstLine="640"/>
        <w:rPr>
          <w:rFonts w:hAnsi="宋体" w:cs="宋体"/>
          <w:color w:val="000000"/>
          <w:kern w:val="0"/>
          <w:szCs w:val="32"/>
        </w:rPr>
      </w:pPr>
      <w:r>
        <w:rPr>
          <w:rFonts w:hint="eastAsia" w:hAnsi="宋体" w:cs="宋体"/>
          <w:color w:val="000000"/>
          <w:kern w:val="0"/>
          <w:szCs w:val="32"/>
        </w:rPr>
        <w:t>3. 项目的</w:t>
      </w:r>
      <w:r>
        <w:rPr>
          <w:rFonts w:hint="eastAsia" w:hAnsi="宋体" w:cs="宋体"/>
          <w:kern w:val="0"/>
          <w:szCs w:val="32"/>
        </w:rPr>
        <w:t>效益性分析</w:t>
      </w:r>
    </w:p>
    <w:p>
      <w:pPr>
        <w:widowControl/>
        <w:spacing w:line="578" w:lineRule="atLeast"/>
        <w:ind w:firstLine="640"/>
        <w:rPr>
          <w:rFonts w:hAnsi="宋体" w:cs="宋体"/>
          <w:kern w:val="0"/>
          <w:szCs w:val="32"/>
        </w:rPr>
      </w:pPr>
      <w:r>
        <w:rPr>
          <w:rFonts w:hint="eastAsia" w:hAnsi="宋体" w:cs="宋体"/>
          <w:kern w:val="0"/>
          <w:szCs w:val="32"/>
        </w:rPr>
        <w:t>（1）项目预期目标完成程度</w:t>
      </w:r>
    </w:p>
    <w:p>
      <w:pPr>
        <w:ind w:firstLine="640" w:firstLineChars="200"/>
      </w:pPr>
      <w:r>
        <w:rPr>
          <w:rFonts w:hint="eastAsia"/>
        </w:rPr>
        <w:t>截至2022年底，项目既定任务均已如期完成，预期目标超额完成8%。</w:t>
      </w:r>
    </w:p>
    <w:p>
      <w:pPr>
        <w:widowControl/>
        <w:spacing w:line="578" w:lineRule="atLeast"/>
        <w:ind w:firstLine="640"/>
        <w:rPr>
          <w:rFonts w:hAnsi="宋体" w:cs="宋体"/>
          <w:kern w:val="0"/>
          <w:szCs w:val="32"/>
        </w:rPr>
      </w:pPr>
      <w:r>
        <w:rPr>
          <w:rFonts w:hint="eastAsia" w:hAnsi="宋体" w:cs="宋体"/>
          <w:kern w:val="0"/>
          <w:szCs w:val="32"/>
        </w:rPr>
        <w:t>（2）项目实施对经济和社会的影响</w:t>
      </w:r>
    </w:p>
    <w:p>
      <w:pPr>
        <w:widowControl/>
        <w:spacing w:line="578" w:lineRule="atLeast"/>
        <w:ind w:firstLine="640" w:firstLineChars="200"/>
        <w:rPr>
          <w:rFonts w:hAnsi="宋体" w:cs="宋体"/>
          <w:color w:val="000000"/>
          <w:kern w:val="0"/>
          <w:szCs w:val="32"/>
        </w:rPr>
      </w:pPr>
      <w:r>
        <w:rPr>
          <w:rFonts w:hint="eastAsia" w:hAnsi="宋体" w:cs="宋体"/>
          <w:color w:val="000000"/>
          <w:kern w:val="0"/>
          <w:szCs w:val="32"/>
        </w:rPr>
        <w:t>对经济的影响：本项目实施，将对当地经济增长，农民工就业和创收起到积极促进作用，具有良好的经济效益。</w:t>
      </w:r>
    </w:p>
    <w:p>
      <w:pPr>
        <w:widowControl/>
        <w:spacing w:line="578" w:lineRule="atLeast"/>
        <w:ind w:firstLine="640" w:firstLineChars="200"/>
        <w:rPr>
          <w:rFonts w:hAnsi="宋体" w:cs="宋体"/>
          <w:color w:val="000000"/>
          <w:kern w:val="0"/>
          <w:szCs w:val="32"/>
        </w:rPr>
      </w:pPr>
      <w:r>
        <w:rPr>
          <w:rFonts w:hint="eastAsia" w:hAnsi="宋体" w:cs="宋体"/>
          <w:color w:val="000000"/>
          <w:kern w:val="0"/>
          <w:szCs w:val="32"/>
        </w:rPr>
        <w:t>对社会的影响：“十四五”期间我国将进一步深化医药卫生体制改革，在《关于国民经济和社会发展第十四个五年规划》中提出了“全面推进健康中国建设”的理念，随着国家人口战略的调整，全面实施三孩子政策，使得生殖健康、妇幼保健医疗的需求增加。长期以来，我国的妇幼卫生事业坚持“以保健为中心，以保障生殖健康为目的，保健与临床相结合，面向群体、面向基层和预防为主”的工作方针，在保护母婴身体健康，促进人的全面发展方向发挥了重要作用。同时保障妇女儿童的身心健康，直接关系到每个家庭的幸福，关系到人口素质的提高，关系到全面建设小康社会和构建社会主义和谐社会目标的实现。本项目建设将极大提高我省妇幼卫生服务水平，进一步满足日益增长以及高品质的妇幼保健医疗服务需求，促进和谐社会发展和助力构建海南自贸港一流营商环境和海南自贸港建设，具有良好的社会效益。</w:t>
      </w:r>
    </w:p>
    <w:p>
      <w:pPr>
        <w:widowControl/>
        <w:spacing w:line="578" w:lineRule="atLeast"/>
        <w:ind w:firstLine="640"/>
        <w:rPr>
          <w:rFonts w:hAnsi="宋体" w:cs="宋体"/>
          <w:color w:val="000000"/>
          <w:kern w:val="0"/>
          <w:szCs w:val="32"/>
        </w:rPr>
      </w:pPr>
      <w:r>
        <w:rPr>
          <w:rFonts w:hint="eastAsia" w:hAnsi="宋体" w:cs="宋体"/>
          <w:color w:val="000000"/>
          <w:kern w:val="0"/>
          <w:szCs w:val="32"/>
        </w:rPr>
        <w:t>4. 项目的可持续性分析</w:t>
      </w:r>
    </w:p>
    <w:p>
      <w:pPr>
        <w:widowControl/>
        <w:spacing w:line="578" w:lineRule="atLeast"/>
        <w:ind w:firstLine="640"/>
        <w:rPr>
          <w:rFonts w:hAnsi="宋体" w:cs="宋体"/>
          <w:color w:val="000000"/>
          <w:kern w:val="0"/>
          <w:szCs w:val="32"/>
        </w:rPr>
      </w:pPr>
      <w:r>
        <w:rPr>
          <w:rFonts w:hint="eastAsia" w:hAnsi="宋体" w:cs="宋体"/>
          <w:color w:val="000000"/>
          <w:kern w:val="0"/>
          <w:szCs w:val="32"/>
        </w:rPr>
        <w:t>项目建成后，影响项目持续发展的因素主要包括人员储备、设备配置等方面。</w:t>
      </w:r>
    </w:p>
    <w:p>
      <w:pPr>
        <w:widowControl/>
        <w:spacing w:line="578" w:lineRule="atLeast"/>
        <w:ind w:firstLine="64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1）人员储备方面。新建成的省妇幼保健院（省妇产科医院）将设置床位500张，按照床位数与工作人员数之比为1：1.7测算，应配置工作人员总数为850人，其中专技人员约为612人、行政工勤人员约为238人。2024年计划开放床位数392张，则应储备工作人员总数约为666人，其中专技人员约为480人。医院现有妇产科医师66人、护理人员79人。为满足2024年开业及学科发展需要，共需引进战略人才2-3名，妇产科各亚专科学科带头人5-6人、中青年学术骨干20人、人力资源约51-56名（其中技师40名，医师11-16名</w:t>
      </w:r>
      <w:r>
        <w:rPr>
          <w:rFonts w:hint="eastAsia" w:hAnsi="宋体" w:cs="宋体"/>
          <w:color w:val="000000"/>
          <w:kern w:val="0"/>
          <w:szCs w:val="32"/>
        </w:rPr>
        <w:t>，以博士研究生为主），需要给予人才引进，包括人员编制、住房保障、子女教育等政策和安家费等资金支持。</w:t>
      </w:r>
    </w:p>
    <w:p>
      <w:pPr>
        <w:widowControl/>
        <w:spacing w:line="578" w:lineRule="atLeast"/>
        <w:ind w:firstLine="64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2）设备配置方面。新建成的省妇幼保健院（省妇产科医院）将重点发展生殖医学、危重孕产妇救治、妇科肿瘤、胎儿医学、儿童保健康复五大临床学科，着力建设重点实验室、人才培养基地、信息化平台、新药临床试验研究基地四个支撑平台，在举全国之力建设自贸港的大背景下，借助自贸港的政策、制度优势、先行先试省份的技术优势，形成涵盖临床、保健、预防、教学、研究和管理的“五大重点四个平台”的建设格局，需要给予配备与医院发展相匹配的前沿、高端医疗设备资金支持。</w:t>
      </w:r>
    </w:p>
    <w:p>
      <w:pPr>
        <w:widowControl/>
        <w:spacing w:line="578" w:lineRule="atLeast"/>
        <w:ind w:firstLine="640" w:firstLineChars="200"/>
        <w:rPr>
          <w:rFonts w:hAnsi="宋体" w:cs="宋体"/>
          <w:color w:val="000000"/>
          <w:kern w:val="0"/>
          <w:szCs w:val="32"/>
        </w:rPr>
      </w:pPr>
      <w:r>
        <w:rPr>
          <w:rFonts w:hint="eastAsia" w:hAnsi="宋体" w:cs="宋体"/>
          <w:color w:val="000000"/>
          <w:kern w:val="0"/>
          <w:szCs w:val="32"/>
        </w:rPr>
        <w:t>（二）项目绩效目标未完成情况及原因分析</w:t>
      </w:r>
    </w:p>
    <w:p>
      <w:pPr>
        <w:widowControl/>
        <w:spacing w:line="578" w:lineRule="atLeast"/>
        <w:ind w:firstLine="640" w:firstLineChars="200"/>
        <w:rPr>
          <w:rFonts w:hAnsi="宋体" w:cs="宋体"/>
          <w:color w:val="000000"/>
          <w:kern w:val="0"/>
          <w:szCs w:val="32"/>
        </w:rPr>
      </w:pPr>
      <w:r>
        <w:rPr>
          <w:rFonts w:hAnsi="宋体" w:cs="宋体"/>
          <w:color w:val="000000"/>
          <w:kern w:val="0"/>
          <w:szCs w:val="32"/>
        </w:rPr>
        <w:t>1.产出指标完成情况分析。</w:t>
      </w:r>
    </w:p>
    <w:p>
      <w:pPr>
        <w:widowControl/>
        <w:spacing w:line="578" w:lineRule="atLeast"/>
        <w:ind w:firstLine="640" w:firstLineChars="20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1）数量指标：2022年设定数量指标为“完成室内外土方回填”。截至2022年底，室内外土方回填完成100%，该项指标如期完成。</w:t>
      </w:r>
    </w:p>
    <w:p>
      <w:pPr>
        <w:widowControl/>
        <w:spacing w:line="578" w:lineRule="atLeast"/>
        <w:ind w:firstLine="640" w:firstLineChars="20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2）质量指标：2022年设定质量指标为“完成主体工程”。截至2022年底，地上、地下主体工程完成100%，且通过验收，该项指标如期完成。</w:t>
      </w:r>
    </w:p>
    <w:p>
      <w:pPr>
        <w:widowControl/>
        <w:spacing w:line="578" w:lineRule="atLeast"/>
        <w:ind w:firstLine="640" w:firstLineChars="200"/>
        <w:rPr>
          <w:rFonts w:hAnsi="宋体" w:cs="宋体"/>
          <w:color w:val="000000"/>
          <w:kern w:val="0"/>
          <w:szCs w:val="32"/>
        </w:rPr>
      </w:pPr>
      <w:r>
        <w:rPr>
          <w:rFonts w:hAnsi="宋体" w:cs="宋体"/>
          <w:color w:val="000000"/>
          <w:kern w:val="0"/>
          <w:szCs w:val="32"/>
        </w:rPr>
        <w:t>2.效益指标完成情况分析。</w:t>
      </w:r>
    </w:p>
    <w:p>
      <w:pPr>
        <w:widowControl/>
        <w:spacing w:line="578" w:lineRule="atLeast"/>
        <w:ind w:firstLine="640" w:firstLineChars="200"/>
        <w:rPr>
          <w:rFonts w:hAnsi="宋体" w:cs="宋体"/>
          <w:color w:val="000000"/>
          <w:kern w:val="0"/>
          <w:szCs w:val="32"/>
        </w:rPr>
      </w:pPr>
      <w:r>
        <w:rPr>
          <w:rFonts w:hAnsi="宋体" w:cs="宋体"/>
          <w:color w:val="000000"/>
          <w:kern w:val="0"/>
          <w:szCs w:val="32"/>
        </w:rPr>
        <w:t>2022年设定社会效益指标为“完成投资25000万元”。截至2022年底，全年共完成投资27064万元，超额完成目标。</w:t>
      </w:r>
    </w:p>
    <w:p>
      <w:pPr>
        <w:widowControl/>
        <w:spacing w:line="578" w:lineRule="atLeast"/>
        <w:ind w:firstLine="643" w:firstLineChars="200"/>
        <w:rPr>
          <w:rFonts w:hAnsi="宋体" w:cs="宋体"/>
          <w:b/>
          <w:bCs/>
          <w:kern w:val="0"/>
          <w:szCs w:val="32"/>
        </w:rPr>
      </w:pPr>
      <w:r>
        <w:rPr>
          <w:rFonts w:hint="eastAsia" w:hAnsi="宋体" w:cs="宋体"/>
          <w:b/>
          <w:bCs/>
          <w:kern w:val="0"/>
          <w:szCs w:val="32"/>
        </w:rPr>
        <w:t>五、后续工作计划</w:t>
      </w:r>
    </w:p>
    <w:p>
      <w:pPr>
        <w:widowControl/>
        <w:spacing w:line="578" w:lineRule="atLeast"/>
        <w:ind w:firstLine="640"/>
        <w:rPr>
          <w:rFonts w:hAnsi="宋体" w:cs="宋体"/>
          <w:kern w:val="0"/>
          <w:szCs w:val="32"/>
        </w:rPr>
      </w:pPr>
      <w:r>
        <w:rPr>
          <w:rFonts w:hint="eastAsia" w:hAnsi="宋体" w:cs="宋体"/>
          <w:kern w:val="0"/>
          <w:szCs w:val="32"/>
        </w:rPr>
        <w:t>我们将继续履行好业主单位的主体责任和监督职责，督促有关单位切实加强工程质量和安全文明施工管控，确保工程建设安全稳步推进，争取于</w:t>
      </w:r>
      <w:r>
        <w:rPr>
          <w:rFonts w:hAnsi="宋体" w:cs="宋体"/>
          <w:kern w:val="0"/>
          <w:szCs w:val="32"/>
        </w:rPr>
        <w:t>202</w:t>
      </w:r>
      <w:r>
        <w:rPr>
          <w:rFonts w:hint="eastAsia" w:hAnsi="宋体" w:cs="宋体"/>
          <w:kern w:val="0"/>
          <w:szCs w:val="32"/>
          <w:lang w:val="en-US" w:eastAsia="zh-CN"/>
        </w:rPr>
        <w:t>3</w:t>
      </w:r>
      <w:r>
        <w:rPr>
          <w:rFonts w:hAnsi="宋体" w:cs="宋体"/>
          <w:kern w:val="0"/>
          <w:szCs w:val="32"/>
        </w:rPr>
        <w:t>年9月基本完工，12月竣工投入使用。</w:t>
      </w:r>
    </w:p>
    <w:p>
      <w:pPr>
        <w:ind w:firstLine="640" w:firstLineChars="200"/>
      </w:pPr>
    </w:p>
    <w:p>
      <w:pPr>
        <w:ind w:firstLine="640" w:firstLineChars="200"/>
      </w:pPr>
    </w:p>
    <w:p>
      <w:pPr>
        <w:ind w:firstLine="640" w:firstLineChars="200"/>
      </w:pPr>
    </w:p>
    <w:p>
      <w:pPr>
        <w:ind w:firstLine="640" w:firstLineChars="200"/>
      </w:pPr>
    </w:p>
    <w:sectPr>
      <w:footerReference r:id="rId3" w:type="default"/>
      <w:footerReference r:id="rId4" w:type="even"/>
      <w:pgSz w:w="11906" w:h="16838"/>
      <w:pgMar w:top="2098" w:right="1474" w:bottom="1985" w:left="1588" w:header="72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Fonts w:ascii="宋体" w:hAnsi="宋体" w:eastAsia="宋体"/>
        <w:sz w:val="28"/>
        <w:szCs w:val="28"/>
      </w:rPr>
    </w:pPr>
    <w:r>
      <w:rPr>
        <w:rStyle w:val="7"/>
        <w:rFonts w:hint="eastAsia" w:ascii="宋体" w:hAnsi="宋体" w:eastAsia="宋体"/>
        <w:sz w:val="28"/>
        <w:szCs w:val="28"/>
      </w:rPr>
      <w:t>—</w:t>
    </w:r>
    <w:r>
      <w:rPr>
        <w:rStyle w:val="7"/>
        <w:rFonts w:ascii="宋体" w:hAnsi="宋体" w:eastAsia="宋体"/>
        <w:sz w:val="28"/>
        <w:szCs w:val="28"/>
      </w:rPr>
      <w:fldChar w:fldCharType="begin"/>
    </w:r>
    <w:r>
      <w:rPr>
        <w:rStyle w:val="7"/>
        <w:rFonts w:ascii="宋体" w:hAnsi="宋体" w:eastAsia="宋体"/>
        <w:sz w:val="28"/>
        <w:szCs w:val="28"/>
      </w:rPr>
      <w:instrText xml:space="preserve">PAGE  </w:instrText>
    </w:r>
    <w:r>
      <w:rPr>
        <w:rStyle w:val="7"/>
        <w:rFonts w:ascii="宋体" w:hAnsi="宋体" w:eastAsia="宋体"/>
        <w:sz w:val="28"/>
        <w:szCs w:val="28"/>
      </w:rPr>
      <w:fldChar w:fldCharType="separate"/>
    </w:r>
    <w:r>
      <w:rPr>
        <w:rStyle w:val="7"/>
        <w:rFonts w:ascii="宋体" w:hAnsi="宋体" w:eastAsia="宋体"/>
        <w:sz w:val="28"/>
        <w:szCs w:val="28"/>
      </w:rPr>
      <w:t>8</w:t>
    </w:r>
    <w:r>
      <w:rPr>
        <w:rStyle w:val="7"/>
        <w:rFonts w:ascii="宋体" w:hAnsi="宋体" w:eastAsia="宋体"/>
        <w:sz w:val="28"/>
        <w:szCs w:val="28"/>
      </w:rPr>
      <w:fldChar w:fldCharType="end"/>
    </w:r>
    <w:r>
      <w:rPr>
        <w:rStyle w:val="7"/>
        <w:rFonts w:hint="eastAsia" w:ascii="宋体" w:hAnsi="宋体" w:eastAsia="宋体"/>
        <w:sz w:val="28"/>
        <w:szCs w:val="28"/>
      </w:rPr>
      <w:t>—</w:t>
    </w:r>
  </w:p>
  <w:p>
    <w:pPr>
      <w:pStyle w:val="2"/>
      <w:ind w:right="360" w:firstLine="360"/>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Y0OTdkYTRiOGE5ZWQ5NDZhZjNkYzBhNzcxYjJkNzIifQ=="/>
  </w:docVars>
  <w:rsids>
    <w:rsidRoot w:val="007476F0"/>
    <w:rsid w:val="00030EB8"/>
    <w:rsid w:val="0003384A"/>
    <w:rsid w:val="0007412F"/>
    <w:rsid w:val="000B6996"/>
    <w:rsid w:val="000C3CCC"/>
    <w:rsid w:val="000E40A1"/>
    <w:rsid w:val="000E66F4"/>
    <w:rsid w:val="0010039B"/>
    <w:rsid w:val="00110E49"/>
    <w:rsid w:val="00122276"/>
    <w:rsid w:val="00163DD0"/>
    <w:rsid w:val="001A3D00"/>
    <w:rsid w:val="001B7333"/>
    <w:rsid w:val="001D0B35"/>
    <w:rsid w:val="001E4F6C"/>
    <w:rsid w:val="0021745C"/>
    <w:rsid w:val="0022215D"/>
    <w:rsid w:val="00246A04"/>
    <w:rsid w:val="00260C74"/>
    <w:rsid w:val="002C37E2"/>
    <w:rsid w:val="002E758C"/>
    <w:rsid w:val="00307B4E"/>
    <w:rsid w:val="00313BA5"/>
    <w:rsid w:val="00322F05"/>
    <w:rsid w:val="00336063"/>
    <w:rsid w:val="003A1ED3"/>
    <w:rsid w:val="003B4B15"/>
    <w:rsid w:val="003D69DD"/>
    <w:rsid w:val="004157B1"/>
    <w:rsid w:val="00435406"/>
    <w:rsid w:val="00440B37"/>
    <w:rsid w:val="004C2CB8"/>
    <w:rsid w:val="00500AC1"/>
    <w:rsid w:val="00516241"/>
    <w:rsid w:val="005237CE"/>
    <w:rsid w:val="005366E2"/>
    <w:rsid w:val="0053720F"/>
    <w:rsid w:val="0055343A"/>
    <w:rsid w:val="00555F33"/>
    <w:rsid w:val="005B7844"/>
    <w:rsid w:val="005C6A0F"/>
    <w:rsid w:val="006168A7"/>
    <w:rsid w:val="00672851"/>
    <w:rsid w:val="006920AA"/>
    <w:rsid w:val="006B4127"/>
    <w:rsid w:val="006C7D75"/>
    <w:rsid w:val="006E5580"/>
    <w:rsid w:val="007231CA"/>
    <w:rsid w:val="00730F98"/>
    <w:rsid w:val="00735997"/>
    <w:rsid w:val="00741F2A"/>
    <w:rsid w:val="00745729"/>
    <w:rsid w:val="007476F0"/>
    <w:rsid w:val="00776889"/>
    <w:rsid w:val="00776AEE"/>
    <w:rsid w:val="00787A9F"/>
    <w:rsid w:val="007A7B79"/>
    <w:rsid w:val="007C74A6"/>
    <w:rsid w:val="00835EF4"/>
    <w:rsid w:val="00841DDC"/>
    <w:rsid w:val="00873CE8"/>
    <w:rsid w:val="008901B1"/>
    <w:rsid w:val="008D247B"/>
    <w:rsid w:val="008F4CDB"/>
    <w:rsid w:val="00904778"/>
    <w:rsid w:val="00921E1C"/>
    <w:rsid w:val="0095350A"/>
    <w:rsid w:val="00960DD4"/>
    <w:rsid w:val="0099610B"/>
    <w:rsid w:val="009C1262"/>
    <w:rsid w:val="009F5BFC"/>
    <w:rsid w:val="00A4443A"/>
    <w:rsid w:val="00AB2556"/>
    <w:rsid w:val="00AD7770"/>
    <w:rsid w:val="00AF2DFA"/>
    <w:rsid w:val="00B20B22"/>
    <w:rsid w:val="00B524D3"/>
    <w:rsid w:val="00B55CFF"/>
    <w:rsid w:val="00B87086"/>
    <w:rsid w:val="00BD1D27"/>
    <w:rsid w:val="00BD42F3"/>
    <w:rsid w:val="00BF1535"/>
    <w:rsid w:val="00C11C19"/>
    <w:rsid w:val="00C80242"/>
    <w:rsid w:val="00CA4B77"/>
    <w:rsid w:val="00CB0930"/>
    <w:rsid w:val="00CB21C2"/>
    <w:rsid w:val="00CD5179"/>
    <w:rsid w:val="00CE7E06"/>
    <w:rsid w:val="00D02B79"/>
    <w:rsid w:val="00D12E1E"/>
    <w:rsid w:val="00D33393"/>
    <w:rsid w:val="00D346ED"/>
    <w:rsid w:val="00DA2667"/>
    <w:rsid w:val="00DB1279"/>
    <w:rsid w:val="00DB5C3D"/>
    <w:rsid w:val="00DC2FDB"/>
    <w:rsid w:val="00DE207D"/>
    <w:rsid w:val="00DF61C8"/>
    <w:rsid w:val="00E2547C"/>
    <w:rsid w:val="00E46D1B"/>
    <w:rsid w:val="00E7267E"/>
    <w:rsid w:val="00E83EE1"/>
    <w:rsid w:val="00EE6A7C"/>
    <w:rsid w:val="00F02351"/>
    <w:rsid w:val="00F41010"/>
    <w:rsid w:val="00F8707E"/>
    <w:rsid w:val="00F97C36"/>
    <w:rsid w:val="00FB7A65"/>
    <w:rsid w:val="00FD3028"/>
    <w:rsid w:val="05AA0535"/>
    <w:rsid w:val="07243FEE"/>
    <w:rsid w:val="0B1B102D"/>
    <w:rsid w:val="0DD11160"/>
    <w:rsid w:val="0E286250"/>
    <w:rsid w:val="123B49B0"/>
    <w:rsid w:val="17CE7E68"/>
    <w:rsid w:val="1AAB4D5C"/>
    <w:rsid w:val="1BBE01F3"/>
    <w:rsid w:val="1DB763D2"/>
    <w:rsid w:val="1E5242E8"/>
    <w:rsid w:val="20935935"/>
    <w:rsid w:val="2188556F"/>
    <w:rsid w:val="29EC7621"/>
    <w:rsid w:val="312E242D"/>
    <w:rsid w:val="3A992100"/>
    <w:rsid w:val="3C450C92"/>
    <w:rsid w:val="40E37C31"/>
    <w:rsid w:val="46040D75"/>
    <w:rsid w:val="4709248B"/>
    <w:rsid w:val="494D2A33"/>
    <w:rsid w:val="4EBC3351"/>
    <w:rsid w:val="4FD07C0D"/>
    <w:rsid w:val="528648C0"/>
    <w:rsid w:val="52EF6909"/>
    <w:rsid w:val="56A30136"/>
    <w:rsid w:val="6D560CEB"/>
    <w:rsid w:val="6D836174"/>
    <w:rsid w:val="7B382E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7">
    <w:name w:val="page number"/>
    <w:basedOn w:val="6"/>
    <w:qFormat/>
    <w:uiPriority w:val="0"/>
  </w:style>
  <w:style w:type="character" w:customStyle="1" w:styleId="8">
    <w:name w:val="页眉 字符"/>
    <w:basedOn w:val="6"/>
    <w:link w:val="3"/>
    <w:semiHidden/>
    <w:qFormat/>
    <w:uiPriority w:val="99"/>
    <w:rPr>
      <w:sz w:val="18"/>
      <w:szCs w:val="18"/>
    </w:rPr>
  </w:style>
  <w:style w:type="character" w:customStyle="1" w:styleId="9">
    <w:name w:val="页脚 字符"/>
    <w:basedOn w:val="6"/>
    <w:link w:val="2"/>
    <w:semiHidden/>
    <w:qFormat/>
    <w:uiPriority w:val="99"/>
    <w:rPr>
      <w:sz w:val="18"/>
      <w:szCs w:val="18"/>
    </w:rPr>
  </w:style>
  <w:style w:type="paragraph" w:customStyle="1" w:styleId="10">
    <w:name w:val="正文1 Char Char Char"/>
    <w:basedOn w:val="1"/>
    <w:qFormat/>
    <w:uiPriority w:val="0"/>
    <w:pPr>
      <w:spacing w:line="360" w:lineRule="auto"/>
      <w:ind w:firstLine="200" w:firstLineChars="200"/>
    </w:p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3250</Words>
  <Characters>3460</Characters>
  <Lines>25</Lines>
  <Paragraphs>7</Paragraphs>
  <TotalTime>0</TotalTime>
  <ScaleCrop>false</ScaleCrop>
  <LinksUpToDate>false</LinksUpToDate>
  <CharactersWithSpaces>3473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2022-05-06T00:50:00Z</dcterms:created>
  <dc:creator>微软用户</dc:creator>
  <cp:lastModifiedBy>吴金蔓</cp:lastModifiedBy>
  <dcterms:modified xsi:type="dcterms:W3CDTF">2023-04-13T01:43:40Z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3AFD59D2DB7B4079A0F6FA750BBA4B16</vt:lpwstr>
  </property>
</Properties>
</file>