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135F53F">
      <w:pPr>
        <w:pStyle w:val="2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225"/>
        <w:jc w:val="center"/>
        <w:textAlignment w:val="auto"/>
        <w:rPr>
          <w:rStyle w:val="16"/>
          <w:rFonts w:hint="eastAsia" w:ascii="宋体" w:hAnsi="宋体" w:eastAsia="宋体" w:cs="宋体"/>
          <w:b/>
          <w:bCs/>
          <w:sz w:val="43"/>
          <w:szCs w:val="43"/>
          <w:lang w:eastAsia="zh-CN"/>
        </w:rPr>
      </w:pPr>
      <w:r>
        <w:rPr>
          <w:rStyle w:val="16"/>
          <w:rFonts w:hint="eastAsia" w:cs="宋体"/>
          <w:b/>
          <w:bCs/>
          <w:sz w:val="43"/>
          <w:szCs w:val="43"/>
          <w:lang w:eastAsia="zh-CN"/>
        </w:rPr>
        <w:t>海南省老年病医院</w:t>
      </w:r>
    </w:p>
    <w:p w14:paraId="79969916">
      <w:pPr>
        <w:pStyle w:val="2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225"/>
        <w:jc w:val="center"/>
        <w:textAlignment w:val="auto"/>
        <w:rPr>
          <w:rFonts w:hint="eastAsia" w:ascii="宋体" w:hAnsi="宋体" w:eastAsia="宋体" w:cs="宋体"/>
          <w:kern w:val="0"/>
          <w:sz w:val="24"/>
          <w:szCs w:val="24"/>
        </w:rPr>
      </w:pPr>
      <w:r>
        <w:rPr>
          <w:rStyle w:val="16"/>
          <w:rFonts w:hint="eastAsia" w:cs="宋体"/>
          <w:b/>
          <w:bCs/>
          <w:sz w:val="43"/>
          <w:szCs w:val="43"/>
          <w:lang w:val="en-US" w:eastAsia="zh-CN"/>
        </w:rPr>
        <w:t>2022年</w:t>
      </w:r>
      <w:r>
        <w:rPr>
          <w:rStyle w:val="16"/>
          <w:rFonts w:hint="eastAsia" w:ascii="宋体" w:hAnsi="宋体" w:eastAsia="宋体" w:cs="宋体"/>
          <w:b/>
          <w:bCs/>
          <w:sz w:val="43"/>
          <w:szCs w:val="43"/>
        </w:rPr>
        <w:t>新冠疫情防控经费项目支出绩效自评报告</w:t>
      </w:r>
      <w:r>
        <w:rPr>
          <w:rStyle w:val="16"/>
          <w:rFonts w:hint="eastAsia" w:ascii="宋体" w:hAnsi="宋体" w:eastAsia="宋体" w:cs="宋体"/>
          <w:b/>
          <w:bCs/>
        </w:rPr>
        <w:t xml:space="preserve"> </w:t>
      </w:r>
    </w:p>
    <w:p w14:paraId="01DA77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 xml:space="preserve">一、项目概况    </w:t>
      </w:r>
    </w:p>
    <w:p w14:paraId="090DD8B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 xml:space="preserve">（一）项目基本情况：立项情况、实施主体项目、资金及主要内容  </w:t>
      </w:r>
    </w:p>
    <w:p w14:paraId="023FDAE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预算单位 海南省老年病医院 的项目 新冠疫情防控经费属于部门项目</w:t>
      </w:r>
    </w:p>
    <w:p w14:paraId="380C3B3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主管部门为省卫生健康委员会</w:t>
      </w:r>
    </w:p>
    <w:p w14:paraId="18C7DF6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项目负责人为：薛根山</w:t>
      </w:r>
    </w:p>
    <w:p w14:paraId="273D65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联系电话：13876901848</w:t>
      </w:r>
    </w:p>
    <w:p w14:paraId="6881783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 xml:space="preserve">项目概述如下：开展新冠疫情防控督导、流调、消杀及配送新冠疫苗所产生的运输等相关经费。   </w:t>
      </w:r>
    </w:p>
    <w:p w14:paraId="6BBFA3B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 xml:space="preserve">（二）项目年度预算绩效目标和绩效指标设定情况  </w:t>
      </w:r>
    </w:p>
    <w:p w14:paraId="4DF0F0B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kern w:val="0"/>
          <w:sz w:val="32"/>
          <w:szCs w:val="32"/>
        </w:rPr>
      </w:pPr>
      <w:r>
        <w:rPr>
          <w:rFonts w:hint="eastAsia" w:ascii="宋体" w:hAnsi="宋体" w:eastAsia="宋体" w:cs="宋体"/>
          <w:kern w:val="0"/>
          <w:sz w:val="32"/>
          <w:szCs w:val="32"/>
        </w:rPr>
        <w:t>（包括预期总目标及阶段性目标，衡量绩效目标实现程度的评价指标、标准等）</w:t>
      </w:r>
    </w:p>
    <w:p w14:paraId="4C7F64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 xml:space="preserve">总体目标：开展核酸检测后，无需再向第三方检测机构送检，可以方便患者、患者家属及单位职工按要求检测的需求，并缩短检测时限，方便人民群众的就医，必要时可承担部分社会大规模筛查需求。  </w:t>
      </w:r>
    </w:p>
    <w:p w14:paraId="4A21F8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2022年年度目标：结合单位基本情况，建设符合新冠病毒核酸检测的实验室，按要求购置相关检测设备，与大数据联接好相关网络，做好预试验，具备验收条件。</w:t>
      </w:r>
    </w:p>
    <w:p w14:paraId="48F1056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当年年度目标完成情况：通过各部门通力合作，完成了2022年的目标，并顺利通过技术验收和生物安全验收，取得了上级部门允许开展试验的通知，具备了开展试验的所有条件。并在12月10日自行开展了检测工作，取得了良好结果。</w:t>
      </w:r>
    </w:p>
    <w:p w14:paraId="01437E0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二、项目决策及资金使用管理情况</w:t>
      </w:r>
    </w:p>
    <w:p w14:paraId="2FA0193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（一）项目决策情况（包括决策过程和结果）</w:t>
      </w:r>
    </w:p>
    <w:p w14:paraId="5357670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检验科在收到</w:t>
      </w:r>
      <w:bookmarkStart w:id="0" w:name="_GoBack"/>
      <w:bookmarkEnd w:id="0"/>
      <w:r>
        <w:rPr>
          <w:rFonts w:hint="eastAsia" w:cs="宋体"/>
          <w:kern w:val="0"/>
          <w:sz w:val="32"/>
          <w:szCs w:val="32"/>
          <w:lang w:eastAsia="zh-CN"/>
        </w:rPr>
        <w:t>省财政厅</w:t>
      </w:r>
      <w:r>
        <w:rPr>
          <w:rFonts w:hint="eastAsia" w:ascii="宋体" w:hAnsi="宋体" w:eastAsia="宋体" w:cs="宋体"/>
          <w:kern w:val="0"/>
          <w:sz w:val="32"/>
          <w:szCs w:val="32"/>
        </w:rPr>
        <w:t>相关文件和上级部门文件后，按单位要求，召开了科室所在支部的党政联席会，介绍了我院建设核酸检测实验室采用方案的优劣势，最后形成会议决议，购置方舱实验室方式建设核酸检测实验室，按照《医疗设备、服务采购审批制度》，提交购置需求，按照医院采购流程进行招标采购。</w:t>
      </w:r>
    </w:p>
    <w:p w14:paraId="038EF16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（二）项目资金（包括财政资金、自筹资金等）安排落实、总投入等情况</w:t>
      </w:r>
    </w:p>
    <w:p w14:paraId="439768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预算情况如下：</w:t>
      </w:r>
    </w:p>
    <w:p w14:paraId="3D42359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资金总额-年初预算数0元，资金总额-全年预算数3</w:t>
      </w:r>
      <w:r>
        <w:rPr>
          <w:rFonts w:hint="eastAsia" w:ascii="宋体" w:hAnsi="宋体" w:eastAsia="宋体" w:cs="宋体"/>
          <w:kern w:val="0"/>
          <w:sz w:val="32"/>
          <w:szCs w:val="32"/>
          <w:lang w:val="en-US"/>
        </w:rPr>
        <w:t>,</w:t>
      </w:r>
      <w:r>
        <w:rPr>
          <w:rFonts w:hint="eastAsia" w:ascii="宋体" w:hAnsi="宋体" w:eastAsia="宋体" w:cs="宋体"/>
          <w:kern w:val="0"/>
          <w:sz w:val="32"/>
          <w:szCs w:val="32"/>
        </w:rPr>
        <w:t>500</w:t>
      </w:r>
      <w:r>
        <w:rPr>
          <w:rFonts w:hint="eastAsia" w:ascii="宋体" w:hAnsi="宋体" w:eastAsia="宋体" w:cs="宋体"/>
          <w:kern w:val="0"/>
          <w:sz w:val="32"/>
          <w:szCs w:val="32"/>
          <w:lang w:val="en-US"/>
        </w:rPr>
        <w:t>,</w:t>
      </w:r>
      <w:r>
        <w:rPr>
          <w:rFonts w:hint="eastAsia" w:ascii="宋体" w:hAnsi="宋体" w:eastAsia="宋体" w:cs="宋体"/>
          <w:kern w:val="0"/>
          <w:sz w:val="32"/>
          <w:szCs w:val="32"/>
        </w:rPr>
        <w:t>000元，财政资金-年初预算数0元</w:t>
      </w:r>
      <w:r>
        <w:rPr>
          <w:rFonts w:hint="eastAsia" w:ascii="宋体" w:hAnsi="宋体" w:eastAsia="宋体" w:cs="宋体"/>
          <w:kern w:val="0"/>
          <w:sz w:val="32"/>
          <w:szCs w:val="32"/>
          <w:lang w:val="en-US"/>
        </w:rPr>
        <w:t>,</w:t>
      </w:r>
      <w:r>
        <w:rPr>
          <w:rFonts w:hint="eastAsia" w:ascii="宋体" w:hAnsi="宋体" w:eastAsia="宋体" w:cs="宋体"/>
          <w:kern w:val="0"/>
          <w:sz w:val="32"/>
          <w:szCs w:val="32"/>
        </w:rPr>
        <w:t>财政资金-全年预算数3</w:t>
      </w:r>
      <w:r>
        <w:rPr>
          <w:rFonts w:hint="eastAsia" w:ascii="宋体" w:hAnsi="宋体" w:eastAsia="宋体" w:cs="宋体"/>
          <w:kern w:val="0"/>
          <w:sz w:val="32"/>
          <w:szCs w:val="32"/>
          <w:lang w:val="en-US"/>
        </w:rPr>
        <w:t>,</w:t>
      </w:r>
      <w:r>
        <w:rPr>
          <w:rFonts w:hint="eastAsia" w:ascii="宋体" w:hAnsi="宋体" w:eastAsia="宋体" w:cs="宋体"/>
          <w:kern w:val="0"/>
          <w:sz w:val="32"/>
          <w:szCs w:val="32"/>
        </w:rPr>
        <w:t>500</w:t>
      </w:r>
      <w:r>
        <w:rPr>
          <w:rFonts w:hint="eastAsia" w:ascii="宋体" w:hAnsi="宋体" w:eastAsia="宋体" w:cs="宋体"/>
          <w:kern w:val="0"/>
          <w:sz w:val="32"/>
          <w:szCs w:val="32"/>
          <w:lang w:val="en-US"/>
        </w:rPr>
        <w:t>,</w:t>
      </w:r>
      <w:r>
        <w:rPr>
          <w:rFonts w:hint="eastAsia" w:ascii="宋体" w:hAnsi="宋体" w:eastAsia="宋体" w:cs="宋体"/>
          <w:kern w:val="0"/>
          <w:sz w:val="32"/>
          <w:szCs w:val="32"/>
        </w:rPr>
        <w:t>000元，专户-年初预算数0元，专户全年预算数0元，单位年初预算数0元，单位全年预算数3</w:t>
      </w:r>
      <w:r>
        <w:rPr>
          <w:rFonts w:hint="eastAsia" w:ascii="宋体" w:hAnsi="宋体" w:eastAsia="宋体" w:cs="宋体"/>
          <w:kern w:val="0"/>
          <w:sz w:val="32"/>
          <w:szCs w:val="32"/>
          <w:lang w:val="en-US"/>
        </w:rPr>
        <w:t>,</w:t>
      </w:r>
      <w:r>
        <w:rPr>
          <w:rFonts w:hint="eastAsia" w:ascii="宋体" w:hAnsi="宋体" w:eastAsia="宋体" w:cs="宋体"/>
          <w:kern w:val="0"/>
          <w:sz w:val="32"/>
          <w:szCs w:val="32"/>
        </w:rPr>
        <w:t>500</w:t>
      </w:r>
      <w:r>
        <w:rPr>
          <w:rFonts w:hint="eastAsia" w:ascii="宋体" w:hAnsi="宋体" w:eastAsia="宋体" w:cs="宋体"/>
          <w:kern w:val="0"/>
          <w:sz w:val="32"/>
          <w:szCs w:val="32"/>
          <w:lang w:val="en-US"/>
        </w:rPr>
        <w:t>,</w:t>
      </w:r>
      <w:r>
        <w:rPr>
          <w:rFonts w:hint="eastAsia" w:ascii="宋体" w:hAnsi="宋体" w:eastAsia="宋体" w:cs="宋体"/>
          <w:kern w:val="0"/>
          <w:sz w:val="32"/>
          <w:szCs w:val="32"/>
        </w:rPr>
        <w:t>000元。</w:t>
      </w:r>
    </w:p>
    <w:p w14:paraId="6D89E5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（三）项目资金（主要是指财政资金）实际使用情况</w:t>
      </w:r>
    </w:p>
    <w:p w14:paraId="0964CC2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color w:val="auto"/>
          <w:kern w:val="0"/>
          <w:sz w:val="32"/>
          <w:szCs w:val="32"/>
        </w:rPr>
      </w:pPr>
      <w:r>
        <w:rPr>
          <w:rFonts w:hint="eastAsia" w:ascii="宋体" w:hAnsi="宋体" w:eastAsia="宋体" w:cs="宋体"/>
          <w:kern w:val="0"/>
          <w:sz w:val="32"/>
          <w:szCs w:val="32"/>
        </w:rPr>
        <w:t>资金执行情</w:t>
      </w:r>
      <w:r>
        <w:rPr>
          <w:rFonts w:hint="eastAsia" w:ascii="宋体" w:hAnsi="宋体" w:eastAsia="宋体" w:cs="宋体"/>
          <w:color w:val="auto"/>
          <w:kern w:val="0"/>
          <w:sz w:val="32"/>
          <w:szCs w:val="32"/>
        </w:rPr>
        <w:t>况如下：</w:t>
      </w:r>
    </w:p>
    <w:p w14:paraId="4463E3D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color w:val="auto"/>
          <w:kern w:val="0"/>
          <w:sz w:val="32"/>
          <w:szCs w:val="32"/>
          <w:lang w:val="en-US" w:eastAsia="zh-CN"/>
        </w:rPr>
      </w:pPr>
      <w:r>
        <w:rPr>
          <w:rFonts w:hint="eastAsia" w:ascii="宋体" w:hAnsi="宋体" w:eastAsia="宋体" w:cs="宋体"/>
          <w:color w:val="auto"/>
          <w:kern w:val="0"/>
          <w:sz w:val="32"/>
          <w:szCs w:val="32"/>
        </w:rPr>
        <w:t>资金总额-全年执行数</w:t>
      </w:r>
      <w:r>
        <w:rPr>
          <w:rFonts w:hint="eastAsia" w:ascii="宋体" w:hAnsi="宋体" w:eastAsia="宋体" w:cs="宋体"/>
          <w:color w:val="auto"/>
          <w:kern w:val="0"/>
          <w:sz w:val="32"/>
          <w:szCs w:val="32"/>
          <w:lang w:val="en-US"/>
        </w:rPr>
        <w:t>3,50</w:t>
      </w:r>
      <w:r>
        <w:rPr>
          <w:rFonts w:hint="eastAsia" w:ascii="宋体" w:hAnsi="宋体" w:eastAsia="宋体" w:cs="宋体"/>
          <w:color w:val="auto"/>
          <w:kern w:val="0"/>
          <w:sz w:val="32"/>
          <w:szCs w:val="32"/>
          <w:lang w:val="en-US" w:eastAsia="zh-CN"/>
        </w:rPr>
        <w:t>0,000</w:t>
      </w:r>
      <w:r>
        <w:rPr>
          <w:rFonts w:hint="eastAsia" w:ascii="宋体" w:hAnsi="宋体" w:eastAsia="宋体" w:cs="宋体"/>
          <w:color w:val="auto"/>
          <w:kern w:val="0"/>
          <w:sz w:val="32"/>
          <w:szCs w:val="32"/>
        </w:rPr>
        <w:t>元，资金总额-执行率100.00%</w:t>
      </w:r>
      <w:r>
        <w:rPr>
          <w:rFonts w:hint="eastAsia" w:ascii="宋体" w:hAnsi="宋体" w:eastAsia="宋体" w:cs="宋体"/>
          <w:kern w:val="0"/>
          <w:sz w:val="32"/>
          <w:szCs w:val="32"/>
        </w:rPr>
        <w:t>。</w:t>
      </w:r>
    </w:p>
    <w:p w14:paraId="442177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kern w:val="0"/>
          <w:sz w:val="32"/>
          <w:szCs w:val="32"/>
        </w:rPr>
      </w:pPr>
      <w:r>
        <w:rPr>
          <w:rFonts w:hint="eastAsia" w:ascii="宋体" w:hAnsi="宋体" w:eastAsia="宋体" w:cs="宋体"/>
          <w:color w:val="auto"/>
          <w:kern w:val="0"/>
          <w:sz w:val="32"/>
          <w:szCs w:val="32"/>
        </w:rPr>
        <w:t>其中：</w:t>
      </w:r>
    </w:p>
    <w:p w14:paraId="615BD7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color w:val="auto"/>
          <w:kern w:val="0"/>
          <w:sz w:val="32"/>
          <w:szCs w:val="32"/>
        </w:rPr>
        <w:t>财政资金-全年执行数</w:t>
      </w:r>
      <w:r>
        <w:rPr>
          <w:rFonts w:hint="eastAsia" w:ascii="宋体" w:hAnsi="宋体" w:eastAsia="宋体" w:cs="宋体"/>
          <w:color w:val="auto"/>
          <w:kern w:val="0"/>
          <w:sz w:val="32"/>
          <w:szCs w:val="32"/>
          <w:lang w:val="en-US"/>
        </w:rPr>
        <w:t>3,50</w:t>
      </w:r>
      <w:r>
        <w:rPr>
          <w:rFonts w:hint="eastAsia" w:ascii="宋体" w:hAnsi="宋体" w:eastAsia="宋体" w:cs="宋体"/>
          <w:color w:val="auto"/>
          <w:kern w:val="0"/>
          <w:sz w:val="32"/>
          <w:szCs w:val="32"/>
          <w:lang w:val="en-US" w:eastAsia="zh-CN"/>
        </w:rPr>
        <w:t>0,000</w:t>
      </w:r>
      <w:r>
        <w:rPr>
          <w:rFonts w:hint="eastAsia" w:ascii="宋体" w:hAnsi="宋体" w:eastAsia="宋体" w:cs="宋体"/>
          <w:color w:val="auto"/>
          <w:kern w:val="0"/>
          <w:sz w:val="32"/>
          <w:szCs w:val="32"/>
        </w:rPr>
        <w:t>元，财政资金-执行率100%</w:t>
      </w:r>
      <w:r>
        <w:rPr>
          <w:rFonts w:hint="eastAsia" w:cs="宋体"/>
          <w:color w:val="auto"/>
          <w:kern w:val="0"/>
          <w:sz w:val="32"/>
          <w:szCs w:val="32"/>
          <w:lang w:eastAsia="zh-CN"/>
        </w:rPr>
        <w:t>，</w:t>
      </w:r>
      <w:r>
        <w:rPr>
          <w:rFonts w:hint="eastAsia" w:ascii="宋体" w:hAnsi="宋体" w:eastAsia="宋体" w:cs="宋体"/>
          <w:color w:val="auto"/>
          <w:kern w:val="0"/>
          <w:sz w:val="32"/>
          <w:szCs w:val="32"/>
        </w:rPr>
        <w:t>专户全年执行数0元，</w:t>
      </w:r>
      <w:r>
        <w:rPr>
          <w:rFonts w:hint="eastAsia" w:ascii="宋体" w:hAnsi="宋体" w:eastAsia="宋体" w:cs="宋体"/>
          <w:kern w:val="0"/>
          <w:sz w:val="32"/>
          <w:szCs w:val="32"/>
        </w:rPr>
        <w:t>专户-执行率</w:t>
      </w:r>
      <w:r>
        <w:rPr>
          <w:rFonts w:hint="eastAsia" w:cs="宋体"/>
          <w:kern w:val="0"/>
          <w:sz w:val="32"/>
          <w:szCs w:val="32"/>
          <w:lang w:val="en-US" w:eastAsia="zh-CN"/>
        </w:rPr>
        <w:t>0</w:t>
      </w:r>
      <w:r>
        <w:rPr>
          <w:rFonts w:hint="eastAsia" w:ascii="宋体" w:hAnsi="宋体" w:eastAsia="宋体" w:cs="宋体"/>
          <w:kern w:val="0"/>
          <w:sz w:val="32"/>
          <w:szCs w:val="32"/>
        </w:rPr>
        <w:t>%</w:t>
      </w:r>
      <w:r>
        <w:rPr>
          <w:rFonts w:hint="eastAsia" w:ascii="宋体" w:hAnsi="宋体" w:eastAsia="宋体" w:cs="宋体"/>
          <w:kern w:val="0"/>
          <w:sz w:val="32"/>
          <w:szCs w:val="32"/>
          <w:lang w:val="en-US"/>
        </w:rPr>
        <w:t>;</w:t>
      </w:r>
      <w:r>
        <w:rPr>
          <w:rFonts w:hint="eastAsia" w:ascii="宋体" w:hAnsi="宋体" w:eastAsia="宋体" w:cs="宋体"/>
          <w:kern w:val="0"/>
          <w:sz w:val="32"/>
          <w:szCs w:val="32"/>
        </w:rPr>
        <w:t>单位全年执行数0元，单位全年执行率</w:t>
      </w:r>
      <w:r>
        <w:rPr>
          <w:rFonts w:hint="eastAsia" w:cs="宋体"/>
          <w:kern w:val="0"/>
          <w:sz w:val="32"/>
          <w:szCs w:val="32"/>
          <w:lang w:val="en-US" w:eastAsia="zh-CN"/>
        </w:rPr>
        <w:t>100</w:t>
      </w:r>
      <w:r>
        <w:rPr>
          <w:rFonts w:hint="eastAsia" w:ascii="宋体" w:hAnsi="宋体" w:eastAsia="宋体" w:cs="宋体"/>
          <w:kern w:val="0"/>
          <w:sz w:val="32"/>
          <w:szCs w:val="32"/>
        </w:rPr>
        <w:t>%。</w:t>
      </w:r>
    </w:p>
    <w:p w14:paraId="72DB6F0C">
      <w:pPr>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项目资金管理情况（包括管理制度、办法的制订及执行情况）</w:t>
      </w:r>
    </w:p>
    <w:p w14:paraId="3F1D668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19" w:leftChars="8" w:right="0" w:rightChars="0" w:firstLine="818" w:firstLineChars="264"/>
        <w:jc w:val="both"/>
        <w:textAlignment w:val="auto"/>
        <w:rPr>
          <w:rFonts w:hint="eastAsia" w:ascii="宋体" w:hAnsi="宋体" w:eastAsia="宋体" w:cs="宋体"/>
          <w:color w:val="auto"/>
          <w:sz w:val="32"/>
          <w:szCs w:val="32"/>
          <w:lang w:val="en-US"/>
        </w:rPr>
      </w:pPr>
      <w:r>
        <w:rPr>
          <w:rFonts w:hint="eastAsia" w:ascii="宋体" w:hAnsi="宋体" w:eastAsia="宋体" w:cs="宋体"/>
          <w:color w:val="auto"/>
          <w:sz w:val="31"/>
          <w:szCs w:val="31"/>
          <w:lang w:val="en-US" w:eastAsia="zh-CN" w:bidi="ar"/>
        </w:rPr>
        <w:t>我院严格执行省财政厅2022年海南省本级部门预算，项目经费按照计划安排，根据实际工作情况开支，做到专款专用。遵守《政府会计制度》《医院财务制度》《海南省项目预算管理暂行办法》，</w:t>
      </w:r>
      <w:r>
        <w:rPr>
          <w:rFonts w:hint="eastAsia" w:ascii="宋体" w:hAnsi="宋体" w:eastAsia="宋体" w:cs="宋体"/>
          <w:i w:val="0"/>
          <w:iCs w:val="0"/>
          <w:caps w:val="0"/>
          <w:color w:val="auto"/>
          <w:spacing w:val="0"/>
          <w:sz w:val="31"/>
          <w:szCs w:val="31"/>
        </w:rPr>
        <w:t>制定了《医疗设备、服务采购审批制度》《进口医疗设备采购审批及使用管理制度》，</w:t>
      </w:r>
      <w:r>
        <w:rPr>
          <w:rFonts w:hint="eastAsia" w:ascii="宋体" w:hAnsi="宋体" w:eastAsia="宋体" w:cs="宋体"/>
          <w:color w:val="auto"/>
          <w:spacing w:val="20"/>
          <w:kern w:val="21"/>
          <w:sz w:val="31"/>
          <w:szCs w:val="31"/>
          <w:lang w:val="en-US" w:eastAsia="zh-CN" w:bidi="ar"/>
        </w:rPr>
        <w:t>《单位采购内部控制制度》</w:t>
      </w:r>
      <w:r>
        <w:rPr>
          <w:rFonts w:hint="eastAsia" w:ascii="宋体" w:hAnsi="宋体" w:eastAsia="宋体" w:cs="宋体"/>
          <w:i w:val="0"/>
          <w:iCs w:val="0"/>
          <w:caps w:val="0"/>
          <w:color w:val="auto"/>
          <w:spacing w:val="0"/>
          <w:sz w:val="31"/>
          <w:szCs w:val="31"/>
        </w:rPr>
        <w:t>《经费审批及报销制度》</w:t>
      </w:r>
      <w:r>
        <w:rPr>
          <w:rFonts w:hint="eastAsia" w:ascii="宋体" w:hAnsi="宋体" w:eastAsia="宋体" w:cs="宋体"/>
          <w:color w:val="auto"/>
          <w:spacing w:val="20"/>
          <w:kern w:val="21"/>
          <w:sz w:val="31"/>
          <w:szCs w:val="31"/>
          <w:lang w:val="en-US" w:eastAsia="zh-CN" w:bidi="ar"/>
        </w:rPr>
        <w:t>等一系列制度，</w:t>
      </w:r>
      <w:r>
        <w:rPr>
          <w:rFonts w:hint="eastAsia" w:ascii="宋体" w:hAnsi="宋体" w:eastAsia="宋体" w:cs="宋体"/>
          <w:i w:val="0"/>
          <w:iCs w:val="0"/>
          <w:caps w:val="0"/>
          <w:color w:val="auto"/>
          <w:spacing w:val="0"/>
          <w:sz w:val="31"/>
          <w:szCs w:val="31"/>
        </w:rPr>
        <w:t>按照设备金额分类完成采购项目前期工作</w:t>
      </w:r>
      <w:r>
        <w:rPr>
          <w:rFonts w:hint="eastAsia" w:ascii="宋体" w:hAnsi="宋体" w:eastAsia="宋体" w:cs="宋体"/>
          <w:color w:val="auto"/>
          <w:spacing w:val="20"/>
          <w:kern w:val="21"/>
          <w:sz w:val="31"/>
          <w:szCs w:val="31"/>
          <w:lang w:val="en-US" w:eastAsia="zh-CN" w:bidi="ar"/>
        </w:rPr>
        <w:t>，</w:t>
      </w:r>
      <w:r>
        <w:rPr>
          <w:rFonts w:hint="eastAsia" w:ascii="宋体" w:hAnsi="宋体" w:eastAsia="宋体" w:cs="宋体"/>
          <w:i w:val="0"/>
          <w:iCs w:val="0"/>
          <w:caps w:val="0"/>
          <w:color w:val="auto"/>
          <w:spacing w:val="0"/>
          <w:sz w:val="31"/>
          <w:szCs w:val="31"/>
        </w:rPr>
        <w:t>对项目资金进行规范管理，专款专用，严格按照规定流程审批和执行，并积极推进项目采购进度及款项支付进度。</w:t>
      </w:r>
    </w:p>
    <w:p w14:paraId="1E3A0C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三、项目组织实施情况</w:t>
      </w:r>
    </w:p>
    <w:p w14:paraId="14F3F18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（一）项目组织情况（包括项目招投标情况、调整情况、完成验收等）</w:t>
      </w:r>
    </w:p>
    <w:p w14:paraId="77B28C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按合同要求，验收合格后，所购置设备应保证三年的使用期，在此期间，设备出现故障，中标公司应无偿维修好。</w:t>
      </w:r>
    </w:p>
    <w:p w14:paraId="1568AF38">
      <w:pPr>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项目管理情况（包括项目管理制度建设、日常检查监督等情况）</w:t>
      </w:r>
    </w:p>
    <w:p w14:paraId="60855C0D">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620" w:firstLineChars="200"/>
        <w:textAlignment w:val="auto"/>
        <w:rPr>
          <w:rFonts w:hint="eastAsia" w:ascii="宋体" w:hAnsi="宋体" w:eastAsia="宋体" w:cs="宋体"/>
          <w:kern w:val="0"/>
          <w:sz w:val="32"/>
          <w:szCs w:val="32"/>
        </w:rPr>
      </w:pPr>
      <w:r>
        <w:rPr>
          <w:rFonts w:hint="eastAsia" w:ascii="宋体" w:hAnsi="宋体" w:eastAsia="宋体" w:cs="宋体"/>
          <w:i w:val="0"/>
          <w:iCs w:val="0"/>
          <w:caps w:val="0"/>
          <w:color w:val="auto"/>
          <w:spacing w:val="0"/>
          <w:sz w:val="31"/>
          <w:szCs w:val="31"/>
        </w:rPr>
        <w:t>医院对验收后的设备建立设备档案，按照《医疗设备巡查、保养、维修制度》《急救和生命支持类医疗设备管理制度》做好日常巡查工作及设备养护工作，另外根据《医疗器械质量管理工作自查制度》《医疗器械不良反应事件监测报告管理制度》做好设备使用过程监督，记录风险及问题。</w:t>
      </w:r>
    </w:p>
    <w:p w14:paraId="48EDDB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四、项目绩效情况</w:t>
      </w:r>
    </w:p>
    <w:p w14:paraId="57CB2A9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（一）项目绩效目标完成情况。将项目实际完成情况与申报的绩效目标对比，从项目的经济性、效率性、有效性和可持续性等方面对项目绩效进行量化、具体分析。</w:t>
      </w:r>
    </w:p>
    <w:p w14:paraId="1F6FD4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经济性：按照相关文件要求，我院所建核酸实验室应配备三台扩增仪及相关设备。根据我院的现状，我们配备了三台96孔的扩增仪和三台核酸提取仪。目前因科室具备资质人员较少，为防止出现大批量标本情况，还购置了分杯系统。另外，还购置了相关的配套设备，如:生物安全柜、洁净工作台、高压灭菌锅、冷藏柜、冷冻柜、不间断电源、移动紫外线、混匀仪等等设备。及方舱主体实验室和配套用房，所购设备维保不低于三年，项目建设是交钥匙工程。</w:t>
      </w:r>
    </w:p>
    <w:p w14:paraId="5951E61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效率性：项目建设速度在政策条件下，是同期、同批项目中最快的。项目从接到通知至投入使用，用时约7个月，较同类项目快约5个月。项目质量方面，项目的主舱体在省内是比较大的一个，整个实验室无论是在分区、功能布局，还是在配套设施上，在方舱类实验室中是较好的一个。</w:t>
      </w:r>
    </w:p>
    <w:p w14:paraId="3551140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有效性：由于单位领导关心重视项目进展情况，才使该项目能在较快时间投入使用，赶上了疫情放开后的新冠病毒爆发高峰期。项目从12月10日投入使用，解决了单位检测新冠病毒的难题，极大方便了患者、职工和家属们的需求，也满足了社会人员的需求。至12月31日，在短短的20天左右，共检测了1.3万余人次的检测，其中社会人员检测占比近一半，项目的开展极大方便了人民群众需求。</w:t>
      </w:r>
    </w:p>
    <w:p w14:paraId="15AE4CB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可持续性：现阶段疫情管控已全面放开，新冠病毒核酸检测需求减少。在相关政策允许的情况下，实验室将转变检测方向，开展一些临床、科研需要的项目，满足临床诊疗需求和科研需求，让项目继续发挥应有的作用。</w:t>
      </w:r>
    </w:p>
    <w:p w14:paraId="19A897C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14:paraId="310EB28B">
      <w:pPr>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60" w:lineRule="auto"/>
        <w:ind w:left="0" w:leftChars="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项目绩效目标未完成情况及原因分析</w:t>
      </w:r>
    </w:p>
    <w:p w14:paraId="08C62E9C">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Chars="200" w:right="0" w:rightChars="0"/>
        <w:textAlignment w:val="auto"/>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已完成。</w:t>
      </w:r>
    </w:p>
    <w:p w14:paraId="36558B1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五、其他需要说明的问题</w:t>
      </w:r>
    </w:p>
    <w:p w14:paraId="7AA5192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（一）后续工作计划</w:t>
      </w:r>
    </w:p>
    <w:p w14:paraId="7012E66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挖掘新冠病毒核酸检测实验室最大潜能，开展检测一些符合本单位临床需求的项目，如：基因检测指导用药、其他流感病毒检测等等，让项目继续发挥作用。</w:t>
      </w:r>
    </w:p>
    <w:p w14:paraId="7E0E0D5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rPr>
        <w:t>（二）主要经验及做法、存在问题和建议</w:t>
      </w:r>
    </w:p>
    <w:p w14:paraId="0D95F3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kern w:val="0"/>
          <w:sz w:val="32"/>
          <w:szCs w:val="32"/>
        </w:rPr>
      </w:pPr>
      <w:r>
        <w:rPr>
          <w:rFonts w:hint="eastAsia" w:ascii="宋体" w:hAnsi="宋体" w:eastAsia="宋体" w:cs="宋体"/>
          <w:kern w:val="0"/>
          <w:sz w:val="32"/>
          <w:szCs w:val="32"/>
          <w:lang w:eastAsia="zh-CN"/>
        </w:rPr>
        <w:t>无。</w:t>
      </w:r>
      <w:r>
        <w:rPr>
          <w:rFonts w:hint="eastAsia" w:ascii="宋体" w:hAnsi="宋体" w:eastAsia="宋体" w:cs="宋体"/>
          <w:kern w:val="0"/>
          <w:sz w:val="32"/>
          <w:szCs w:val="32"/>
        </w:rPr>
        <w:t xml:space="preserve"> </w:t>
      </w:r>
    </w:p>
    <w:sectPr>
      <w:pgSz w:w="11907"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9AB8AF"/>
    <w:multiLevelType w:val="singleLevel"/>
    <w:tmpl w:val="3E9AB8AF"/>
    <w:lvl w:ilvl="0" w:tentative="0">
      <w:start w:val="4"/>
      <w:numFmt w:val="chineseCounting"/>
      <w:suff w:val="nothing"/>
      <w:lvlText w:val="（%1）"/>
      <w:lvlJc w:val="left"/>
      <w:rPr>
        <w:rFonts w:hint="eastAsia"/>
      </w:rPr>
    </w:lvl>
  </w:abstractNum>
  <w:abstractNum w:abstractNumId="1">
    <w:nsid w:val="611EBCF0"/>
    <w:multiLevelType w:val="singleLevel"/>
    <w:tmpl w:val="611EBCF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7"/>
  <w:displayHorizontalDrawingGridEvery w:val="0"/>
  <w:displayVerticalDrawingGridEvery w:val="2"/>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2YmEyYmI1NTM2YjIwMzVkNmJjY2UwYzJjZTA2MTMifQ=="/>
  </w:docVars>
  <w:rsids>
    <w:rsidRoot w:val="00000000"/>
    <w:rsid w:val="13AC7923"/>
    <w:rsid w:val="20510098"/>
    <w:rsid w:val="3E18158D"/>
    <w:rsid w:val="410D73A4"/>
    <w:rsid w:val="59FD5458"/>
    <w:rsid w:val="5A6F20DD"/>
    <w:rsid w:val="6DD469CF"/>
    <w:rsid w:val="766C1E9B"/>
    <w:rsid w:val="771F2A69"/>
    <w:rsid w:val="7F3B04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2">
    <w:name w:val="heading 1"/>
    <w:basedOn w:val="1"/>
    <w:next w:val="1"/>
    <w:qFormat/>
    <w:uiPriority w:val="0"/>
    <w:pPr>
      <w:spacing w:before="0" w:beforeAutospacing="1" w:after="0" w:afterAutospacing="1"/>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spacing w:before="0" w:beforeAutospacing="1" w:after="0" w:afterAutospacing="1"/>
      <w:ind w:left="0" w:right="0"/>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0"/>
    <w:pPr>
      <w:spacing w:before="0" w:beforeAutospacing="1" w:after="0" w:afterAutospacing="1"/>
      <w:ind w:left="0" w:right="0"/>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spacing w:before="0" w:beforeAutospacing="1" w:after="0" w:afterAutospacing="1"/>
      <w:ind w:left="0" w:right="0"/>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0"/>
    <w:pPr>
      <w:spacing w:before="0" w:beforeAutospacing="1" w:after="0" w:afterAutospacing="1"/>
      <w:ind w:left="0" w:right="0"/>
      <w:jc w:val="left"/>
    </w:pPr>
    <w:rPr>
      <w:rFonts w:hint="eastAsia" w:ascii="宋体" w:hAnsi="宋体" w:eastAsia="宋体" w:cs="宋体"/>
      <w:b/>
      <w:bCs/>
      <w:kern w:val="0"/>
      <w:sz w:val="20"/>
      <w:szCs w:val="20"/>
      <w:lang w:val="en-US" w:eastAsia="zh-CN" w:bidi="ar"/>
    </w:rPr>
  </w:style>
  <w:style w:type="paragraph" w:styleId="7">
    <w:name w:val="heading 6"/>
    <w:basedOn w:val="1"/>
    <w:next w:val="1"/>
    <w:qFormat/>
    <w:uiPriority w:val="0"/>
    <w:pPr>
      <w:spacing w:before="0" w:beforeAutospacing="1" w:after="0" w:afterAutospacing="1"/>
      <w:ind w:left="0" w:right="0"/>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unhideWhenUsed/>
    <w:uiPriority w:val="99"/>
  </w:style>
  <w:style w:type="table" w:default="1" w:styleId="10">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12">
    <w:name w:val="19"/>
    <w:basedOn w:val="11"/>
    <w:uiPriority w:val="0"/>
    <w:rPr>
      <w:rFonts w:hint="default" w:ascii="Times New Roman" w:hAnsi="Times New Roman" w:cs="Times New Roman"/>
    </w:rPr>
  </w:style>
  <w:style w:type="paragraph" w:customStyle="1" w:styleId="13">
    <w:name w:val="HTML 预设格式 Char"/>
    <w:basedOn w:val="1"/>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14">
    <w:name w:val="HTML 预设格式 Char Char"/>
    <w:basedOn w:val="1"/>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customStyle="1" w:styleId="15">
    <w:name w:val="10"/>
    <w:basedOn w:val="11"/>
    <w:uiPriority w:val="0"/>
    <w:rPr>
      <w:rFonts w:hint="default" w:ascii="Times New Roman" w:hAnsi="Times New Roman" w:cs="Times New Roman"/>
    </w:rPr>
  </w:style>
  <w:style w:type="character" w:customStyle="1" w:styleId="16">
    <w:name w:val="15"/>
    <w:basedOn w:val="11"/>
    <w:uiPriority w:val="0"/>
    <w:rPr>
      <w:rFonts w:hint="default" w:ascii="Times New Roman" w:hAnsi="Times New Roman" w:cs="Times New Roman"/>
      <w:b/>
      <w:bCs/>
    </w:rPr>
  </w:style>
  <w:style w:type="character" w:customStyle="1" w:styleId="17">
    <w:name w:val="16"/>
    <w:basedOn w:val="11"/>
    <w:uiPriority w:val="0"/>
    <w:rPr>
      <w:rFonts w:hint="default" w:ascii="Times New Roman" w:hAnsi="Times New Roman" w:cs="Times New Roman"/>
    </w:rPr>
  </w:style>
  <w:style w:type="character" w:customStyle="1" w:styleId="18">
    <w:name w:val="17"/>
    <w:basedOn w:val="11"/>
    <w:uiPriority w:val="0"/>
    <w:rPr>
      <w:rFonts w:hint="default" w:ascii="Times New Roman" w:hAnsi="Times New Roman" w:cs="Times New Roman"/>
    </w:rPr>
  </w:style>
  <w:style w:type="character" w:customStyle="1" w:styleId="19">
    <w:name w:val="18"/>
    <w:basedOn w:val="11"/>
    <w:uiPriority w:val="0"/>
    <w:rPr>
      <w:rFonts w:hint="default" w:ascii="Times New Roman" w:hAnsi="Times New Roman" w:cs="Times New Roman"/>
    </w:rPr>
  </w:style>
  <w:style w:type="paragraph" w:customStyle="1" w:styleId="20">
    <w:name w:val="普通(网站) Char"/>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21">
    <w:name w:val="普通(网站) Char Char"/>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2355</Words>
  <Characters>2441</Characters>
  <Lines>1</Lines>
  <Paragraphs>1</Paragraphs>
  <TotalTime>2</TotalTime>
  <ScaleCrop>false</ScaleCrop>
  <LinksUpToDate>false</LinksUpToDate>
  <CharactersWithSpaces>2459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2023-07-21T09:18:00Z</dcterms:created>
  <dc:creator>HBC</dc:creator>
  <cp:lastModifiedBy>xxd</cp:lastModifiedBy>
  <dcterms:modified xsi:type="dcterms:W3CDTF">2026-06-05T09:47:31Z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4CD16C136BDE4EFB890AAD27480147A7_13</vt:lpwstr>
  </property>
  <property fmtid="{D5CDD505-2E9C-101B-9397-08002B2CF9AE}" pid="4" name="KSOTemplateDocerSaveRecord">
    <vt:lpwstr>eyJoZGlkIjoiMTBiMjc2MGQ3ZTI1MWRhZjFlZTIwZjZmYmYxODNmMmUifQ==</vt:lpwstr>
  </property>
</Properties>
</file>