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78" w:lineRule="exact"/>
        <w:jc w:val="center"/>
        <w:textAlignment w:val="auto"/>
        <w:rPr>
          <w:rFonts w:hint="eastAsia" w:ascii="宋体" w:hAnsi="宋体" w:eastAsia="宋体" w:cs="宋体"/>
          <w:b/>
          <w:bCs w:val="0"/>
          <w:color w:val="auto"/>
          <w:sz w:val="44"/>
          <w:szCs w:val="44"/>
          <w:u w:val="none"/>
          <w:lang w:eastAsia="zh-CN"/>
        </w:rPr>
      </w:pPr>
      <w:r>
        <w:rPr>
          <w:rFonts w:hint="eastAsia" w:ascii="宋体" w:hAnsi="宋体" w:eastAsia="宋体" w:cs="宋体"/>
          <w:b/>
          <w:bCs w:val="0"/>
          <w:color w:val="auto"/>
          <w:sz w:val="44"/>
          <w:szCs w:val="44"/>
          <w:u w:val="none"/>
          <w:lang w:eastAsia="zh-CN"/>
        </w:rPr>
        <w:t>海南省老年病医院</w:t>
      </w:r>
    </w:p>
    <w:p>
      <w:pPr>
        <w:keepNext w:val="0"/>
        <w:keepLines w:val="0"/>
        <w:pageBreakBefore w:val="0"/>
        <w:widowControl w:val="0"/>
        <w:kinsoku/>
        <w:wordWrap/>
        <w:overflowPunct/>
        <w:topLinePunct w:val="0"/>
        <w:autoSpaceDE/>
        <w:autoSpaceDN/>
        <w:bidi w:val="0"/>
        <w:adjustRightInd/>
        <w:snapToGrid w:val="0"/>
        <w:spacing w:line="578" w:lineRule="exact"/>
        <w:jc w:val="center"/>
        <w:textAlignment w:val="auto"/>
        <w:rPr>
          <w:rFonts w:hint="eastAsia" w:ascii="宋体" w:hAnsi="宋体" w:eastAsia="宋体" w:cs="宋体"/>
          <w:b/>
          <w:bCs w:val="0"/>
          <w:color w:val="000000" w:themeColor="text1"/>
          <w:sz w:val="44"/>
          <w:szCs w:val="44"/>
          <w:u w:val="none"/>
          <w:lang w:eastAsia="zh-CN"/>
          <w14:textFill>
            <w14:solidFill>
              <w14:schemeClr w14:val="tx1"/>
            </w14:solidFill>
          </w14:textFill>
        </w:rPr>
      </w:pPr>
      <w:r>
        <w:rPr>
          <w:rFonts w:hint="eastAsia" w:ascii="宋体" w:hAnsi="宋体" w:eastAsia="宋体" w:cs="宋体"/>
          <w:b/>
          <w:bCs w:val="0"/>
          <w:color w:val="000000" w:themeColor="text1"/>
          <w:sz w:val="44"/>
          <w:szCs w:val="44"/>
          <w:u w:val="none"/>
          <w14:textFill>
            <w14:solidFill>
              <w14:schemeClr w14:val="tx1"/>
            </w14:solidFill>
          </w14:textFill>
        </w:rPr>
        <w:t>20</w:t>
      </w:r>
      <w:r>
        <w:rPr>
          <w:rFonts w:hint="eastAsia" w:ascii="宋体" w:hAnsi="宋体" w:eastAsia="宋体" w:cs="宋体"/>
          <w:b/>
          <w:bCs w:val="0"/>
          <w:color w:val="000000" w:themeColor="text1"/>
          <w:sz w:val="44"/>
          <w:szCs w:val="44"/>
          <w:u w:val="none"/>
          <w:lang w:val="en-US" w:eastAsia="zh-CN"/>
          <w14:textFill>
            <w14:solidFill>
              <w14:schemeClr w14:val="tx1"/>
            </w14:solidFill>
          </w14:textFill>
        </w:rPr>
        <w:t>22</w:t>
      </w:r>
      <w:r>
        <w:rPr>
          <w:rFonts w:hint="eastAsia" w:ascii="宋体" w:hAnsi="宋体" w:eastAsia="宋体" w:cs="宋体"/>
          <w:b/>
          <w:bCs w:val="0"/>
          <w:color w:val="auto"/>
          <w:sz w:val="44"/>
          <w:szCs w:val="44"/>
          <w:u w:val="none"/>
          <w:lang w:eastAsia="zh-CN"/>
        </w:rPr>
        <w:t>年度</w:t>
      </w:r>
      <w:r>
        <w:rPr>
          <w:rFonts w:hint="eastAsia" w:ascii="宋体" w:hAnsi="宋体" w:eastAsia="宋体" w:cs="宋体"/>
          <w:b/>
          <w:bCs w:val="0"/>
          <w:color w:val="000000" w:themeColor="text1"/>
          <w:sz w:val="44"/>
          <w:szCs w:val="44"/>
          <w:u w:val="none"/>
          <w:lang w:eastAsia="zh-CN"/>
          <w14:textFill>
            <w14:solidFill>
              <w14:schemeClr w14:val="tx1"/>
            </w14:solidFill>
          </w14:textFill>
        </w:rPr>
        <w:t>老年人认知障碍筛查项目</w:t>
      </w:r>
    </w:p>
    <w:p>
      <w:pPr>
        <w:keepNext w:val="0"/>
        <w:keepLines w:val="0"/>
        <w:pageBreakBefore w:val="0"/>
        <w:widowControl w:val="0"/>
        <w:kinsoku/>
        <w:wordWrap/>
        <w:overflowPunct/>
        <w:topLinePunct w:val="0"/>
        <w:autoSpaceDE/>
        <w:autoSpaceDN/>
        <w:bidi w:val="0"/>
        <w:adjustRightInd/>
        <w:snapToGrid w:val="0"/>
        <w:spacing w:line="578" w:lineRule="exact"/>
        <w:jc w:val="center"/>
        <w:textAlignment w:val="auto"/>
        <w:rPr>
          <w:rFonts w:hint="eastAsia" w:ascii="宋体" w:hAnsi="宋体" w:eastAsia="宋体" w:cs="宋体"/>
          <w:b/>
          <w:bCs w:val="0"/>
          <w:color w:val="auto"/>
          <w:sz w:val="44"/>
          <w:szCs w:val="44"/>
          <w:u w:val="none"/>
        </w:rPr>
      </w:pPr>
      <w:r>
        <w:rPr>
          <w:rFonts w:hint="eastAsia" w:ascii="宋体" w:hAnsi="宋体" w:eastAsia="宋体" w:cs="宋体"/>
          <w:b/>
          <w:bCs w:val="0"/>
          <w:color w:val="auto"/>
          <w:sz w:val="44"/>
          <w:szCs w:val="44"/>
          <w:u w:val="none"/>
        </w:rPr>
        <w:t>绩效自评报告</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rPr>
      </w:pP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rPr>
      </w:pPr>
      <w:r>
        <w:rPr>
          <w:rFonts w:hint="eastAsia" w:ascii="宋体" w:hAnsi="宋体" w:eastAsia="宋体" w:cs="宋体"/>
          <w:b w:val="0"/>
          <w:bCs/>
          <w:sz w:val="32"/>
          <w:szCs w:val="32"/>
        </w:rPr>
        <w:t>一、绩效目标分解下达情况</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宋体" w:hAnsi="宋体" w:eastAsia="宋体" w:cs="宋体"/>
          <w:b/>
          <w:bCs/>
          <w:color w:val="auto"/>
          <w:sz w:val="32"/>
          <w:szCs w:val="22"/>
          <w:lang w:val="en-US" w:eastAsia="zh-CN"/>
        </w:rPr>
      </w:pPr>
      <w:r>
        <w:rPr>
          <w:rFonts w:hint="eastAsia" w:ascii="宋体" w:hAnsi="宋体" w:eastAsia="宋体" w:cs="宋体"/>
          <w:b/>
          <w:bCs/>
          <w:color w:val="auto"/>
          <w:sz w:val="32"/>
          <w:szCs w:val="22"/>
          <w:lang w:val="en-US" w:eastAsia="zh-CN"/>
        </w:rPr>
        <w:t>（一）资金情况：</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eastAsia="zh-CN"/>
        </w:rPr>
        <w:t>根据《海南省老年人认知障碍筛查试点（痴呆风险筛查）项目实施方案》（琼老龄办发〔2022〕1号）</w:t>
      </w:r>
      <w:r>
        <w:rPr>
          <w:rFonts w:hint="eastAsia" w:ascii="宋体" w:hAnsi="宋体" w:eastAsia="宋体" w:cs="宋体"/>
          <w:b w:val="0"/>
          <w:bCs/>
          <w:sz w:val="32"/>
          <w:szCs w:val="32"/>
          <w:lang w:val="en-US" w:eastAsia="zh-CN"/>
        </w:rPr>
        <w:t>和《海南省财政厅关于下达 2022 年老年人认知障碍筛查试点（痴呆风险筛查）省级财政补助资金的通知》（琼财社〔2022〕139号）文件的相关规定，省财政厅将省级财政补助资金全部调入海南省老年病医院账户，其中：地方资金20万元。此项财政补助资金主要用于项目的调研指导工作。根据专项资金使用方向，分解下达绩效目标要求，具体绩效目标如下：</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宋体" w:hAnsi="宋体" w:eastAsia="宋体" w:cs="宋体"/>
          <w:b/>
          <w:bCs/>
          <w:color w:val="auto"/>
          <w:sz w:val="32"/>
          <w:szCs w:val="22"/>
          <w:lang w:val="en-US" w:eastAsia="zh-CN"/>
        </w:rPr>
      </w:pPr>
      <w:r>
        <w:rPr>
          <w:rFonts w:hint="eastAsia" w:ascii="宋体" w:hAnsi="宋体" w:eastAsia="宋体" w:cs="宋体"/>
          <w:b/>
          <w:bCs/>
          <w:color w:val="auto"/>
          <w:sz w:val="32"/>
          <w:szCs w:val="22"/>
          <w:lang w:val="en-US" w:eastAsia="zh-CN"/>
        </w:rPr>
        <w:t>（二）按任务分解下达预算情况：</w:t>
      </w:r>
    </w:p>
    <w:tbl>
      <w:tblPr>
        <w:tblStyle w:val="8"/>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279"/>
        <w:gridCol w:w="1899"/>
        <w:gridCol w:w="38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810" w:type="pct"/>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任务明细 </w:t>
            </w:r>
          </w:p>
        </w:tc>
        <w:tc>
          <w:tcPr>
            <w:tcW w:w="1048" w:type="pct"/>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预算数 （元）</w:t>
            </w:r>
          </w:p>
        </w:tc>
        <w:tc>
          <w:tcPr>
            <w:tcW w:w="2140" w:type="pct"/>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测算依据及说明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8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老年人认知障碍筛查项目印刷费</w:t>
            </w:r>
          </w:p>
        </w:tc>
        <w:tc>
          <w:tcPr>
            <w:tcW w:w="104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8000</w:t>
            </w:r>
          </w:p>
        </w:tc>
        <w:tc>
          <w:tcPr>
            <w:tcW w:w="21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“海报+折页”，约200份，每次出差发放材料份数约10份。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8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老年人认知障碍筛查项目其他交通费用</w:t>
            </w:r>
          </w:p>
        </w:tc>
        <w:tc>
          <w:tcPr>
            <w:tcW w:w="104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72000</w:t>
            </w:r>
          </w:p>
        </w:tc>
        <w:tc>
          <w:tcPr>
            <w:tcW w:w="21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租车费用约1200元/天，约60天。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老年人认知障碍筛查项目差旅费</w:t>
            </w:r>
          </w:p>
        </w:tc>
        <w:tc>
          <w:tcPr>
            <w:tcW w:w="104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120000</w:t>
            </w:r>
          </w:p>
        </w:tc>
        <w:tc>
          <w:tcPr>
            <w:tcW w:w="21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约五轮督导，每轮约2.4万元。</w:t>
            </w:r>
          </w:p>
        </w:tc>
      </w:tr>
    </w:tbl>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宋体" w:hAnsi="宋体" w:eastAsia="宋体" w:cs="宋体"/>
          <w:b/>
          <w:bCs/>
          <w:color w:val="auto"/>
          <w:sz w:val="32"/>
          <w:szCs w:val="22"/>
          <w:lang w:val="en-US" w:eastAsia="zh-CN"/>
        </w:rPr>
      </w:pPr>
      <w:r>
        <w:rPr>
          <w:rFonts w:hint="eastAsia" w:ascii="宋体" w:hAnsi="宋体" w:eastAsia="宋体" w:cs="宋体"/>
          <w:b/>
          <w:bCs/>
          <w:color w:val="auto"/>
          <w:sz w:val="32"/>
          <w:szCs w:val="22"/>
          <w:lang w:val="en-US" w:eastAsia="zh-CN"/>
        </w:rPr>
        <w:t>（三）绩效目标情况：</w:t>
      </w:r>
    </w:p>
    <w:tbl>
      <w:tblPr>
        <w:tblStyle w:val="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7"/>
        <w:gridCol w:w="1067"/>
        <w:gridCol w:w="1598"/>
        <w:gridCol w:w="1029"/>
        <w:gridCol w:w="1026"/>
        <w:gridCol w:w="1026"/>
        <w:gridCol w:w="1212"/>
        <w:gridCol w:w="11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25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4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老年人认知障碍筛查项目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5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中央主管部门</w:t>
            </w:r>
          </w:p>
        </w:tc>
        <w:tc>
          <w:tcPr>
            <w:tcW w:w="24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25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省级财政部门</w:t>
            </w:r>
          </w:p>
        </w:tc>
        <w:tc>
          <w:tcPr>
            <w:tcW w:w="566"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海南省财政厅</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省级主管部门</w:t>
            </w:r>
          </w:p>
        </w:tc>
        <w:tc>
          <w:tcPr>
            <w:tcW w:w="13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海南省卫生健康委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03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年度金额：</w:t>
            </w:r>
          </w:p>
        </w:tc>
        <w:tc>
          <w:tcPr>
            <w:tcW w:w="24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203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其中：中央补助</w:t>
            </w:r>
          </w:p>
        </w:tc>
        <w:tc>
          <w:tcPr>
            <w:tcW w:w="24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203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地方资金</w:t>
            </w:r>
          </w:p>
        </w:tc>
        <w:tc>
          <w:tcPr>
            <w:tcW w:w="24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482" w:type="pct"/>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普及老年性痴呆防治知识，提高防治知识知晓率。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4482" w:type="pct"/>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both"/>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8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3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5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82"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3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开展督导工作次数</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882"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3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督导市县开展老年痴呆防治知识宣传的社区（村）覆盖率</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882" w:type="pct"/>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23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督导为全省失能老年人中“知情自愿”人数筛查率</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5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8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23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公众对老年人脑健康的关注度</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88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23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脑健康和认知康复训练服务水平</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23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老年性痴呆防治知识知晓率</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不断提高</w:t>
            </w:r>
          </w:p>
        </w:tc>
      </w:tr>
    </w:tbl>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highlight w:val="none"/>
        </w:rPr>
      </w:pPr>
      <w:r>
        <w:rPr>
          <w:rFonts w:hint="eastAsia" w:ascii="宋体" w:hAnsi="宋体" w:eastAsia="宋体" w:cs="宋体"/>
          <w:b w:val="0"/>
          <w:bCs/>
          <w:sz w:val="32"/>
          <w:szCs w:val="32"/>
          <w:highlight w:val="none"/>
        </w:rPr>
        <w:t>二、</w:t>
      </w:r>
      <w:r>
        <w:rPr>
          <w:rFonts w:hint="eastAsia" w:ascii="宋体" w:hAnsi="宋体" w:eastAsia="宋体" w:cs="宋体"/>
          <w:b w:val="0"/>
          <w:bCs/>
          <w:sz w:val="32"/>
          <w:szCs w:val="32"/>
          <w:highlight w:val="none"/>
          <w:lang w:eastAsia="zh-CN"/>
        </w:rPr>
        <w:t>绩效</w:t>
      </w:r>
      <w:r>
        <w:rPr>
          <w:rFonts w:hint="eastAsia" w:ascii="宋体" w:hAnsi="宋体" w:eastAsia="宋体" w:cs="宋体"/>
          <w:b w:val="0"/>
          <w:bCs/>
          <w:sz w:val="32"/>
          <w:szCs w:val="32"/>
          <w:highlight w:val="none"/>
        </w:rPr>
        <w:t>情况分析</w:t>
      </w:r>
    </w:p>
    <w:p>
      <w:pPr>
        <w:keepNext w:val="0"/>
        <w:keepLines w:val="0"/>
        <w:pageBreakBefore w:val="0"/>
        <w:widowControl w:val="0"/>
        <w:kinsoku/>
        <w:wordWrap/>
        <w:overflowPunct/>
        <w:topLinePunct w:val="0"/>
        <w:autoSpaceDE/>
        <w:autoSpaceDN/>
        <w:bidi w:val="0"/>
        <w:adjustRightInd/>
        <w:snapToGrid w:val="0"/>
        <w:spacing w:line="578" w:lineRule="exact"/>
        <w:ind w:firstLine="643" w:firstLineChars="200"/>
        <w:textAlignment w:val="auto"/>
        <w:outlineLvl w:val="0"/>
        <w:rPr>
          <w:rFonts w:hint="eastAsia" w:ascii="宋体" w:hAnsi="宋体" w:eastAsia="宋体" w:cs="宋体"/>
          <w:b w:val="0"/>
          <w:bCs/>
          <w:sz w:val="32"/>
          <w:szCs w:val="32"/>
          <w:highlight w:val="none"/>
          <w:lang w:eastAsia="zh-CN"/>
        </w:rPr>
      </w:pPr>
      <w:r>
        <w:rPr>
          <w:rFonts w:hint="eastAsia" w:ascii="宋体" w:hAnsi="宋体" w:eastAsia="宋体" w:cs="宋体"/>
          <w:b/>
          <w:bCs/>
          <w:color w:val="auto"/>
          <w:sz w:val="32"/>
          <w:szCs w:val="22"/>
          <w:lang w:val="en-US" w:eastAsia="zh-CN"/>
        </w:rPr>
        <w:t>（一）项目资金投入情况分析。</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宋体" w:hAnsi="宋体" w:eastAsia="宋体" w:cs="宋体"/>
          <w:b w:val="0"/>
          <w:bCs/>
          <w:sz w:val="32"/>
          <w:szCs w:val="32"/>
          <w:highlight w:val="none"/>
          <w:lang w:val="en-US" w:eastAsia="zh-CN"/>
        </w:rPr>
      </w:pPr>
      <w:r>
        <w:rPr>
          <w:rFonts w:hint="eastAsia" w:ascii="宋体" w:hAnsi="宋体" w:eastAsia="宋体" w:cs="宋体"/>
          <w:b w:val="0"/>
          <w:bCs/>
          <w:sz w:val="32"/>
          <w:szCs w:val="32"/>
          <w:lang w:val="en-US" w:eastAsia="zh-CN"/>
        </w:rPr>
        <w:t>1.2022年老年人认知障碍筛查项目省级财政补助资金20万元，全额到位全部调入医院资金账户，资金</w:t>
      </w:r>
      <w:r>
        <w:rPr>
          <w:rFonts w:hint="eastAsia" w:ascii="宋体" w:hAnsi="宋体" w:eastAsia="宋体" w:cs="宋体"/>
          <w:b w:val="0"/>
          <w:bCs/>
          <w:sz w:val="32"/>
          <w:szCs w:val="32"/>
          <w:highlight w:val="none"/>
          <w:lang w:val="en-US" w:eastAsia="zh-CN"/>
        </w:rPr>
        <w:t>到位率100%。</w:t>
      </w:r>
    </w:p>
    <w:p>
      <w:pPr>
        <w:keepNext w:val="0"/>
        <w:keepLines w:val="0"/>
        <w:pageBreakBefore w:val="0"/>
        <w:widowControl w:val="0"/>
        <w:kinsoku/>
        <w:wordWrap/>
        <w:overflowPunct/>
        <w:topLinePunct w:val="0"/>
        <w:autoSpaceDE/>
        <w:autoSpaceDN/>
        <w:bidi w:val="0"/>
        <w:adjustRightInd/>
        <w:snapToGrid w:val="0"/>
        <w:spacing w:line="360" w:lineRule="auto"/>
        <w:ind w:firstLine="643" w:firstLineChars="200"/>
        <w:textAlignment w:val="auto"/>
        <w:outlineLvl w:val="0"/>
        <w:rPr>
          <w:rFonts w:hint="eastAsia" w:ascii="宋体" w:hAnsi="宋体" w:eastAsia="宋体" w:cs="宋体"/>
          <w:b w:val="0"/>
          <w:bCs/>
          <w:sz w:val="32"/>
          <w:szCs w:val="32"/>
          <w:highlight w:val="none"/>
          <w:lang w:eastAsia="zh-CN"/>
        </w:rPr>
      </w:pPr>
      <w:r>
        <w:rPr>
          <w:rFonts w:hint="eastAsia" w:ascii="宋体" w:hAnsi="宋体" w:eastAsia="宋体" w:cs="宋体"/>
          <w:b/>
          <w:bCs w:val="0"/>
          <w:sz w:val="32"/>
          <w:szCs w:val="32"/>
          <w:highlight w:val="none"/>
          <w:lang w:val="en-US" w:eastAsia="zh-CN"/>
        </w:rPr>
        <w:t>2.</w:t>
      </w:r>
      <w:r>
        <w:rPr>
          <w:rFonts w:hint="eastAsia" w:ascii="宋体" w:hAnsi="宋体" w:eastAsia="宋体" w:cs="宋体"/>
          <w:b w:val="0"/>
          <w:bCs/>
          <w:sz w:val="32"/>
          <w:szCs w:val="32"/>
          <w:lang w:val="en-US" w:eastAsia="zh-CN"/>
        </w:rPr>
        <w:t>2022年老年人认知障碍筛查项目财政补助资金全年预算数20万，全年执行数20万，预算执行率为100%。</w:t>
      </w:r>
      <w:r>
        <w:rPr>
          <w:rFonts w:hint="eastAsia" w:ascii="宋体" w:hAnsi="宋体" w:eastAsia="宋体" w:cs="宋体"/>
          <w:b w:val="0"/>
          <w:bCs/>
          <w:sz w:val="32"/>
          <w:szCs w:val="32"/>
          <w:highlight w:val="none"/>
          <w:lang w:val="en-US" w:eastAsia="zh-CN"/>
        </w:rPr>
        <w:t>具体执行情况如下</w:t>
      </w:r>
      <w:r>
        <w:rPr>
          <w:rFonts w:hint="eastAsia" w:ascii="宋体" w:hAnsi="宋体" w:eastAsia="宋体" w:cs="宋体"/>
          <w:b w:val="0"/>
          <w:bCs/>
          <w:sz w:val="32"/>
          <w:szCs w:val="32"/>
          <w:highlight w:val="none"/>
          <w:lang w:val="en-US" w:eastAsia="zh-CN"/>
        </w:rPr>
        <w:t>：</w:t>
      </w:r>
    </w:p>
    <w:tbl>
      <w:tblPr>
        <w:tblStyle w:val="8"/>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279"/>
        <w:gridCol w:w="1899"/>
        <w:gridCol w:w="38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810" w:type="pct"/>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任务明细 </w:t>
            </w:r>
          </w:p>
        </w:tc>
        <w:tc>
          <w:tcPr>
            <w:tcW w:w="1048" w:type="pct"/>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资金支出（元）</w:t>
            </w:r>
          </w:p>
        </w:tc>
        <w:tc>
          <w:tcPr>
            <w:tcW w:w="2140" w:type="pct"/>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测算依据及说明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0" w:hRule="atLeast"/>
        </w:trPr>
        <w:tc>
          <w:tcPr>
            <w:tcW w:w="18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老年人认知障碍筛查项目印刷费</w:t>
            </w:r>
          </w:p>
        </w:tc>
        <w:tc>
          <w:tcPr>
            <w:tcW w:w="104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8000</w:t>
            </w:r>
          </w:p>
        </w:tc>
        <w:tc>
          <w:tcPr>
            <w:tcW w:w="21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“海报+折页”，约200份，每次出差发放材料份数约10份。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8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老年人认知障碍筛查项目其他交通费用</w:t>
            </w:r>
          </w:p>
        </w:tc>
        <w:tc>
          <w:tcPr>
            <w:tcW w:w="104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91200</w:t>
            </w:r>
          </w:p>
        </w:tc>
        <w:tc>
          <w:tcPr>
            <w:tcW w:w="21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租车费用约1200元/天，约60天。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老年人认知障碍筛查项目差旅费</w:t>
            </w:r>
          </w:p>
        </w:tc>
        <w:tc>
          <w:tcPr>
            <w:tcW w:w="104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100800</w:t>
            </w:r>
          </w:p>
        </w:tc>
        <w:tc>
          <w:tcPr>
            <w:tcW w:w="21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共计七轮督导。</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line="578" w:lineRule="exact"/>
        <w:ind w:firstLine="643" w:firstLineChars="200"/>
        <w:textAlignment w:val="auto"/>
        <w:outlineLvl w:val="0"/>
        <w:rPr>
          <w:rFonts w:hint="eastAsia" w:ascii="宋体" w:hAnsi="宋体" w:eastAsia="宋体" w:cs="宋体"/>
          <w:b w:val="0"/>
          <w:bCs/>
          <w:sz w:val="32"/>
          <w:szCs w:val="32"/>
          <w:highlight w:val="none"/>
          <w:lang w:eastAsia="zh-CN"/>
        </w:rPr>
      </w:pPr>
      <w:r>
        <w:rPr>
          <w:rFonts w:hint="eastAsia" w:ascii="宋体" w:hAnsi="宋体" w:eastAsia="宋体" w:cs="宋体"/>
          <w:b/>
          <w:bCs/>
          <w:color w:val="auto"/>
          <w:sz w:val="32"/>
          <w:szCs w:val="22"/>
          <w:lang w:val="en-US" w:eastAsia="zh-CN"/>
        </w:rPr>
        <w:t>（二）资金管理情况分析</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宋体" w:hAnsi="宋体" w:eastAsia="宋体" w:cs="宋体"/>
          <w:b w:val="0"/>
          <w:bCs/>
          <w:sz w:val="32"/>
          <w:szCs w:val="32"/>
          <w:lang w:val="en-US" w:eastAsia="zh-CN"/>
        </w:rPr>
      </w:pPr>
      <w:r>
        <w:rPr>
          <w:rFonts w:hint="eastAsia" w:ascii="宋体" w:hAnsi="宋体" w:eastAsia="宋体" w:cs="宋体"/>
          <w:b w:val="0"/>
          <w:bCs/>
          <w:sz w:val="32"/>
          <w:szCs w:val="32"/>
          <w:highlight w:val="none"/>
          <w:lang w:val="en-US" w:eastAsia="zh-CN"/>
        </w:rPr>
        <w:t>严格按照</w:t>
      </w:r>
      <w:r>
        <w:rPr>
          <w:rFonts w:hint="eastAsia" w:ascii="宋体" w:hAnsi="宋体" w:eastAsia="宋体" w:cs="宋体"/>
          <w:b w:val="0"/>
          <w:bCs/>
          <w:sz w:val="32"/>
          <w:szCs w:val="32"/>
          <w:lang w:val="en-US" w:eastAsia="zh-CN"/>
        </w:rPr>
        <w:t>《海南省财政厅关于下达 2022 年老年人认知障碍筛查试点（痴呆风险筛查）省级财政补助资金的通知》（琼财社〔2022〕139号）文件的相关规定，切实加强资金管理，提高资金使用效益，做好绩效管理工作。</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在资金使用前严格按照</w:t>
      </w:r>
      <w:r>
        <w:rPr>
          <w:rFonts w:hint="eastAsia" w:ascii="宋体" w:hAnsi="宋体" w:eastAsia="宋体" w:cs="宋体"/>
          <w:b w:val="0"/>
          <w:bCs/>
          <w:sz w:val="32"/>
          <w:szCs w:val="32"/>
          <w:lang w:eastAsia="zh-CN"/>
        </w:rPr>
        <w:t>《海南省老年人认知障碍筛查试点（痴呆风险筛查）项目实施方案》（琼老龄办发〔2022〕1号）和《</w:t>
      </w:r>
      <w:r>
        <w:rPr>
          <w:rFonts w:hint="eastAsia" w:ascii="宋体" w:hAnsi="宋体" w:eastAsia="宋体" w:cs="宋体"/>
          <w:b w:val="0"/>
          <w:bCs/>
          <w:sz w:val="32"/>
          <w:szCs w:val="32"/>
          <w:lang w:val="en-US" w:eastAsia="zh-CN"/>
        </w:rPr>
        <w:t>海南省老年人认知障碍筛查试点（痴呆风险筛查）</w:t>
      </w:r>
      <w:r>
        <w:rPr>
          <w:rFonts w:hint="eastAsia" w:ascii="宋体" w:hAnsi="宋体" w:eastAsia="宋体" w:cs="宋体"/>
          <w:b w:val="0"/>
          <w:bCs/>
          <w:sz w:val="32"/>
          <w:szCs w:val="32"/>
          <w:lang w:val="en-US" w:eastAsia="zh-CN"/>
        </w:rPr>
        <w:t>项目调研指导工作实施细则</w:t>
      </w:r>
      <w:r>
        <w:rPr>
          <w:rFonts w:hint="eastAsia" w:ascii="宋体" w:hAnsi="宋体" w:eastAsia="宋体" w:cs="宋体"/>
          <w:b w:val="0"/>
          <w:bCs/>
          <w:sz w:val="32"/>
          <w:szCs w:val="32"/>
          <w:lang w:eastAsia="zh-CN"/>
        </w:rPr>
        <w:t>》（琼老医办〔2022〕1号）</w:t>
      </w:r>
      <w:r>
        <w:rPr>
          <w:rFonts w:hint="eastAsia" w:ascii="宋体" w:hAnsi="宋体" w:eastAsia="宋体" w:cs="宋体"/>
          <w:b w:val="0"/>
          <w:bCs/>
          <w:sz w:val="32"/>
          <w:szCs w:val="32"/>
          <w:lang w:val="en-US" w:eastAsia="zh-CN"/>
        </w:rPr>
        <w:t>统筹资金预算分配，主要用于认知障碍筛查项目的调研指导。</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宋体" w:hAnsi="宋体" w:eastAsia="宋体" w:cs="宋体"/>
          <w:b w:val="0"/>
          <w:bCs/>
          <w:sz w:val="32"/>
          <w:szCs w:val="32"/>
          <w:highlight w:val="none"/>
          <w:lang w:val="en-US" w:eastAsia="zh-CN"/>
        </w:rPr>
      </w:pPr>
      <w:r>
        <w:rPr>
          <w:rFonts w:hint="eastAsia" w:ascii="宋体" w:hAnsi="宋体" w:eastAsia="宋体" w:cs="宋体"/>
          <w:b w:val="0"/>
          <w:bCs/>
          <w:sz w:val="32"/>
          <w:szCs w:val="32"/>
          <w:lang w:val="en-US" w:eastAsia="zh-CN"/>
        </w:rPr>
        <w:t>在资金的使用上，严格按照</w:t>
      </w:r>
      <w:r>
        <w:rPr>
          <w:rFonts w:hint="eastAsia" w:ascii="宋体" w:hAnsi="宋体" w:eastAsia="宋体" w:cs="宋体"/>
          <w:b w:val="0"/>
          <w:bCs/>
          <w:sz w:val="32"/>
          <w:szCs w:val="32"/>
          <w:lang w:eastAsia="zh-CN"/>
        </w:rPr>
        <w:t>《海南省财政厅关于印发相关项目支出标准的通知》（琼财预〔20</w:t>
      </w:r>
      <w:r>
        <w:rPr>
          <w:rFonts w:hint="eastAsia" w:ascii="宋体" w:hAnsi="宋体" w:eastAsia="宋体" w:cs="宋体"/>
          <w:b w:val="0"/>
          <w:bCs/>
          <w:sz w:val="32"/>
          <w:szCs w:val="32"/>
          <w:lang w:val="en-US" w:eastAsia="zh-CN"/>
        </w:rPr>
        <w:t>18</w:t>
      </w:r>
      <w:r>
        <w:rPr>
          <w:rFonts w:hint="eastAsia" w:ascii="宋体" w:hAnsi="宋体" w:eastAsia="宋体" w:cs="宋体"/>
          <w:b w:val="0"/>
          <w:bCs/>
          <w:sz w:val="32"/>
          <w:szCs w:val="32"/>
          <w:lang w:eastAsia="zh-CN"/>
        </w:rPr>
        <w:t>〕1342号）文件</w:t>
      </w:r>
      <w:r>
        <w:rPr>
          <w:rFonts w:hint="eastAsia" w:ascii="宋体" w:hAnsi="宋体" w:eastAsia="宋体" w:cs="宋体"/>
          <w:b w:val="0"/>
          <w:bCs/>
          <w:sz w:val="32"/>
          <w:szCs w:val="32"/>
          <w:lang w:val="en-US" w:eastAsia="zh-CN"/>
        </w:rPr>
        <w:t>规定，</w:t>
      </w:r>
      <w:r>
        <w:rPr>
          <w:rFonts w:hint="eastAsia" w:ascii="宋体" w:hAnsi="宋体" w:eastAsia="宋体" w:cs="宋体"/>
          <w:b w:val="0"/>
          <w:bCs/>
          <w:sz w:val="32"/>
          <w:szCs w:val="32"/>
          <w:highlight w:val="none"/>
          <w:lang w:val="en-US" w:eastAsia="zh-CN"/>
        </w:rPr>
        <w:t>安排使用</w:t>
      </w:r>
      <w:r>
        <w:rPr>
          <w:rFonts w:hint="eastAsia" w:ascii="宋体" w:hAnsi="宋体" w:eastAsia="宋体" w:cs="宋体"/>
          <w:b w:val="0"/>
          <w:bCs/>
          <w:sz w:val="32"/>
          <w:szCs w:val="32"/>
          <w:highlight w:val="none"/>
          <w:lang w:val="en-US" w:eastAsia="zh-CN"/>
        </w:rPr>
        <w:t>项目专项资金</w:t>
      </w:r>
      <w:r>
        <w:rPr>
          <w:rFonts w:hint="eastAsia" w:ascii="宋体" w:hAnsi="宋体" w:eastAsia="宋体" w:cs="宋体"/>
          <w:b w:val="0"/>
          <w:bCs/>
          <w:sz w:val="32"/>
          <w:szCs w:val="32"/>
          <w:highlight w:val="none"/>
          <w:lang w:val="en-US" w:eastAsia="zh-CN"/>
        </w:rPr>
        <w:t>，各项资金</w:t>
      </w:r>
      <w:r>
        <w:rPr>
          <w:rFonts w:hint="eastAsia" w:ascii="宋体" w:hAnsi="宋体" w:eastAsia="宋体" w:cs="宋体"/>
          <w:b w:val="0"/>
          <w:bCs/>
          <w:sz w:val="32"/>
          <w:szCs w:val="32"/>
          <w:highlight w:val="none"/>
          <w:lang w:val="en-US" w:eastAsia="zh-CN"/>
        </w:rPr>
        <w:t>使用</w:t>
      </w:r>
      <w:r>
        <w:rPr>
          <w:rFonts w:hint="eastAsia" w:ascii="宋体" w:hAnsi="宋体" w:eastAsia="宋体" w:cs="宋体"/>
          <w:b w:val="0"/>
          <w:bCs/>
          <w:sz w:val="32"/>
          <w:szCs w:val="32"/>
          <w:highlight w:val="none"/>
          <w:lang w:val="en-US" w:eastAsia="zh-CN"/>
        </w:rPr>
        <w:t>标准科学合理，</w:t>
      </w:r>
      <w:r>
        <w:rPr>
          <w:rFonts w:hint="eastAsia" w:ascii="宋体" w:hAnsi="宋体" w:eastAsia="宋体" w:cs="宋体"/>
          <w:b w:val="0"/>
          <w:bCs/>
          <w:sz w:val="32"/>
          <w:szCs w:val="32"/>
          <w:highlight w:val="none"/>
          <w:lang w:val="en-US" w:eastAsia="zh-CN"/>
        </w:rPr>
        <w:t>每次支出均经过医院的审批制度，</w:t>
      </w:r>
      <w:r>
        <w:rPr>
          <w:rFonts w:hint="eastAsia" w:ascii="宋体" w:hAnsi="宋体" w:eastAsia="宋体" w:cs="宋体"/>
          <w:b w:val="0"/>
          <w:bCs/>
          <w:sz w:val="32"/>
          <w:szCs w:val="32"/>
          <w:highlight w:val="none"/>
          <w:lang w:val="en-US" w:eastAsia="zh-CN"/>
        </w:rPr>
        <w:t>拨付及时；资金使用不存在虚列项目支出，截留、挤占、挪用项目资金，超标准开支等情况。</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lang w:eastAsia="zh-CN"/>
        </w:rPr>
      </w:pPr>
      <w:r>
        <w:rPr>
          <w:rFonts w:hint="eastAsia" w:ascii="宋体" w:hAnsi="宋体" w:eastAsia="宋体" w:cs="宋体"/>
          <w:b w:val="0"/>
          <w:bCs/>
          <w:sz w:val="32"/>
          <w:szCs w:val="32"/>
          <w:lang w:val="en-US" w:eastAsia="zh-CN"/>
        </w:rPr>
        <w:t>受新冠疫情影响，原计划9月份完成该项目，延迟到12月份完成，资金拨付均按绩效预算管理，按既定目标履行了资金支出责任。</w:t>
      </w:r>
    </w:p>
    <w:p>
      <w:pPr>
        <w:keepNext w:val="0"/>
        <w:keepLines w:val="0"/>
        <w:pageBreakBefore w:val="0"/>
        <w:widowControl w:val="0"/>
        <w:numPr>
          <w:ilvl w:val="0"/>
          <w:numId w:val="0"/>
        </w:numPr>
        <w:kinsoku/>
        <w:wordWrap/>
        <w:overflowPunct/>
        <w:topLinePunct w:val="0"/>
        <w:autoSpaceDE/>
        <w:autoSpaceDN/>
        <w:bidi w:val="0"/>
        <w:adjustRightInd/>
        <w:snapToGrid w:val="0"/>
        <w:spacing w:line="578" w:lineRule="exact"/>
        <w:ind w:firstLine="643" w:firstLineChars="200"/>
        <w:textAlignment w:val="auto"/>
        <w:outlineLvl w:val="0"/>
        <w:rPr>
          <w:rFonts w:hint="eastAsia" w:ascii="宋体" w:hAnsi="宋体" w:eastAsia="宋体" w:cs="宋体"/>
          <w:b w:val="0"/>
          <w:bCs/>
          <w:sz w:val="32"/>
          <w:szCs w:val="32"/>
          <w:lang w:eastAsia="zh-CN"/>
        </w:rPr>
      </w:pPr>
      <w:r>
        <w:rPr>
          <w:rFonts w:hint="eastAsia" w:ascii="宋体" w:hAnsi="宋体" w:eastAsia="宋体" w:cs="宋体"/>
          <w:b/>
          <w:bCs/>
          <w:color w:val="auto"/>
          <w:sz w:val="32"/>
          <w:szCs w:val="22"/>
          <w:lang w:val="en-US" w:eastAsia="zh-CN"/>
        </w:rPr>
        <w:t>（三）总体绩效目标完成情况分析</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lang w:eastAsia="zh-CN"/>
        </w:rPr>
      </w:pPr>
      <w:r>
        <w:rPr>
          <w:rFonts w:hint="eastAsia" w:ascii="宋体" w:hAnsi="宋体" w:eastAsia="宋体" w:cs="宋体"/>
          <w:b w:val="0"/>
          <w:bCs/>
          <w:sz w:val="32"/>
          <w:szCs w:val="32"/>
          <w:lang w:val="en-US" w:eastAsia="zh-CN"/>
        </w:rPr>
        <w:t>1.</w:t>
      </w:r>
      <w:r>
        <w:rPr>
          <w:rFonts w:hint="eastAsia" w:ascii="宋体" w:hAnsi="宋体" w:eastAsia="宋体" w:cs="宋体"/>
          <w:b w:val="0"/>
          <w:bCs/>
          <w:sz w:val="32"/>
          <w:szCs w:val="32"/>
          <w:lang w:eastAsia="zh-CN"/>
        </w:rPr>
        <w:t>全面了解和掌握</w:t>
      </w:r>
      <w:r>
        <w:rPr>
          <w:rFonts w:hint="eastAsia" w:ascii="宋体" w:hAnsi="宋体" w:eastAsia="宋体" w:cs="宋体"/>
          <w:b w:val="0"/>
          <w:bCs/>
          <w:sz w:val="32"/>
          <w:szCs w:val="32"/>
          <w:lang w:eastAsia="zh-CN"/>
        </w:rPr>
        <w:t>了</w:t>
      </w:r>
      <w:r>
        <w:rPr>
          <w:rFonts w:hint="eastAsia" w:ascii="宋体" w:hAnsi="宋体" w:eastAsia="宋体" w:cs="宋体"/>
          <w:b w:val="0"/>
          <w:bCs/>
          <w:sz w:val="32"/>
          <w:szCs w:val="32"/>
          <w:lang w:eastAsia="zh-CN"/>
        </w:rPr>
        <w:t>我省老年人认知障碍筛查</w:t>
      </w:r>
      <w:r>
        <w:rPr>
          <w:rFonts w:hint="eastAsia" w:ascii="宋体" w:hAnsi="宋体" w:eastAsia="宋体" w:cs="宋体"/>
          <w:b w:val="0"/>
          <w:bCs/>
          <w:sz w:val="32"/>
          <w:szCs w:val="32"/>
          <w:lang w:eastAsia="zh-CN"/>
        </w:rPr>
        <w:t>试点（痴呆风险筛查）工作</w:t>
      </w:r>
      <w:r>
        <w:rPr>
          <w:rFonts w:hint="eastAsia" w:ascii="宋体" w:hAnsi="宋体" w:eastAsia="宋体" w:cs="宋体"/>
          <w:b w:val="0"/>
          <w:bCs/>
          <w:sz w:val="32"/>
          <w:szCs w:val="32"/>
          <w:lang w:eastAsia="zh-CN"/>
        </w:rPr>
        <w:t>的落实情况，发现存在的问题，提出改进工作的建议，切实保障该项为民办实事项目</w:t>
      </w:r>
      <w:r>
        <w:rPr>
          <w:rFonts w:hint="eastAsia" w:ascii="宋体" w:hAnsi="宋体" w:eastAsia="宋体" w:cs="宋体"/>
          <w:b w:val="0"/>
          <w:bCs/>
          <w:sz w:val="32"/>
          <w:szCs w:val="32"/>
          <w:lang w:eastAsia="zh-CN"/>
        </w:rPr>
        <w:t>圆满完成</w:t>
      </w:r>
      <w:r>
        <w:rPr>
          <w:rFonts w:hint="eastAsia" w:ascii="宋体" w:hAnsi="宋体" w:eastAsia="宋体" w:cs="宋体"/>
          <w:b w:val="0"/>
          <w:bCs/>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2.</w:t>
      </w:r>
      <w:r>
        <w:rPr>
          <w:rFonts w:hint="eastAsia" w:ascii="宋体" w:hAnsi="宋体" w:eastAsia="宋体" w:cs="宋体"/>
          <w:b w:val="0"/>
          <w:bCs/>
          <w:sz w:val="32"/>
          <w:szCs w:val="32"/>
          <w:lang w:eastAsia="zh-CN"/>
        </w:rPr>
        <w:t>按计划</w:t>
      </w:r>
      <w:r>
        <w:rPr>
          <w:rFonts w:hint="eastAsia" w:ascii="宋体" w:hAnsi="宋体" w:eastAsia="宋体" w:cs="宋体"/>
          <w:b w:val="0"/>
          <w:bCs/>
          <w:sz w:val="32"/>
          <w:szCs w:val="32"/>
          <w:lang w:val="en-US" w:eastAsia="zh-CN"/>
        </w:rPr>
        <w:t>完成了“普及老年性痴呆防治知识，提高防治知识知晓率”的年度总体目标，其中市县开展老年痴呆防治知识宣传的社区（村）覆盖率≥90%；全省失能老年人中“知情自愿”人数筛查率≥70%；极大的提升了公众对老年人脑健康的关注度，提升了全省脑健康和认知康复训练服务水平。</w:t>
      </w:r>
    </w:p>
    <w:p>
      <w:pPr>
        <w:keepNext w:val="0"/>
        <w:keepLines w:val="0"/>
        <w:pageBreakBefore w:val="0"/>
        <w:widowControl w:val="0"/>
        <w:kinsoku/>
        <w:wordWrap/>
        <w:overflowPunct/>
        <w:topLinePunct w:val="0"/>
        <w:autoSpaceDE/>
        <w:autoSpaceDN/>
        <w:bidi w:val="0"/>
        <w:adjustRightInd/>
        <w:snapToGrid w:val="0"/>
        <w:spacing w:line="578" w:lineRule="exact"/>
        <w:ind w:firstLine="643" w:firstLineChars="200"/>
        <w:textAlignment w:val="auto"/>
        <w:rPr>
          <w:rFonts w:hint="eastAsia" w:ascii="宋体" w:hAnsi="宋体" w:eastAsia="宋体" w:cs="宋体"/>
          <w:b w:val="0"/>
          <w:bCs/>
          <w:sz w:val="32"/>
          <w:szCs w:val="32"/>
          <w:highlight w:val="none"/>
          <w:lang w:eastAsia="zh-CN"/>
        </w:rPr>
      </w:pPr>
      <w:r>
        <w:rPr>
          <w:rFonts w:hint="eastAsia" w:ascii="宋体" w:hAnsi="宋体" w:eastAsia="宋体" w:cs="宋体"/>
          <w:b/>
          <w:bCs/>
          <w:color w:val="auto"/>
          <w:sz w:val="32"/>
          <w:szCs w:val="22"/>
          <w:lang w:val="en-US" w:eastAsia="zh-CN"/>
        </w:rPr>
        <w:t>（四）绩效指标完成情况分析。</w:t>
      </w:r>
      <w:r>
        <w:rPr>
          <w:rFonts w:hint="eastAsia" w:ascii="宋体" w:hAnsi="宋体" w:eastAsia="宋体" w:cs="宋体"/>
          <w:b w:val="0"/>
          <w:bCs/>
          <w:sz w:val="32"/>
          <w:szCs w:val="32"/>
        </w:rPr>
        <w:t>（</w:t>
      </w:r>
      <w:r>
        <w:rPr>
          <w:rFonts w:hint="eastAsia" w:ascii="宋体" w:hAnsi="宋体" w:eastAsia="宋体" w:cs="宋体"/>
          <w:b w:val="0"/>
          <w:bCs/>
          <w:sz w:val="32"/>
          <w:szCs w:val="32"/>
          <w:lang w:eastAsia="zh-CN"/>
        </w:rPr>
        <w:t>根据各三级绩效指标值，</w:t>
      </w:r>
      <w:r>
        <w:rPr>
          <w:rFonts w:hint="eastAsia" w:ascii="宋体" w:hAnsi="宋体" w:eastAsia="宋体" w:cs="宋体"/>
          <w:b w:val="0"/>
          <w:bCs/>
          <w:sz w:val="32"/>
          <w:szCs w:val="32"/>
          <w:highlight w:val="none"/>
          <w:lang w:eastAsia="zh-CN"/>
        </w:rPr>
        <w:t>逐项分析全年实际完成情况）</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1、开展督导工作次数≥3</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调研指导</w:t>
      </w:r>
      <w:r>
        <w:rPr>
          <w:rFonts w:hint="eastAsia" w:ascii="宋体" w:hAnsi="宋体" w:eastAsia="宋体" w:cs="宋体"/>
          <w:b w:val="0"/>
          <w:bCs/>
          <w:sz w:val="32"/>
          <w:szCs w:val="32"/>
          <w:lang w:val="en-US" w:eastAsia="zh-CN"/>
        </w:rPr>
        <w:t>组对全省各市县、乡镇开展</w:t>
      </w:r>
      <w:r>
        <w:rPr>
          <w:rFonts w:hint="eastAsia" w:ascii="宋体" w:hAnsi="宋体" w:eastAsia="宋体" w:cs="宋体"/>
          <w:b w:val="0"/>
          <w:bCs/>
          <w:sz w:val="32"/>
          <w:szCs w:val="32"/>
          <w:lang w:val="en-US" w:eastAsia="zh-CN"/>
        </w:rPr>
        <w:t>了7轮“拉网式”和</w:t>
      </w:r>
      <w:r>
        <w:rPr>
          <w:rFonts w:hint="eastAsia" w:ascii="宋体" w:hAnsi="宋体" w:eastAsia="宋体" w:cs="宋体"/>
          <w:b w:val="0"/>
          <w:bCs/>
          <w:sz w:val="32"/>
          <w:szCs w:val="32"/>
          <w:lang w:val="en-US" w:eastAsia="zh-CN"/>
        </w:rPr>
        <w:t>“交叉式”抽样</w:t>
      </w:r>
      <w:r>
        <w:rPr>
          <w:rFonts w:hint="eastAsia" w:ascii="宋体" w:hAnsi="宋体" w:eastAsia="宋体" w:cs="宋体"/>
          <w:b w:val="0"/>
          <w:bCs/>
          <w:sz w:val="32"/>
          <w:szCs w:val="32"/>
          <w:lang w:val="en-US" w:eastAsia="zh-CN"/>
        </w:rPr>
        <w:t>调研指导</w:t>
      </w:r>
      <w:r>
        <w:rPr>
          <w:rFonts w:hint="eastAsia" w:ascii="宋体" w:hAnsi="宋体" w:eastAsia="宋体" w:cs="宋体"/>
          <w:b w:val="0"/>
          <w:bCs/>
          <w:sz w:val="32"/>
          <w:szCs w:val="32"/>
          <w:lang w:val="en-US" w:eastAsia="zh-CN"/>
        </w:rPr>
        <w:t>检查工作，对</w:t>
      </w:r>
      <w:r>
        <w:rPr>
          <w:rFonts w:hint="eastAsia" w:ascii="宋体" w:hAnsi="宋体" w:eastAsia="宋体" w:cs="宋体"/>
          <w:b w:val="0"/>
          <w:bCs/>
          <w:sz w:val="32"/>
          <w:szCs w:val="32"/>
          <w:lang w:val="en-US" w:eastAsia="zh-CN"/>
        </w:rPr>
        <w:t>各</w:t>
      </w:r>
      <w:r>
        <w:rPr>
          <w:rFonts w:hint="eastAsia" w:ascii="宋体" w:hAnsi="宋体" w:eastAsia="宋体" w:cs="宋体"/>
          <w:b w:val="0"/>
          <w:bCs/>
          <w:sz w:val="32"/>
          <w:szCs w:val="32"/>
          <w:lang w:val="en-US" w:eastAsia="zh-CN"/>
        </w:rPr>
        <w:t>市县</w:t>
      </w:r>
      <w:r>
        <w:rPr>
          <w:rFonts w:hint="eastAsia" w:ascii="宋体" w:hAnsi="宋体" w:eastAsia="宋体" w:cs="宋体"/>
          <w:b w:val="0"/>
          <w:bCs/>
          <w:sz w:val="32"/>
          <w:szCs w:val="32"/>
          <w:lang w:val="en-US" w:eastAsia="zh-CN"/>
        </w:rPr>
        <w:t>卫生健康委</w:t>
      </w:r>
      <w:r>
        <w:rPr>
          <w:rFonts w:hint="eastAsia" w:ascii="宋体" w:hAnsi="宋体" w:eastAsia="宋体" w:cs="宋体"/>
          <w:b w:val="0"/>
          <w:bCs/>
          <w:sz w:val="32"/>
          <w:szCs w:val="32"/>
          <w:lang w:val="en-US" w:eastAsia="zh-CN"/>
        </w:rPr>
        <w:t>、</w:t>
      </w:r>
      <w:r>
        <w:rPr>
          <w:rFonts w:hint="eastAsia" w:ascii="宋体" w:hAnsi="宋体" w:eastAsia="宋体" w:cs="宋体"/>
          <w:b w:val="0"/>
          <w:bCs/>
          <w:sz w:val="32"/>
          <w:szCs w:val="32"/>
          <w:lang w:val="en-US" w:eastAsia="zh-CN"/>
        </w:rPr>
        <w:t>基层</w:t>
      </w:r>
      <w:r>
        <w:rPr>
          <w:rFonts w:hint="eastAsia" w:ascii="宋体" w:hAnsi="宋体" w:eastAsia="宋体" w:cs="宋体"/>
          <w:b w:val="0"/>
          <w:bCs/>
          <w:sz w:val="32"/>
          <w:szCs w:val="32"/>
          <w:lang w:val="en-US" w:eastAsia="zh-CN"/>
        </w:rPr>
        <w:t>医疗机构等重点点位开展抽样</w:t>
      </w:r>
      <w:r>
        <w:rPr>
          <w:rFonts w:hint="eastAsia" w:ascii="宋体" w:hAnsi="宋体" w:eastAsia="宋体" w:cs="宋体"/>
          <w:b w:val="0"/>
          <w:bCs/>
          <w:sz w:val="32"/>
          <w:szCs w:val="32"/>
          <w:lang w:val="en-US" w:eastAsia="zh-CN"/>
        </w:rPr>
        <w:t>调研指导</w:t>
      </w:r>
      <w:r>
        <w:rPr>
          <w:rFonts w:hint="eastAsia" w:ascii="宋体" w:hAnsi="宋体" w:eastAsia="宋体" w:cs="宋体"/>
          <w:b w:val="0"/>
          <w:bCs/>
          <w:sz w:val="32"/>
          <w:szCs w:val="32"/>
          <w:lang w:val="en-US" w:eastAsia="zh-CN"/>
        </w:rPr>
        <w:t>巡查。督促、指导社区（乡镇）开展查缺补漏，对</w:t>
      </w:r>
      <w:r>
        <w:rPr>
          <w:rFonts w:hint="eastAsia" w:ascii="宋体" w:hAnsi="宋体" w:eastAsia="宋体" w:cs="宋体"/>
          <w:b w:val="0"/>
          <w:bCs/>
          <w:sz w:val="32"/>
          <w:szCs w:val="32"/>
          <w:lang w:val="en-US" w:eastAsia="zh-CN"/>
        </w:rPr>
        <w:t>调研指导</w:t>
      </w:r>
      <w:r>
        <w:rPr>
          <w:rFonts w:hint="eastAsia" w:ascii="宋体" w:hAnsi="宋体" w:eastAsia="宋体" w:cs="宋体"/>
          <w:b w:val="0"/>
          <w:bCs/>
          <w:sz w:val="32"/>
          <w:szCs w:val="32"/>
          <w:lang w:val="en-US" w:eastAsia="zh-CN"/>
        </w:rPr>
        <w:t>中发现的问题督促相关单位落实整改。</w:t>
      </w:r>
    </w:p>
    <w:p>
      <w:pPr>
        <w:keepNext w:val="0"/>
        <w:keepLines w:val="0"/>
        <w:pageBreakBefore w:val="0"/>
        <w:widowControl w:val="0"/>
        <w:numPr>
          <w:ilvl w:val="0"/>
          <w:numId w:val="1"/>
        </w:numPr>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highlight w:val="none"/>
          <w:lang w:val="en-US" w:eastAsia="zh-CN"/>
        </w:rPr>
      </w:pPr>
      <w:r>
        <w:rPr>
          <w:rFonts w:hint="eastAsia" w:ascii="宋体" w:hAnsi="宋体" w:eastAsia="宋体" w:cs="宋体"/>
          <w:b w:val="0"/>
          <w:bCs/>
          <w:sz w:val="32"/>
          <w:szCs w:val="32"/>
          <w:highlight w:val="none"/>
          <w:lang w:val="en-US" w:eastAsia="zh-CN"/>
        </w:rPr>
        <w:t>督导市县开展老年痴呆防治知识宣传的社区（村）覆盖率≥90%</w:t>
      </w:r>
    </w:p>
    <w:p>
      <w:pPr>
        <w:keepNext w:val="0"/>
        <w:keepLines w:val="0"/>
        <w:pageBreakBefore w:val="0"/>
        <w:widowControl w:val="0"/>
        <w:numPr>
          <w:ilvl w:val="0"/>
          <w:numId w:val="0"/>
        </w:numPr>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调研指导</w:t>
      </w:r>
      <w:r>
        <w:rPr>
          <w:rFonts w:hint="eastAsia" w:ascii="宋体" w:hAnsi="宋体" w:eastAsia="宋体" w:cs="宋体"/>
          <w:b w:val="0"/>
          <w:bCs/>
          <w:sz w:val="32"/>
          <w:szCs w:val="32"/>
          <w:lang w:val="en-US" w:eastAsia="zh-CN"/>
        </w:rPr>
        <w:t>组</w:t>
      </w:r>
      <w:r>
        <w:rPr>
          <w:rFonts w:hint="eastAsia" w:ascii="宋体" w:hAnsi="宋体" w:eastAsia="宋体" w:cs="宋体"/>
          <w:b w:val="0"/>
          <w:bCs/>
          <w:sz w:val="32"/>
          <w:szCs w:val="32"/>
          <w:lang w:val="en-US" w:eastAsia="zh-CN"/>
        </w:rPr>
        <w:t>结合全省新冠肺炎疫情要求，采取线上和线下结合的方式开展该项督导工作，通过查阅资料（查阅各市县、单位相关工作资料，包括出台的文件、工作小结、工作记录、图片、视频等资料）、线上督导（通过电话、短视频、微信等方式在线上对各市县卫生健康委和质控员、筛查人员展开督导工作）、实地调研指导（通过现场走访、电话回访，调研活动开展情况）、</w:t>
      </w:r>
      <w:r>
        <w:rPr>
          <w:rStyle w:val="14"/>
          <w:rFonts w:hint="eastAsia" w:ascii="宋体" w:hAnsi="宋体" w:eastAsia="宋体" w:cs="宋体"/>
          <w:b w:val="0"/>
          <w:i w:val="0"/>
          <w:caps w:val="0"/>
          <w:spacing w:val="0"/>
          <w:w w:val="100"/>
          <w:kern w:val="2"/>
          <w:sz w:val="32"/>
          <w:szCs w:val="24"/>
          <w:lang w:val="en-US" w:eastAsia="zh-CN" w:bidi="ar-SA"/>
        </w:rPr>
        <w:t>调研指导反馈</w:t>
      </w:r>
      <w:r>
        <w:rPr>
          <w:rStyle w:val="14"/>
          <w:rFonts w:hint="eastAsia" w:ascii="宋体" w:hAnsi="宋体" w:eastAsia="宋体" w:cs="宋体"/>
          <w:b w:val="0"/>
          <w:i w:val="0"/>
          <w:caps w:val="0"/>
          <w:spacing w:val="0"/>
          <w:w w:val="100"/>
          <w:kern w:val="2"/>
          <w:sz w:val="32"/>
          <w:szCs w:val="24"/>
          <w:lang w:val="en-US" w:eastAsia="zh-CN" w:bidi="ar-SA"/>
        </w:rPr>
        <w:t>（</w:t>
      </w:r>
      <w:r>
        <w:rPr>
          <w:rStyle w:val="14"/>
          <w:rFonts w:hint="eastAsia" w:ascii="宋体" w:hAnsi="宋体" w:eastAsia="宋体" w:cs="宋体"/>
          <w:b w:val="0"/>
          <w:i w:val="0"/>
          <w:caps w:val="0"/>
          <w:spacing w:val="0"/>
          <w:w w:val="100"/>
          <w:kern w:val="2"/>
          <w:sz w:val="32"/>
          <w:szCs w:val="24"/>
          <w:lang w:val="en-US" w:eastAsia="zh-CN" w:bidi="ar-SA"/>
        </w:rPr>
        <w:t>对调研指导中发现的问题与被调研指导单位交流、反馈，对被调研指导单位今后的工作提出意见及改进建议。对进展较慢、问题较多的单位进行通报</w:t>
      </w:r>
      <w:r>
        <w:rPr>
          <w:rStyle w:val="14"/>
          <w:rFonts w:hint="eastAsia" w:ascii="宋体" w:hAnsi="宋体" w:eastAsia="宋体" w:cs="宋体"/>
          <w:b w:val="0"/>
          <w:i w:val="0"/>
          <w:caps w:val="0"/>
          <w:spacing w:val="0"/>
          <w:w w:val="100"/>
          <w:kern w:val="2"/>
          <w:sz w:val="32"/>
          <w:szCs w:val="24"/>
          <w:lang w:val="en-US" w:eastAsia="zh-CN" w:bidi="ar-SA"/>
        </w:rPr>
        <w:t>）</w:t>
      </w:r>
      <w:r>
        <w:rPr>
          <w:rStyle w:val="14"/>
          <w:rFonts w:hint="eastAsia" w:ascii="宋体" w:hAnsi="宋体" w:eastAsia="宋体" w:cs="宋体"/>
          <w:b w:val="0"/>
          <w:i w:val="0"/>
          <w:caps w:val="0"/>
          <w:spacing w:val="0"/>
          <w:w w:val="100"/>
          <w:kern w:val="2"/>
          <w:sz w:val="32"/>
          <w:szCs w:val="24"/>
          <w:lang w:val="en-US" w:eastAsia="zh-CN" w:bidi="ar-SA"/>
        </w:rPr>
        <w:t>。</w:t>
      </w:r>
      <w:r>
        <w:rPr>
          <w:rStyle w:val="14"/>
          <w:rFonts w:hint="eastAsia" w:ascii="宋体" w:hAnsi="宋体" w:eastAsia="宋体" w:cs="宋体"/>
          <w:b w:val="0"/>
          <w:i w:val="0"/>
          <w:caps w:val="0"/>
          <w:spacing w:val="0"/>
          <w:w w:val="100"/>
          <w:kern w:val="2"/>
          <w:sz w:val="32"/>
          <w:szCs w:val="24"/>
          <w:lang w:val="en-US" w:eastAsia="zh-CN" w:bidi="ar-SA"/>
        </w:rPr>
        <w:t>各</w:t>
      </w:r>
      <w:r>
        <w:rPr>
          <w:rFonts w:hint="eastAsia" w:ascii="宋体" w:hAnsi="宋体" w:eastAsia="宋体" w:cs="宋体"/>
          <w:b w:val="0"/>
          <w:bCs/>
          <w:sz w:val="32"/>
          <w:szCs w:val="32"/>
          <w:highlight w:val="none"/>
          <w:lang w:val="en-US" w:eastAsia="zh-CN"/>
        </w:rPr>
        <w:t>市县开展老年痴呆防治知识宣传的社区（村）覆盖率达到了96%</w:t>
      </w:r>
      <w:r>
        <w:rPr>
          <w:rFonts w:hint="eastAsia" w:ascii="宋体" w:hAnsi="宋体" w:eastAsia="宋体" w:cs="宋体"/>
          <w:b w:val="0"/>
          <w:bCs/>
          <w:sz w:val="32"/>
          <w:szCs w:val="32"/>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val="0"/>
        <w:spacing w:line="578" w:lineRule="exact"/>
        <w:ind w:left="0" w:leftChars="0" w:firstLine="640" w:firstLineChars="200"/>
        <w:textAlignment w:val="auto"/>
        <w:rPr>
          <w:rFonts w:hint="eastAsia" w:ascii="宋体" w:hAnsi="宋体" w:eastAsia="宋体" w:cs="宋体"/>
          <w:b w:val="0"/>
          <w:bCs/>
          <w:sz w:val="32"/>
          <w:szCs w:val="32"/>
          <w:highlight w:val="none"/>
          <w:lang w:val="en-US" w:eastAsia="zh-CN"/>
        </w:rPr>
      </w:pPr>
      <w:r>
        <w:rPr>
          <w:rFonts w:hint="eastAsia" w:ascii="宋体" w:hAnsi="宋体" w:eastAsia="宋体" w:cs="宋体"/>
          <w:b w:val="0"/>
          <w:bCs/>
          <w:sz w:val="32"/>
          <w:szCs w:val="32"/>
          <w:highlight w:val="none"/>
          <w:lang w:val="en-US" w:eastAsia="zh-CN"/>
        </w:rPr>
        <w:t>督导为全省失能老年人中“知情自愿”人数筛查率≥70%</w:t>
      </w:r>
    </w:p>
    <w:p>
      <w:pPr>
        <w:keepNext w:val="0"/>
        <w:keepLines w:val="0"/>
        <w:pageBreakBefore w:val="0"/>
        <w:widowControl w:val="0"/>
        <w:numPr>
          <w:ilvl w:val="0"/>
          <w:numId w:val="0"/>
        </w:numPr>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color w:val="FF0000"/>
          <w:sz w:val="32"/>
          <w:szCs w:val="32"/>
          <w:lang w:val="en-US" w:eastAsia="zh-CN"/>
        </w:rPr>
      </w:pPr>
      <w:r>
        <w:rPr>
          <w:rFonts w:hint="eastAsia" w:ascii="宋体" w:hAnsi="宋体" w:eastAsia="宋体" w:cs="宋体"/>
          <w:b w:val="0"/>
          <w:bCs/>
          <w:sz w:val="32"/>
          <w:szCs w:val="32"/>
          <w:lang w:val="en-US" w:eastAsia="zh-CN"/>
        </w:rPr>
        <w:t>按照项目实施方案中的要求，对</w:t>
      </w:r>
      <w:r>
        <w:rPr>
          <w:rFonts w:hint="eastAsia" w:ascii="宋体" w:hAnsi="宋体" w:eastAsia="宋体" w:cs="宋体"/>
          <w:b w:val="0"/>
          <w:bCs/>
          <w:sz w:val="32"/>
          <w:szCs w:val="32"/>
          <w:lang w:val="en-US" w:eastAsia="zh-CN"/>
        </w:rPr>
        <w:t>各市县展开</w:t>
      </w:r>
      <w:r>
        <w:rPr>
          <w:rFonts w:hint="eastAsia" w:ascii="宋体" w:hAnsi="宋体" w:eastAsia="宋体" w:cs="宋体"/>
          <w:b w:val="0"/>
          <w:bCs/>
          <w:sz w:val="32"/>
          <w:szCs w:val="32"/>
          <w:lang w:val="en-US" w:eastAsia="zh-CN"/>
        </w:rPr>
        <w:t>多形式的</w:t>
      </w:r>
      <w:r>
        <w:rPr>
          <w:rFonts w:hint="eastAsia" w:ascii="宋体" w:hAnsi="宋体" w:eastAsia="宋体" w:cs="宋体"/>
          <w:b w:val="0"/>
          <w:bCs/>
          <w:sz w:val="32"/>
          <w:szCs w:val="32"/>
          <w:lang w:val="en-US" w:eastAsia="zh-CN"/>
        </w:rPr>
        <w:t>调研指导</w:t>
      </w:r>
      <w:r>
        <w:rPr>
          <w:rFonts w:hint="eastAsia" w:ascii="宋体" w:hAnsi="宋体" w:eastAsia="宋体" w:cs="宋体"/>
          <w:b w:val="0"/>
          <w:bCs/>
          <w:sz w:val="32"/>
          <w:szCs w:val="32"/>
          <w:lang w:val="en-US" w:eastAsia="zh-CN"/>
        </w:rPr>
        <w:t>。根据</w:t>
      </w:r>
      <w:r>
        <w:rPr>
          <w:rFonts w:hint="eastAsia" w:ascii="宋体" w:hAnsi="宋体" w:eastAsia="宋体" w:cs="宋体"/>
          <w:b w:val="0"/>
          <w:bCs/>
          <w:sz w:val="32"/>
          <w:szCs w:val="32"/>
          <w:lang w:val="en-US" w:eastAsia="zh-CN"/>
        </w:rPr>
        <w:t>调研</w:t>
      </w:r>
      <w:r>
        <w:rPr>
          <w:rFonts w:hint="eastAsia" w:ascii="宋体" w:hAnsi="宋体" w:eastAsia="宋体" w:cs="宋体"/>
          <w:b w:val="0"/>
          <w:bCs/>
          <w:sz w:val="32"/>
          <w:szCs w:val="32"/>
          <w:lang w:val="en-US" w:eastAsia="zh-CN"/>
        </w:rPr>
        <w:t>结果显示，参与调查总计</w:t>
      </w:r>
      <w:r>
        <w:rPr>
          <w:rFonts w:hint="eastAsia" w:ascii="宋体" w:hAnsi="宋体" w:eastAsia="宋体" w:cs="宋体"/>
          <w:b w:val="0"/>
          <w:bCs/>
          <w:sz w:val="32"/>
          <w:szCs w:val="32"/>
          <w:lang w:val="en-US" w:eastAsia="zh-CN"/>
        </w:rPr>
        <w:t>18个市县，全省筛查数达240225，其中合格数为227453，任务数为199465，完成率为114.03%，合格率为94.68%。以上筛查量均为老人“知情自愿”参与筛查。</w:t>
      </w:r>
    </w:p>
    <w:p>
      <w:pPr>
        <w:keepNext w:val="0"/>
        <w:keepLines w:val="0"/>
        <w:pageBreakBefore w:val="0"/>
        <w:widowControl w:val="0"/>
        <w:numPr>
          <w:ilvl w:val="0"/>
          <w:numId w:val="1"/>
        </w:numPr>
        <w:kinsoku/>
        <w:wordWrap/>
        <w:overflowPunct/>
        <w:topLinePunct w:val="0"/>
        <w:autoSpaceDE/>
        <w:autoSpaceDN/>
        <w:bidi w:val="0"/>
        <w:adjustRightInd/>
        <w:snapToGrid w:val="0"/>
        <w:spacing w:line="578" w:lineRule="exact"/>
        <w:ind w:left="0" w:leftChars="0" w:firstLine="640" w:firstLineChars="200"/>
        <w:textAlignment w:val="auto"/>
        <w:rPr>
          <w:rFonts w:hint="eastAsia" w:ascii="宋体" w:hAnsi="宋体" w:eastAsia="宋体" w:cs="宋体"/>
          <w:b w:val="0"/>
          <w:bCs/>
          <w:sz w:val="32"/>
          <w:szCs w:val="32"/>
          <w:highlight w:val="none"/>
          <w:lang w:val="en-US" w:eastAsia="zh-CN"/>
        </w:rPr>
      </w:pPr>
      <w:r>
        <w:rPr>
          <w:rFonts w:hint="eastAsia" w:ascii="宋体" w:hAnsi="宋体" w:eastAsia="宋体" w:cs="宋体"/>
          <w:b w:val="0"/>
          <w:bCs/>
          <w:sz w:val="32"/>
          <w:szCs w:val="32"/>
          <w:highlight w:val="none"/>
          <w:lang w:val="en-US" w:eastAsia="zh-CN"/>
        </w:rPr>
        <w:t>公众对老年人脑健康的关注度不断提高</w:t>
      </w:r>
    </w:p>
    <w:p>
      <w:pPr>
        <w:keepNext w:val="0"/>
        <w:keepLines w:val="0"/>
        <w:pageBreakBefore w:val="0"/>
        <w:widowControl w:val="0"/>
        <w:numPr>
          <w:ilvl w:val="0"/>
          <w:numId w:val="0"/>
        </w:numPr>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通过项目开展和推进，各市县均采用了融媒体、报纸、标语、横幅、彩页、短视频等方式对该项目进行宣传，</w:t>
      </w:r>
      <w:r>
        <w:rPr>
          <w:rFonts w:hint="eastAsia" w:ascii="宋体" w:hAnsi="宋体" w:eastAsia="宋体" w:cs="宋体"/>
          <w:b w:val="0"/>
          <w:bCs/>
          <w:sz w:val="32"/>
          <w:szCs w:val="32"/>
          <w:highlight w:val="none"/>
          <w:lang w:val="en-US" w:eastAsia="zh-CN"/>
        </w:rPr>
        <w:t>公众对老年人脑健康的关注度明显提高。</w:t>
      </w:r>
    </w:p>
    <w:p>
      <w:pPr>
        <w:keepNext w:val="0"/>
        <w:keepLines w:val="0"/>
        <w:pageBreakBefore w:val="0"/>
        <w:widowControl w:val="0"/>
        <w:numPr>
          <w:ilvl w:val="0"/>
          <w:numId w:val="1"/>
        </w:numPr>
        <w:kinsoku/>
        <w:wordWrap/>
        <w:overflowPunct/>
        <w:topLinePunct w:val="0"/>
        <w:autoSpaceDE/>
        <w:autoSpaceDN/>
        <w:bidi w:val="0"/>
        <w:adjustRightInd/>
        <w:snapToGrid w:val="0"/>
        <w:spacing w:line="578" w:lineRule="exact"/>
        <w:ind w:left="0" w:leftChars="0" w:firstLine="640" w:firstLineChars="200"/>
        <w:textAlignment w:val="auto"/>
        <w:rPr>
          <w:rFonts w:hint="eastAsia" w:ascii="宋体" w:hAnsi="宋体" w:eastAsia="宋体" w:cs="宋体"/>
          <w:b w:val="0"/>
          <w:bCs/>
          <w:sz w:val="32"/>
          <w:szCs w:val="32"/>
          <w:highlight w:val="none"/>
          <w:lang w:val="en-US" w:eastAsia="zh-CN"/>
        </w:rPr>
      </w:pPr>
      <w:r>
        <w:rPr>
          <w:rFonts w:hint="eastAsia" w:ascii="宋体" w:hAnsi="宋体" w:eastAsia="宋体" w:cs="宋体"/>
          <w:b w:val="0"/>
          <w:bCs/>
          <w:sz w:val="32"/>
          <w:szCs w:val="32"/>
          <w:highlight w:val="none"/>
          <w:lang w:val="en-US" w:eastAsia="zh-CN"/>
        </w:rPr>
        <w:t>脑健康和认知康复训练服务水平不断提高</w:t>
      </w:r>
    </w:p>
    <w:p>
      <w:pPr>
        <w:keepNext w:val="0"/>
        <w:keepLines w:val="0"/>
        <w:pageBreakBefore w:val="0"/>
        <w:widowControl w:val="0"/>
        <w:numPr>
          <w:ilvl w:val="0"/>
          <w:numId w:val="0"/>
        </w:numPr>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lang w:val="en-US" w:eastAsia="zh-CN"/>
        </w:rPr>
      </w:pPr>
      <w:r>
        <w:rPr>
          <w:rFonts w:hint="eastAsia" w:ascii="宋体" w:hAnsi="宋体" w:eastAsia="宋体" w:cs="宋体"/>
          <w:b w:val="0"/>
          <w:bCs/>
          <w:sz w:val="32"/>
          <w:szCs w:val="32"/>
          <w:lang w:val="en-US" w:eastAsia="zh-CN"/>
        </w:rPr>
        <w:t>通过集中培训和现场指导，集合了全省多家三级医院的专家对各筛查人员和医疗机构开展了</w:t>
      </w:r>
      <w:r>
        <w:rPr>
          <w:rFonts w:hint="eastAsia" w:ascii="宋体" w:hAnsi="宋体" w:eastAsia="宋体" w:cs="宋体"/>
          <w:b w:val="0"/>
          <w:bCs/>
          <w:sz w:val="32"/>
          <w:szCs w:val="32"/>
          <w:highlight w:val="none"/>
          <w:lang w:val="en-US" w:eastAsia="zh-CN"/>
        </w:rPr>
        <w:t>脑健康和认知康复训练服务水平培训，全省各医疗机构及相关单位的脑健康和认知康复训练服务水平明显提升。</w:t>
      </w:r>
    </w:p>
    <w:p>
      <w:pPr>
        <w:keepNext w:val="0"/>
        <w:keepLines w:val="0"/>
        <w:pageBreakBefore w:val="0"/>
        <w:widowControl w:val="0"/>
        <w:numPr>
          <w:ilvl w:val="0"/>
          <w:numId w:val="1"/>
        </w:numPr>
        <w:kinsoku/>
        <w:wordWrap/>
        <w:overflowPunct/>
        <w:topLinePunct w:val="0"/>
        <w:autoSpaceDE/>
        <w:autoSpaceDN/>
        <w:bidi w:val="0"/>
        <w:adjustRightInd/>
        <w:snapToGrid w:val="0"/>
        <w:spacing w:line="578" w:lineRule="exact"/>
        <w:ind w:left="0" w:leftChars="0" w:firstLine="640" w:firstLineChars="200"/>
        <w:textAlignment w:val="auto"/>
        <w:rPr>
          <w:rFonts w:hint="eastAsia" w:ascii="宋体" w:hAnsi="宋体" w:eastAsia="宋体" w:cs="宋体"/>
          <w:b w:val="0"/>
          <w:bCs/>
          <w:sz w:val="32"/>
          <w:szCs w:val="32"/>
          <w:highlight w:val="none"/>
          <w:lang w:val="en-US" w:eastAsia="zh-CN"/>
        </w:rPr>
      </w:pPr>
      <w:r>
        <w:rPr>
          <w:rFonts w:hint="eastAsia" w:ascii="宋体" w:hAnsi="宋体" w:eastAsia="宋体" w:cs="宋体"/>
          <w:b w:val="0"/>
          <w:bCs/>
          <w:sz w:val="32"/>
          <w:szCs w:val="32"/>
          <w:highlight w:val="none"/>
          <w:lang w:val="en-US" w:eastAsia="zh-CN"/>
        </w:rPr>
        <w:t>老年性痴呆防治知识知晓率不断提高</w:t>
      </w:r>
    </w:p>
    <w:p>
      <w:pPr>
        <w:keepNext w:val="0"/>
        <w:keepLines w:val="0"/>
        <w:pageBreakBefore w:val="0"/>
        <w:widowControl w:val="0"/>
        <w:numPr>
          <w:ilvl w:val="0"/>
          <w:numId w:val="0"/>
        </w:numPr>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lang w:val="en-US" w:eastAsia="zh-CN"/>
        </w:rPr>
      </w:pPr>
      <w:r>
        <w:rPr>
          <w:rFonts w:hint="eastAsia" w:ascii="宋体" w:hAnsi="宋体" w:eastAsia="宋体" w:cs="宋体"/>
          <w:b w:val="0"/>
          <w:bCs/>
          <w:sz w:val="32"/>
          <w:szCs w:val="32"/>
          <w:lang w:val="en-US" w:eastAsia="zh-CN"/>
        </w:rPr>
        <w:t>通过项目开展和推进，各市县均采用了融媒体、报纸、标语、横幅、彩页、短视频等方式对该项目进行宣传，</w:t>
      </w:r>
      <w:r>
        <w:rPr>
          <w:rFonts w:hint="eastAsia" w:ascii="宋体" w:hAnsi="宋体" w:eastAsia="宋体" w:cs="宋体"/>
          <w:b w:val="0"/>
          <w:bCs/>
          <w:sz w:val="32"/>
          <w:szCs w:val="32"/>
          <w:highlight w:val="none"/>
          <w:lang w:val="en-US" w:eastAsia="zh-CN"/>
        </w:rPr>
        <w:t>老年性痴呆防治知识知晓率明显提高。</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rPr>
      </w:pPr>
      <w:r>
        <w:rPr>
          <w:rFonts w:hint="eastAsia" w:ascii="宋体" w:hAnsi="宋体" w:eastAsia="宋体" w:cs="宋体"/>
          <w:b w:val="0"/>
          <w:bCs/>
          <w:sz w:val="32"/>
          <w:szCs w:val="32"/>
        </w:rPr>
        <w:t>三、偏离绩效目标的原因和下一步改进措施</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2022年老年人认知障碍筛查项目财政补助资金的分解和使用，实现了项目绩效目标要求，没有偏离绩效目标。</w:t>
      </w:r>
    </w:p>
    <w:p>
      <w:pPr>
        <w:keepNext w:val="0"/>
        <w:keepLines w:val="0"/>
        <w:pageBreakBefore w:val="0"/>
        <w:widowControl w:val="0"/>
        <w:numPr>
          <w:ilvl w:val="0"/>
          <w:numId w:val="2"/>
        </w:numPr>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rPr>
      </w:pPr>
      <w:r>
        <w:rPr>
          <w:rFonts w:hint="eastAsia" w:ascii="宋体" w:hAnsi="宋体" w:eastAsia="宋体" w:cs="宋体"/>
          <w:b w:val="0"/>
          <w:bCs/>
          <w:sz w:val="32"/>
          <w:szCs w:val="32"/>
        </w:rPr>
        <w:t>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进一步加强对绩效目标自评结果的运用，督促资金使用单位做好绩效自评发现的问题，并进行认真整改，确保老年人认知障碍筛查项目绩效目标保质保量实现。我们自愿根据行政部分的相关要求，将绩效自评报告公开，接受社会监督。</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rPr>
      </w:pPr>
      <w:r>
        <w:rPr>
          <w:rFonts w:hint="eastAsia" w:ascii="宋体" w:hAnsi="宋体" w:eastAsia="宋体" w:cs="宋体"/>
          <w:b w:val="0"/>
          <w:bCs/>
          <w:sz w:val="32"/>
          <w:szCs w:val="32"/>
        </w:rPr>
        <w:t>五、其他需要说明的问题</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宋体" w:hAnsi="宋体" w:eastAsia="宋体" w:cs="宋体"/>
          <w:b w:val="0"/>
          <w:bCs/>
          <w:sz w:val="32"/>
          <w:szCs w:val="32"/>
        </w:rPr>
      </w:pPr>
      <w:r>
        <w:rPr>
          <w:rFonts w:hint="eastAsia" w:ascii="宋体" w:hAnsi="宋体" w:eastAsia="宋体" w:cs="宋体"/>
          <w:b w:val="0"/>
          <w:bCs/>
          <w:sz w:val="32"/>
          <w:szCs w:val="32"/>
          <w:lang w:eastAsia="zh-CN"/>
        </w:rPr>
        <w:t>无相关问题</w:t>
      </w:r>
      <w:r>
        <w:rPr>
          <w:rFonts w:hint="eastAsia" w:ascii="宋体" w:hAnsi="宋体" w:eastAsia="宋体" w:cs="宋体"/>
          <w:b w:val="0"/>
          <w:bCs/>
          <w:sz w:val="32"/>
          <w:szCs w:val="32"/>
        </w:rPr>
        <w:t>。</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ins w:id="0" w:author="李冠胤" w:date="2023-04-11T08:06:15Z"/>
          <w:rFonts w:hint="eastAsia" w:ascii="宋体" w:hAnsi="宋体" w:eastAsia="宋体" w:cs="宋体"/>
          <w:b w:val="0"/>
          <w:bCs/>
          <w:sz w:val="32"/>
          <w:szCs w:val="32"/>
          <w:lang w:eastAsia="zh-CN"/>
        </w:rPr>
      </w:pPr>
      <w:r>
        <w:rPr>
          <w:rFonts w:hint="eastAsia" w:ascii="宋体" w:hAnsi="宋体" w:eastAsia="宋体" w:cs="宋体"/>
          <w:b w:val="0"/>
          <w:bCs/>
          <w:sz w:val="32"/>
          <w:szCs w:val="32"/>
          <w:lang w:val="en" w:eastAsia="zh-CN"/>
        </w:rPr>
        <w:t>附件：</w:t>
      </w:r>
      <w:r>
        <w:rPr>
          <w:rFonts w:hint="eastAsia" w:ascii="宋体" w:hAnsi="宋体" w:eastAsia="宋体" w:cs="宋体"/>
          <w:b w:val="0"/>
          <w:bCs/>
          <w:sz w:val="32"/>
          <w:szCs w:val="32"/>
          <w:lang w:eastAsia="zh-CN"/>
        </w:rPr>
        <w:t>转移支付区域（项目）绩效目标自评表</w:t>
      </w:r>
    </w:p>
    <w:p>
      <w:pPr>
        <w:keepNext w:val="0"/>
        <w:keepLines w:val="0"/>
        <w:pageBreakBefore w:val="0"/>
        <w:widowControl w:val="0"/>
        <w:kinsoku/>
        <w:wordWrap/>
        <w:overflowPunct/>
        <w:topLinePunct w:val="0"/>
        <w:autoSpaceDE/>
        <w:autoSpaceDN/>
        <w:bidi w:val="0"/>
        <w:adjustRightInd/>
        <w:snapToGrid w:val="0"/>
        <w:spacing w:line="578" w:lineRule="exact"/>
        <w:textAlignment w:val="auto"/>
        <w:rPr>
          <w:rFonts w:hint="eastAsia" w:ascii="宋体" w:hAnsi="宋体" w:eastAsia="宋体" w:cs="宋体"/>
          <w:b w:val="0"/>
          <w:bCs/>
          <w:sz w:val="32"/>
          <w:szCs w:val="32"/>
          <w:lang w:val="en" w:eastAsia="zh-CN"/>
        </w:rPr>
      </w:pPr>
    </w:p>
    <w:p>
      <w:pPr>
        <w:pStyle w:val="2"/>
        <w:ind w:left="0" w:leftChars="0" w:firstLine="0" w:firstLineChars="0"/>
        <w:rPr>
          <w:rFonts w:hint="eastAsia" w:ascii="宋体" w:hAnsi="宋体" w:eastAsia="宋体" w:cs="宋体"/>
          <w:b w:val="0"/>
          <w:bCs/>
          <w:sz w:val="32"/>
          <w:szCs w:val="32"/>
          <w:lang w:val="en" w:eastAsia="zh-CN"/>
        </w:rPr>
      </w:pPr>
    </w:p>
    <w:p>
      <w:pPr>
        <w:pStyle w:val="2"/>
        <w:ind w:left="0" w:leftChars="0" w:firstLine="0" w:firstLineChars="0"/>
        <w:rPr>
          <w:rFonts w:hint="eastAsia" w:ascii="宋体" w:hAnsi="宋体" w:eastAsia="宋体" w:cs="宋体"/>
          <w:b w:val="0"/>
          <w:bCs/>
          <w:sz w:val="32"/>
          <w:szCs w:val="32"/>
          <w:lang w:val="en" w:eastAsia="zh-CN"/>
        </w:rPr>
      </w:pPr>
    </w:p>
    <w:p>
      <w:pPr>
        <w:pStyle w:val="2"/>
        <w:ind w:left="0" w:leftChars="0" w:firstLine="0" w:firstLineChars="0"/>
        <w:rPr>
          <w:rFonts w:hint="eastAsia" w:ascii="宋体" w:hAnsi="宋体" w:eastAsia="宋体" w:cs="宋体"/>
          <w:b w:val="0"/>
          <w:bCs/>
          <w:sz w:val="32"/>
          <w:szCs w:val="32"/>
          <w:lang w:val="en" w:eastAsia="zh-CN"/>
        </w:rPr>
      </w:pPr>
    </w:p>
    <w:p>
      <w:pPr>
        <w:pStyle w:val="2"/>
        <w:ind w:left="0" w:leftChars="0" w:firstLine="0" w:firstLineChars="0"/>
        <w:rPr>
          <w:rFonts w:hint="eastAsia" w:ascii="宋体" w:hAnsi="宋体" w:eastAsia="宋体" w:cs="宋体"/>
          <w:b w:val="0"/>
          <w:bCs/>
          <w:sz w:val="32"/>
          <w:szCs w:val="32"/>
          <w:lang w:val="en" w:eastAsia="zh-CN"/>
        </w:rPr>
      </w:pPr>
      <w:r>
        <w:rPr>
          <w:rFonts w:hint="eastAsia" w:ascii="宋体" w:hAnsi="宋体" w:eastAsia="宋体" w:cs="宋体"/>
          <w:b w:val="0"/>
          <w:bCs/>
          <w:sz w:val="32"/>
          <w:szCs w:val="32"/>
          <w:lang w:val="en" w:eastAsia="zh-CN"/>
        </w:rPr>
        <w:t>附件</w:t>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1"/>
        <w:gridCol w:w="591"/>
        <w:gridCol w:w="1241"/>
        <w:gridCol w:w="1626"/>
        <w:gridCol w:w="1439"/>
        <w:gridCol w:w="854"/>
        <w:gridCol w:w="855"/>
        <w:gridCol w:w="16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海南省老年病医院</w:t>
            </w:r>
            <w:r>
              <w:rPr>
                <w:rStyle w:val="15"/>
                <w:rFonts w:hint="eastAsia" w:ascii="宋体" w:hAnsi="宋体" w:eastAsia="宋体" w:cs="宋体"/>
                <w:u w:val="none"/>
                <w:lang w:val="en-US" w:eastAsia="zh-CN" w:bidi="ar"/>
              </w:rPr>
              <w:t>转移支付区域（项目）绩效目标自评表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8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转移支付（项目）名称</w:t>
            </w:r>
          </w:p>
        </w:tc>
        <w:tc>
          <w:tcPr>
            <w:tcW w:w="351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老年人认知障碍筛查项目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8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中央主管部门</w:t>
            </w:r>
          </w:p>
        </w:tc>
        <w:tc>
          <w:tcPr>
            <w:tcW w:w="351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8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地方主管部门</w:t>
            </w:r>
          </w:p>
        </w:tc>
        <w:tc>
          <w:tcPr>
            <w:tcW w:w="16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both"/>
              <w:rPr>
                <w:rFonts w:hint="eastAsia" w:ascii="宋体" w:hAnsi="宋体" w:eastAsia="宋体" w:cs="宋体"/>
                <w:i w:val="0"/>
                <w:iCs w:val="0"/>
                <w:color w:val="000000"/>
                <w:sz w:val="20"/>
                <w:szCs w:val="20"/>
                <w:u w:val="none"/>
              </w:rPr>
            </w:pP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资金使用单位</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481"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资金投入情况（</w:t>
            </w:r>
            <w:r>
              <w:rPr>
                <w:rStyle w:val="16"/>
                <w:rFonts w:hint="eastAsia" w:ascii="宋体" w:hAnsi="宋体" w:eastAsia="宋体" w:cs="宋体"/>
                <w:u w:val="none"/>
                <w:lang w:val="en-US" w:eastAsia="zh-CN" w:bidi="ar"/>
              </w:rPr>
              <w:t>万元</w:t>
            </w:r>
            <w:r>
              <w:rPr>
                <w:rStyle w:val="17"/>
                <w:rFonts w:hint="eastAsia" w:ascii="宋体" w:hAnsi="宋体" w:eastAsia="宋体" w:cs="宋体"/>
                <w:u w:val="none"/>
                <w:lang w:val="en-US" w:eastAsia="zh-CN" w:bidi="ar"/>
              </w:rPr>
              <w:t>）</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both"/>
              <w:rPr>
                <w:rFonts w:hint="eastAsia" w:ascii="宋体" w:hAnsi="宋体" w:eastAsia="宋体" w:cs="宋体"/>
                <w:i w:val="0"/>
                <w:iCs w:val="0"/>
                <w:color w:val="000000"/>
                <w:sz w:val="20"/>
                <w:szCs w:val="20"/>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全年预算数（A）</w:t>
            </w: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全年执行数（B）</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48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8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地方资金</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481"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资金管理情况</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both"/>
              <w:rPr>
                <w:rFonts w:hint="eastAsia" w:ascii="宋体" w:hAnsi="宋体" w:eastAsia="宋体" w:cs="宋体"/>
                <w:i w:val="0"/>
                <w:iCs w:val="0"/>
                <w:color w:val="000000"/>
                <w:sz w:val="20"/>
                <w:szCs w:val="20"/>
                <w:u w:val="none"/>
              </w:rPr>
            </w:pPr>
          </w:p>
        </w:tc>
        <w:tc>
          <w:tcPr>
            <w:tcW w:w="17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情况说明</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8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分配科学性</w:t>
            </w:r>
          </w:p>
        </w:tc>
        <w:tc>
          <w:tcPr>
            <w:tcW w:w="17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严格按照实际情况进行资金分配</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未发现问题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8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下达及时性</w:t>
            </w:r>
          </w:p>
        </w:tc>
        <w:tc>
          <w:tcPr>
            <w:tcW w:w="17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下达及时有效</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未发现问题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8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拨付合规性</w:t>
            </w:r>
          </w:p>
        </w:tc>
        <w:tc>
          <w:tcPr>
            <w:tcW w:w="17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严格按</w:t>
            </w:r>
            <w:r>
              <w:rPr>
                <w:rStyle w:val="16"/>
                <w:rFonts w:hint="eastAsia" w:ascii="宋体" w:hAnsi="宋体" w:eastAsia="宋体" w:cs="宋体"/>
                <w:u w:val="none"/>
                <w:lang w:val="en-US" w:eastAsia="zh-CN" w:bidi="ar"/>
              </w:rPr>
              <w:t>相关规定拨付</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未发现问题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8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使用规范性</w:t>
            </w:r>
          </w:p>
        </w:tc>
        <w:tc>
          <w:tcPr>
            <w:tcW w:w="17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严格按相关规定规范使用</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未发现问题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8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执行准确性</w:t>
            </w:r>
          </w:p>
        </w:tc>
        <w:tc>
          <w:tcPr>
            <w:tcW w:w="17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严格按相关规定</w:t>
            </w:r>
            <w:r>
              <w:rPr>
                <w:rStyle w:val="16"/>
                <w:rFonts w:hint="eastAsia" w:ascii="宋体" w:hAnsi="宋体" w:eastAsia="宋体" w:cs="宋体"/>
                <w:u w:val="none"/>
                <w:lang w:val="en-US" w:eastAsia="zh-CN" w:bidi="ar"/>
              </w:rPr>
              <w:t>执行落实</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未发现问题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预算绩效管理情况</w:t>
            </w:r>
          </w:p>
        </w:tc>
        <w:tc>
          <w:tcPr>
            <w:tcW w:w="17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严格按相关规定执行</w:t>
            </w:r>
            <w:r>
              <w:rPr>
                <w:rStyle w:val="16"/>
                <w:rFonts w:hint="eastAsia" w:ascii="宋体" w:hAnsi="宋体" w:eastAsia="宋体" w:cs="宋体"/>
                <w:sz w:val="20"/>
                <w:szCs w:val="20"/>
                <w:u w:val="none"/>
                <w:lang w:val="en-US" w:eastAsia="zh-CN" w:bidi="ar"/>
              </w:rPr>
              <w:t>预算绩效管理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未发现问题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48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支出责任履行情况</w:t>
            </w:r>
          </w:p>
        </w:tc>
        <w:tc>
          <w:tcPr>
            <w:tcW w:w="17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严格按相关规定</w:t>
            </w:r>
            <w:r>
              <w:rPr>
                <w:rStyle w:val="16"/>
                <w:rFonts w:hint="eastAsia" w:ascii="宋体" w:hAnsi="宋体" w:eastAsia="宋体" w:cs="宋体"/>
                <w:u w:val="none"/>
                <w:lang w:val="en-US" w:eastAsia="zh-CN" w:bidi="ar"/>
              </w:rPr>
              <w:t>履行</w:t>
            </w:r>
            <w:r>
              <w:rPr>
                <w:rStyle w:val="17"/>
                <w:rFonts w:hint="eastAsia" w:ascii="宋体" w:hAnsi="宋体" w:eastAsia="宋体" w:cs="宋体"/>
                <w:u w:val="none"/>
                <w:lang w:val="en-US" w:eastAsia="zh-CN" w:bidi="ar"/>
              </w:rPr>
              <w:t>执行</w:t>
            </w:r>
            <w:r>
              <w:rPr>
                <w:rStyle w:val="16"/>
                <w:rFonts w:hint="eastAsia" w:ascii="宋体" w:hAnsi="宋体" w:eastAsia="宋体" w:cs="宋体"/>
                <w:u w:val="none"/>
                <w:lang w:val="en-US" w:eastAsia="zh-CN" w:bidi="ar"/>
              </w:rPr>
              <w:t>支出责任</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未发现问题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总体目标完成情况</w:t>
            </w:r>
          </w:p>
        </w:tc>
        <w:tc>
          <w:tcPr>
            <w:tcW w:w="270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182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270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普及老年性痴呆防治知识，提高防治知识知晓率。</w:t>
            </w:r>
          </w:p>
        </w:tc>
        <w:tc>
          <w:tcPr>
            <w:tcW w:w="182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w:t>
            </w: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9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4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4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全年实际完成值</w:t>
            </w:r>
          </w:p>
        </w:tc>
        <w:tc>
          <w:tcPr>
            <w:tcW w:w="8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6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169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8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6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开展督导工作次数</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6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督导市县开展老年痴呆防治知识宣传的社区（村）覆盖率</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themeColor="text1"/>
                <w:sz w:val="20"/>
                <w:szCs w:val="20"/>
                <w:highlight w:val="none"/>
                <w:u w:val="none"/>
                <w:lang w:val="en-US"/>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98%</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6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16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督导为全省失能老年人中“知情自愿”人数筛查率</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themeColor="text1"/>
                <w:sz w:val="20"/>
                <w:szCs w:val="20"/>
                <w:highlight w:val="none"/>
                <w:u w:val="none"/>
                <w:lang w:val="en-US"/>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100%</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r>
              <w:rPr>
                <w:rStyle w:val="16"/>
                <w:rFonts w:hint="eastAsia" w:ascii="宋体" w:hAnsi="宋体" w:eastAsia="宋体" w:cs="宋体"/>
                <w:u w:val="none"/>
                <w:lang w:val="en-US" w:eastAsia="zh-CN" w:bidi="ar"/>
              </w:rPr>
              <w:t>指标</w:t>
            </w:r>
          </w:p>
        </w:tc>
        <w:tc>
          <w:tcPr>
            <w:tcW w:w="16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公众对老年人脑健康的关注度</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不断提高</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明显提高</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16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脑健康和认知康复训练服务水平</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不断提高</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明显提高</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20"/>
                <w:szCs w:val="20"/>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16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老年性痴呆防治知识知</w:t>
            </w:r>
            <w:bookmarkStart w:id="0" w:name="_GoBack"/>
            <w:bookmarkEnd w:id="0"/>
            <w:r>
              <w:rPr>
                <w:rFonts w:hint="eastAsia" w:ascii="宋体" w:hAnsi="宋体" w:eastAsia="宋体" w:cs="宋体"/>
                <w:i w:val="0"/>
                <w:iCs w:val="0"/>
                <w:color w:val="000000"/>
                <w:kern w:val="0"/>
                <w:sz w:val="20"/>
                <w:szCs w:val="20"/>
                <w:u w:val="none"/>
                <w:lang w:val="en-US" w:eastAsia="zh-CN" w:bidi="ar"/>
              </w:rPr>
              <w:t>晓率</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不断提高</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明显提高</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bl>
    <w:p>
      <w:pPr>
        <w:pStyle w:val="2"/>
        <w:ind w:left="0" w:leftChars="0" w:firstLine="0" w:firstLineChars="0"/>
        <w:rPr>
          <w:rFonts w:hint="eastAsia" w:ascii="宋体" w:hAnsi="宋体" w:eastAsia="宋体" w:cs="宋体"/>
          <w:b w:val="0"/>
          <w:bCs/>
          <w:sz w:val="32"/>
          <w:szCs w:val="32"/>
          <w:lang w:val="en" w:eastAsia="zh-CN"/>
        </w:rPr>
      </w:pPr>
    </w:p>
    <w:sectPr>
      <w:footerReference r:id="rId3" w:type="default"/>
      <w:pgSz w:w="11906" w:h="16838"/>
      <w:pgMar w:top="2098" w:right="1474" w:bottom="1984" w:left="1587" w:header="851" w:footer="1587" w:gutter="0"/>
      <w:pgNumType w:fmt="decimal"/>
      <w:cols w:space="0" w:num="1"/>
      <w:rtlGutter w:val="0"/>
      <w:docGrid w:type="lines" w:linePitch="41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8C4845"/>
    <w:multiLevelType w:val="singleLevel"/>
    <w:tmpl w:val="FD8C4845"/>
    <w:lvl w:ilvl="0" w:tentative="0">
      <w:start w:val="2"/>
      <w:numFmt w:val="decimal"/>
      <w:suff w:val="nothing"/>
      <w:lvlText w:val="%1、"/>
      <w:lvlJc w:val="left"/>
    </w:lvl>
  </w:abstractNum>
  <w:abstractNum w:abstractNumId="1">
    <w:nsid w:val="15D80F9F"/>
    <w:multiLevelType w:val="singleLevel"/>
    <w:tmpl w:val="15D80F9F"/>
    <w:lvl w:ilvl="0" w:tentative="0">
      <w:start w:val="4"/>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冠胤">
    <w15:presenceInfo w15:providerId="WPS Office" w15:userId="2629718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dit="readOnly" w:enforcement="0"/>
  <w:defaultTabStop w:val="420"/>
  <w:drawingGridHorizontalSpacing w:val="150"/>
  <w:drawingGridVerticalSpacing w:val="20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2YmEyYmI1NTM2YjIwMzVkNmJjY2UwYzJjZTA2MTMifQ=="/>
  </w:docVars>
  <w:rsids>
    <w:rsidRoot w:val="00F57F82"/>
    <w:rsid w:val="000101E1"/>
    <w:rsid w:val="000732DA"/>
    <w:rsid w:val="00075CDC"/>
    <w:rsid w:val="000B1E8F"/>
    <w:rsid w:val="000B6964"/>
    <w:rsid w:val="00103D16"/>
    <w:rsid w:val="00111638"/>
    <w:rsid w:val="00111928"/>
    <w:rsid w:val="0012041C"/>
    <w:rsid w:val="00164D84"/>
    <w:rsid w:val="00173016"/>
    <w:rsid w:val="0017509C"/>
    <w:rsid w:val="001808CA"/>
    <w:rsid w:val="001A4E46"/>
    <w:rsid w:val="001E03FE"/>
    <w:rsid w:val="002123E8"/>
    <w:rsid w:val="00250053"/>
    <w:rsid w:val="0029569C"/>
    <w:rsid w:val="002A5FA7"/>
    <w:rsid w:val="002B3EEF"/>
    <w:rsid w:val="002B54E4"/>
    <w:rsid w:val="002E5562"/>
    <w:rsid w:val="002F6705"/>
    <w:rsid w:val="00301FC0"/>
    <w:rsid w:val="00336A16"/>
    <w:rsid w:val="003663A3"/>
    <w:rsid w:val="00387DD5"/>
    <w:rsid w:val="003B0980"/>
    <w:rsid w:val="003C6374"/>
    <w:rsid w:val="003D2CB9"/>
    <w:rsid w:val="00413F12"/>
    <w:rsid w:val="00493012"/>
    <w:rsid w:val="004D2137"/>
    <w:rsid w:val="005D1514"/>
    <w:rsid w:val="005D7CC3"/>
    <w:rsid w:val="006218A1"/>
    <w:rsid w:val="00682A10"/>
    <w:rsid w:val="006A30E4"/>
    <w:rsid w:val="006A74BF"/>
    <w:rsid w:val="006C1CEE"/>
    <w:rsid w:val="006D5A86"/>
    <w:rsid w:val="00707C2E"/>
    <w:rsid w:val="00722A7D"/>
    <w:rsid w:val="00724A6B"/>
    <w:rsid w:val="0073331B"/>
    <w:rsid w:val="00733C2D"/>
    <w:rsid w:val="00756C7F"/>
    <w:rsid w:val="007D7E6E"/>
    <w:rsid w:val="00850797"/>
    <w:rsid w:val="00853FC4"/>
    <w:rsid w:val="008720F1"/>
    <w:rsid w:val="00882EFA"/>
    <w:rsid w:val="008B2F56"/>
    <w:rsid w:val="008F0996"/>
    <w:rsid w:val="00903791"/>
    <w:rsid w:val="009600BD"/>
    <w:rsid w:val="00961C83"/>
    <w:rsid w:val="009922BC"/>
    <w:rsid w:val="009E0D8C"/>
    <w:rsid w:val="00A02AF3"/>
    <w:rsid w:val="00A25077"/>
    <w:rsid w:val="00A610CC"/>
    <w:rsid w:val="00A8737E"/>
    <w:rsid w:val="00AA19AF"/>
    <w:rsid w:val="00BC6882"/>
    <w:rsid w:val="00BD3FE0"/>
    <w:rsid w:val="00BE58CF"/>
    <w:rsid w:val="00CA5578"/>
    <w:rsid w:val="00CA7DAA"/>
    <w:rsid w:val="00D04826"/>
    <w:rsid w:val="00D63908"/>
    <w:rsid w:val="00D8718A"/>
    <w:rsid w:val="00D93453"/>
    <w:rsid w:val="00DC524D"/>
    <w:rsid w:val="00E071D6"/>
    <w:rsid w:val="00ED3E0F"/>
    <w:rsid w:val="00F015E4"/>
    <w:rsid w:val="00F57F82"/>
    <w:rsid w:val="00F75224"/>
    <w:rsid w:val="00F91EAE"/>
    <w:rsid w:val="00FA086C"/>
    <w:rsid w:val="00FA2093"/>
    <w:rsid w:val="00FA357A"/>
    <w:rsid w:val="037D0BC8"/>
    <w:rsid w:val="041D4120"/>
    <w:rsid w:val="0845082D"/>
    <w:rsid w:val="09E965F2"/>
    <w:rsid w:val="0CDD6693"/>
    <w:rsid w:val="0FF7AA4F"/>
    <w:rsid w:val="102C4CAD"/>
    <w:rsid w:val="139840D3"/>
    <w:rsid w:val="143E091F"/>
    <w:rsid w:val="14865FC8"/>
    <w:rsid w:val="150C2DB0"/>
    <w:rsid w:val="18FC8453"/>
    <w:rsid w:val="1A7D29EA"/>
    <w:rsid w:val="1AC618F7"/>
    <w:rsid w:val="1D994BCF"/>
    <w:rsid w:val="1E5FB546"/>
    <w:rsid w:val="1E761F05"/>
    <w:rsid w:val="1F7BE1E6"/>
    <w:rsid w:val="1FC7205C"/>
    <w:rsid w:val="228B3D05"/>
    <w:rsid w:val="245E0E0B"/>
    <w:rsid w:val="284E74F8"/>
    <w:rsid w:val="289F591A"/>
    <w:rsid w:val="2ADB48E8"/>
    <w:rsid w:val="36687282"/>
    <w:rsid w:val="367793B2"/>
    <w:rsid w:val="3794FC37"/>
    <w:rsid w:val="38EF7AD8"/>
    <w:rsid w:val="3E1672E6"/>
    <w:rsid w:val="3EB9C2BB"/>
    <w:rsid w:val="3F7DAA47"/>
    <w:rsid w:val="3FEF6A07"/>
    <w:rsid w:val="415F08D8"/>
    <w:rsid w:val="44E2230F"/>
    <w:rsid w:val="47003135"/>
    <w:rsid w:val="48B51347"/>
    <w:rsid w:val="491B45FA"/>
    <w:rsid w:val="4A55216A"/>
    <w:rsid w:val="4FE0696A"/>
    <w:rsid w:val="546F8569"/>
    <w:rsid w:val="55673508"/>
    <w:rsid w:val="59595A6F"/>
    <w:rsid w:val="597350B8"/>
    <w:rsid w:val="599330CA"/>
    <w:rsid w:val="5A7FCB1F"/>
    <w:rsid w:val="5FEAF7C9"/>
    <w:rsid w:val="5FEFA412"/>
    <w:rsid w:val="60D5009F"/>
    <w:rsid w:val="64AC2E11"/>
    <w:rsid w:val="660721C9"/>
    <w:rsid w:val="661E6C75"/>
    <w:rsid w:val="678A4A99"/>
    <w:rsid w:val="67F75FF5"/>
    <w:rsid w:val="681D4831"/>
    <w:rsid w:val="692E4B19"/>
    <w:rsid w:val="69513EF7"/>
    <w:rsid w:val="6BF3256F"/>
    <w:rsid w:val="6CE7018A"/>
    <w:rsid w:val="6DEDB046"/>
    <w:rsid w:val="6E3E3F2D"/>
    <w:rsid w:val="715B2F02"/>
    <w:rsid w:val="766E5C13"/>
    <w:rsid w:val="76A548F2"/>
    <w:rsid w:val="7765772E"/>
    <w:rsid w:val="776F5E62"/>
    <w:rsid w:val="77867685"/>
    <w:rsid w:val="77EE7FE7"/>
    <w:rsid w:val="781F36B6"/>
    <w:rsid w:val="790627AD"/>
    <w:rsid w:val="79DFF8C4"/>
    <w:rsid w:val="7ADC59FA"/>
    <w:rsid w:val="7AFF2FC3"/>
    <w:rsid w:val="7B6F41DF"/>
    <w:rsid w:val="7BF6B4C5"/>
    <w:rsid w:val="7CF51588"/>
    <w:rsid w:val="7DDD794F"/>
    <w:rsid w:val="7DFA6624"/>
    <w:rsid w:val="7DFD8AD7"/>
    <w:rsid w:val="7DFEFB95"/>
    <w:rsid w:val="7ECD6B9A"/>
    <w:rsid w:val="7F7FE75F"/>
    <w:rsid w:val="7FBA576D"/>
    <w:rsid w:val="7FDE47D5"/>
    <w:rsid w:val="7FFD003D"/>
    <w:rsid w:val="94BFC172"/>
    <w:rsid w:val="9BFA614C"/>
    <w:rsid w:val="BAFE1E17"/>
    <w:rsid w:val="BBDF5B5A"/>
    <w:rsid w:val="BBE428C2"/>
    <w:rsid w:val="BD6F8907"/>
    <w:rsid w:val="BFBF52D7"/>
    <w:rsid w:val="C9FA7C05"/>
    <w:rsid w:val="D9DFCF4B"/>
    <w:rsid w:val="DB650284"/>
    <w:rsid w:val="DF6E82F1"/>
    <w:rsid w:val="DFCEE0CE"/>
    <w:rsid w:val="DFFF7077"/>
    <w:rsid w:val="EEBF76D9"/>
    <w:rsid w:val="F36EF6AC"/>
    <w:rsid w:val="F5BEA0BC"/>
    <w:rsid w:val="F6FDCC0E"/>
    <w:rsid w:val="F75204E9"/>
    <w:rsid w:val="F767D450"/>
    <w:rsid w:val="F76FB1DB"/>
    <w:rsid w:val="F7764ED3"/>
    <w:rsid w:val="F7FBEBBF"/>
    <w:rsid w:val="F9F3FBF0"/>
    <w:rsid w:val="FB9B969D"/>
    <w:rsid w:val="FB9F8FA2"/>
    <w:rsid w:val="FDB5389F"/>
    <w:rsid w:val="FE3E327E"/>
    <w:rsid w:val="FF9D4583"/>
    <w:rsid w:val="FFAFB80B"/>
    <w:rsid w:val="FFF9F86D"/>
    <w:rsid w:val="FFFBF5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4"/>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qFormat/>
    <w:uiPriority w:val="9"/>
    <w:pPr>
      <w:keepNext/>
      <w:keepLines/>
      <w:spacing w:line="640" w:lineRule="exact"/>
      <w:jc w:val="center"/>
      <w:outlineLvl w:val="0"/>
    </w:pPr>
    <w:rPr>
      <w:rFonts w:eastAsia="方正小标宋简体"/>
      <w:bCs/>
      <w:kern w:val="44"/>
      <w:sz w:val="44"/>
      <w:szCs w:val="44"/>
      <w:lang w:val="zh-CN" w:eastAsia="zh-CN"/>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qFormat/>
    <w:uiPriority w:val="0"/>
    <w:pPr>
      <w:ind w:left="420" w:leftChars="200" w:firstLine="210"/>
    </w:pPr>
  </w:style>
  <w:style w:type="paragraph" w:styleId="4">
    <w:name w:val="Salutation"/>
    <w:basedOn w:val="1"/>
    <w:next w:val="1"/>
    <w:qFormat/>
    <w:uiPriority w:val="0"/>
  </w:style>
  <w:style w:type="paragraph" w:styleId="5">
    <w:name w:val="Balloon Text"/>
    <w:basedOn w:val="1"/>
    <w:link w:val="12"/>
    <w:qFormat/>
    <w:uiPriority w:val="0"/>
    <w:rPr>
      <w:sz w:val="18"/>
      <w:szCs w:val="18"/>
    </w:rPr>
  </w:style>
  <w:style w:type="paragraph" w:styleId="6">
    <w:name w:val="footer"/>
    <w:basedOn w:val="1"/>
    <w:link w:val="10"/>
    <w:qFormat/>
    <w:uiPriority w:val="99"/>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customStyle="1" w:styleId="10">
    <w:name w:val="页脚 Char"/>
    <w:basedOn w:val="9"/>
    <w:link w:val="6"/>
    <w:qFormat/>
    <w:uiPriority w:val="99"/>
    <w:rPr>
      <w:rFonts w:eastAsia="仿宋_GB2312"/>
      <w:kern w:val="2"/>
      <w:sz w:val="18"/>
      <w:szCs w:val="18"/>
    </w:rPr>
  </w:style>
  <w:style w:type="character" w:customStyle="1" w:styleId="11">
    <w:name w:val="页眉 Char"/>
    <w:basedOn w:val="9"/>
    <w:link w:val="7"/>
    <w:qFormat/>
    <w:uiPriority w:val="0"/>
    <w:rPr>
      <w:rFonts w:eastAsia="仿宋_GB2312"/>
      <w:kern w:val="2"/>
      <w:sz w:val="18"/>
      <w:szCs w:val="18"/>
    </w:rPr>
  </w:style>
  <w:style w:type="character" w:customStyle="1" w:styleId="12">
    <w:name w:val="批注框文本 Char"/>
    <w:basedOn w:val="9"/>
    <w:link w:val="5"/>
    <w:qFormat/>
    <w:uiPriority w:val="0"/>
    <w:rPr>
      <w:rFonts w:eastAsia="仿宋_GB2312"/>
      <w:kern w:val="2"/>
      <w:sz w:val="18"/>
      <w:szCs w:val="18"/>
    </w:rPr>
  </w:style>
  <w:style w:type="paragraph" w:customStyle="1" w:styleId="13">
    <w:name w:val="BodyText1I2"/>
    <w:basedOn w:val="1"/>
    <w:qFormat/>
    <w:uiPriority w:val="0"/>
    <w:pPr>
      <w:ind w:left="420" w:leftChars="200" w:firstLine="210"/>
      <w:jc w:val="both"/>
      <w:textAlignment w:val="baseline"/>
    </w:pPr>
  </w:style>
  <w:style w:type="character" w:customStyle="1" w:styleId="14">
    <w:name w:val="NormalCharacter"/>
    <w:link w:val="1"/>
    <w:semiHidden/>
    <w:qFormat/>
    <w:uiPriority w:val="0"/>
    <w:rPr>
      <w:rFonts w:ascii="Times New Roman" w:hAnsi="Times New Roman" w:eastAsia="仿宋_GB2312" w:cs="Times New Roman"/>
      <w:kern w:val="2"/>
      <w:sz w:val="30"/>
      <w:szCs w:val="24"/>
      <w:lang w:val="en-US" w:eastAsia="zh-CN" w:bidi="ar-SA"/>
    </w:rPr>
  </w:style>
  <w:style w:type="character" w:customStyle="1" w:styleId="15">
    <w:name w:val="font61"/>
    <w:basedOn w:val="9"/>
    <w:qFormat/>
    <w:uiPriority w:val="0"/>
    <w:rPr>
      <w:rFonts w:hint="default" w:ascii="方正小标宋简体" w:hAnsi="方正小标宋简体" w:eastAsia="方正小标宋简体" w:cs="方正小标宋简体"/>
      <w:color w:val="000000"/>
      <w:sz w:val="32"/>
      <w:szCs w:val="32"/>
      <w:u w:val="single"/>
    </w:rPr>
  </w:style>
  <w:style w:type="character" w:customStyle="1" w:styleId="16">
    <w:name w:val="font21"/>
    <w:basedOn w:val="9"/>
    <w:qFormat/>
    <w:uiPriority w:val="0"/>
    <w:rPr>
      <w:rFonts w:hint="eastAsia" w:ascii="宋体" w:hAnsi="宋体" w:eastAsia="宋体" w:cs="宋体"/>
      <w:color w:val="000000"/>
      <w:sz w:val="20"/>
      <w:szCs w:val="20"/>
      <w:u w:val="none"/>
    </w:rPr>
  </w:style>
  <w:style w:type="character" w:customStyle="1" w:styleId="17">
    <w:name w:val="font01"/>
    <w:basedOn w:val="9"/>
    <w:qFormat/>
    <w:uiPriority w:val="0"/>
    <w:rPr>
      <w:rFonts w:hint="eastAsia" w:ascii="宋体" w:hAnsi="宋体" w:eastAsia="宋体" w:cs="宋体"/>
      <w:color w:val="000000"/>
      <w:sz w:val="20"/>
      <w:szCs w:val="20"/>
      <w:u w:val="singl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3183</Words>
  <Characters>3366</Characters>
  <Lines>3</Lines>
  <Paragraphs>1</Paragraphs>
  <TotalTime>25</TotalTime>
  <ScaleCrop>false</ScaleCrop>
  <LinksUpToDate>false</LinksUpToDate>
  <CharactersWithSpaces>3385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2019-02-18T06:26:00Z</dcterms:created>
  <dc:creator>lhn</dc:creator>
  <cp:lastModifiedBy>朱玉萍</cp:lastModifiedBy>
  <cp:lastPrinted>2023-02-25T17:51:00Z</cp:lastPrinted>
  <dcterms:modified xsi:type="dcterms:W3CDTF">2023-07-22T02:12:33Z</dcterms:modified>
  <dc:title>财政支出绩效评价报告</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8BAB7F1201A4492697C661B9BFBEC158_13</vt:lpwstr>
  </property>
</Properties>
</file>