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AE" w:rsidRPr="009F03AE" w:rsidRDefault="009F03AE" w:rsidP="009F03AE">
      <w:pPr>
        <w:pStyle w:val="a6"/>
        <w:spacing w:before="0" w:beforeAutospacing="0" w:after="0" w:afterAutospacing="0" w:line="600" w:lineRule="exact"/>
        <w:rPr>
          <w:rFonts w:ascii="黑体" w:eastAsia="黑体" w:hAnsi="黑体" w:cs="仿宋_GB2312"/>
          <w:color w:val="auto"/>
          <w:kern w:val="2"/>
          <w:sz w:val="32"/>
          <w:szCs w:val="32"/>
        </w:rPr>
      </w:pPr>
      <w:r w:rsidRPr="009F03AE">
        <w:rPr>
          <w:rFonts w:ascii="黑体" w:eastAsia="黑体" w:hAnsi="黑体" w:cs="仿宋_GB2312" w:hint="eastAsia"/>
          <w:color w:val="auto"/>
          <w:kern w:val="2"/>
          <w:sz w:val="32"/>
          <w:szCs w:val="32"/>
        </w:rPr>
        <w:t>附</w:t>
      </w:r>
      <w:r w:rsidRPr="009F03AE">
        <w:rPr>
          <w:rFonts w:ascii="黑体" w:eastAsia="黑体" w:hAnsi="黑体" w:cs="仿宋_GB2312"/>
          <w:color w:val="auto"/>
          <w:kern w:val="2"/>
          <w:sz w:val="32"/>
          <w:szCs w:val="32"/>
        </w:rPr>
        <w:t>件</w:t>
      </w:r>
      <w:r w:rsidR="003B462F">
        <w:rPr>
          <w:rFonts w:ascii="黑体" w:eastAsia="黑体" w:hAnsi="黑体" w:cs="仿宋_GB2312" w:hint="eastAsia"/>
          <w:color w:val="auto"/>
          <w:kern w:val="2"/>
          <w:sz w:val="32"/>
          <w:szCs w:val="32"/>
        </w:rPr>
        <w:t>1</w:t>
      </w:r>
    </w:p>
    <w:p w:rsidR="0095121C" w:rsidRDefault="009F03AE" w:rsidP="003B462F">
      <w:pPr>
        <w:pStyle w:val="a6"/>
        <w:spacing w:before="0" w:beforeAutospacing="0" w:after="0" w:afterAutospacing="0" w:line="600" w:lineRule="exact"/>
        <w:ind w:firstLineChars="200" w:firstLine="880"/>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rPr>
        <w:t xml:space="preserve">               202</w:t>
      </w:r>
      <w:r>
        <w:rPr>
          <w:rFonts w:ascii="方正小标宋_GBK" w:eastAsia="方正小标宋_GBK" w:hAnsi="方正小标宋_GBK" w:cs="方正小标宋_GBK"/>
          <w:color w:val="auto"/>
          <w:sz w:val="44"/>
          <w:szCs w:val="44"/>
        </w:rPr>
        <w:t>3</w:t>
      </w:r>
      <w:r>
        <w:rPr>
          <w:rFonts w:ascii="方正小标宋_GBK" w:eastAsia="方正小标宋_GBK" w:hAnsi="方正小标宋_GBK" w:cs="方正小标宋_GBK" w:hint="eastAsia"/>
          <w:color w:val="auto"/>
          <w:sz w:val="44"/>
          <w:szCs w:val="44"/>
        </w:rPr>
        <w:t>年健康海南行动暨人均预期寿命提升行动</w:t>
      </w:r>
    </w:p>
    <w:p w:rsidR="0095121C" w:rsidRDefault="009F03AE">
      <w:pPr>
        <w:pStyle w:val="a6"/>
        <w:spacing w:before="0" w:beforeAutospacing="0" w:after="0" w:afterAutospacing="0" w:line="600" w:lineRule="exact"/>
        <w:jc w:val="center"/>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rPr>
        <w:t>监测评估指标体系</w:t>
      </w:r>
    </w:p>
    <w:p w:rsidR="0095121C" w:rsidRDefault="0095121C">
      <w:pPr>
        <w:snapToGrid w:val="0"/>
        <w:spacing w:line="216" w:lineRule="auto"/>
        <w:jc w:val="center"/>
        <w:rPr>
          <w:rFonts w:ascii="方正小标宋简体" w:eastAsia="方正小标宋简体" w:hAnsi="方正小标宋_GBK"/>
          <w:color w:val="auto"/>
          <w:sz w:val="42"/>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8"/>
        <w:gridCol w:w="992"/>
        <w:gridCol w:w="1701"/>
        <w:gridCol w:w="1276"/>
        <w:gridCol w:w="5811"/>
        <w:gridCol w:w="2268"/>
      </w:tblGrid>
      <w:tr w:rsidR="0095121C" w:rsidTr="00DA4085">
        <w:trPr>
          <w:cantSplit/>
          <w:trHeight w:val="468"/>
          <w:tblHeader/>
          <w:jc w:val="center"/>
        </w:trPr>
        <w:tc>
          <w:tcPr>
            <w:tcW w:w="988"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维度</w:t>
            </w:r>
          </w:p>
        </w:tc>
        <w:tc>
          <w:tcPr>
            <w:tcW w:w="992"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序号</w:t>
            </w:r>
          </w:p>
        </w:tc>
        <w:tc>
          <w:tcPr>
            <w:tcW w:w="2977" w:type="dxa"/>
            <w:gridSpan w:val="2"/>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指      标</w:t>
            </w:r>
          </w:p>
        </w:tc>
        <w:tc>
          <w:tcPr>
            <w:tcW w:w="5811"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指标内涵与计算方法</w:t>
            </w:r>
          </w:p>
        </w:tc>
        <w:tc>
          <w:tcPr>
            <w:tcW w:w="2268"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责任单位（黑体标注为数据报送单位）</w:t>
            </w:r>
          </w:p>
        </w:tc>
      </w:tr>
      <w:tr w:rsidR="0095121C" w:rsidTr="00DA4085">
        <w:trPr>
          <w:cantSplit/>
          <w:trHeight w:val="567"/>
          <w:tblHeader/>
          <w:jc w:val="center"/>
        </w:trPr>
        <w:tc>
          <w:tcPr>
            <w:tcW w:w="988" w:type="dxa"/>
            <w:vMerge/>
            <w:vAlign w:val="center"/>
          </w:tcPr>
          <w:p w:rsidR="0095121C" w:rsidRDefault="0095121C">
            <w:pPr>
              <w:snapToGrid w:val="0"/>
              <w:jc w:val="center"/>
              <w:rPr>
                <w:rFonts w:ascii="CESI黑体-GB2312" w:eastAsia="CESI黑体-GB2312" w:hAnsi="CESI黑体-GB2312" w:cs="CESI黑体-GB2312"/>
                <w:color w:val="auto"/>
                <w:kern w:val="0"/>
                <w:szCs w:val="21"/>
              </w:rPr>
            </w:pPr>
          </w:p>
        </w:tc>
        <w:tc>
          <w:tcPr>
            <w:tcW w:w="992" w:type="dxa"/>
            <w:vMerge/>
            <w:vAlign w:val="center"/>
          </w:tcPr>
          <w:p w:rsidR="0095121C" w:rsidRDefault="0095121C">
            <w:pPr>
              <w:snapToGrid w:val="0"/>
              <w:jc w:val="center"/>
              <w:rPr>
                <w:rFonts w:ascii="CESI黑体-GB2312" w:eastAsia="CESI黑体-GB2312" w:hAnsi="CESI黑体-GB2312" w:cs="CESI黑体-GB2312"/>
                <w:color w:val="auto"/>
                <w:kern w:val="0"/>
                <w:szCs w:val="21"/>
              </w:rPr>
            </w:pPr>
          </w:p>
        </w:tc>
        <w:tc>
          <w:tcPr>
            <w:tcW w:w="2977" w:type="dxa"/>
            <w:gridSpan w:val="2"/>
            <w:vMerge/>
            <w:vAlign w:val="center"/>
          </w:tcPr>
          <w:p w:rsidR="0095121C" w:rsidRDefault="0095121C">
            <w:pPr>
              <w:snapToGrid w:val="0"/>
              <w:jc w:val="center"/>
              <w:rPr>
                <w:rFonts w:ascii="CESI黑体-GB2312" w:eastAsia="CESI黑体-GB2312" w:hAnsi="CESI黑体-GB2312" w:cs="CESI黑体-GB2312"/>
                <w:color w:val="auto"/>
                <w:kern w:val="0"/>
                <w:szCs w:val="21"/>
              </w:rPr>
            </w:pPr>
          </w:p>
        </w:tc>
        <w:tc>
          <w:tcPr>
            <w:tcW w:w="5811" w:type="dxa"/>
            <w:vMerge/>
            <w:vAlign w:val="center"/>
          </w:tcPr>
          <w:p w:rsidR="0095121C" w:rsidRDefault="0095121C">
            <w:pPr>
              <w:snapToGrid w:val="0"/>
              <w:jc w:val="center"/>
              <w:rPr>
                <w:rFonts w:ascii="CESI黑体-GB2312" w:eastAsia="CESI黑体-GB2312" w:hAnsi="CESI黑体-GB2312" w:cs="CESI黑体-GB2312"/>
                <w:color w:val="auto"/>
                <w:szCs w:val="21"/>
              </w:rPr>
            </w:pPr>
          </w:p>
        </w:tc>
        <w:tc>
          <w:tcPr>
            <w:tcW w:w="2268" w:type="dxa"/>
            <w:vMerge/>
            <w:vAlign w:val="center"/>
          </w:tcPr>
          <w:p w:rsidR="0095121C" w:rsidRDefault="0095121C">
            <w:pPr>
              <w:snapToGrid w:val="0"/>
              <w:jc w:val="center"/>
              <w:rPr>
                <w:rFonts w:ascii="CESI黑体-GB2312" w:eastAsia="CESI黑体-GB2312" w:hAnsi="CESI黑体-GB2312" w:cs="CESI黑体-GB2312"/>
                <w:color w:val="auto"/>
                <w:szCs w:val="21"/>
              </w:rPr>
            </w:pPr>
          </w:p>
        </w:tc>
      </w:tr>
      <w:tr w:rsidR="0095121C" w:rsidTr="00DA4085">
        <w:trPr>
          <w:cantSplit/>
          <w:trHeight w:val="90"/>
          <w:jc w:val="center"/>
        </w:trPr>
        <w:tc>
          <w:tcPr>
            <w:tcW w:w="988"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lang/>
              </w:rPr>
            </w:pPr>
            <w:r>
              <w:rPr>
                <w:rFonts w:ascii="CESI黑体-GB2312" w:eastAsia="CESI黑体-GB2312" w:hAnsi="CESI黑体-GB2312" w:cs="CESI黑体-GB2312" w:hint="eastAsia"/>
                <w:color w:val="auto"/>
                <w:kern w:val="0"/>
                <w:szCs w:val="21"/>
                <w:lang/>
              </w:rPr>
              <w:t>健康影响因素控制</w:t>
            </w:r>
          </w:p>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1</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居民健康素养水平（%）</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color w:val="auto"/>
              </w:rPr>
              <w:t>健康素养是指个人获取和理解基本健康信息和服务，并运用这些信息和服务</w:t>
            </w:r>
            <w:r>
              <w:rPr>
                <w:rFonts w:ascii="仿宋_GB2312" w:eastAsia="仿宋_GB2312" w:hAnsi="仿宋_GB2312" w:cs="仿宋_GB2312" w:hint="eastAsia"/>
                <w:color w:val="auto"/>
              </w:rPr>
              <w:t>做</w:t>
            </w:r>
            <w:r>
              <w:rPr>
                <w:rFonts w:ascii="仿宋_GB2312" w:eastAsia="仿宋_GB2312" w:hAnsi="仿宋_GB2312" w:cs="仿宋_GB2312"/>
                <w:color w:val="auto"/>
              </w:rPr>
              <w:t>出正确决策，以维护和促进自身健康的能力。</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根据人口特征加权计算后，具备基本健康素养的人数/监测人群总人数×100。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省卫生健康委</w:t>
            </w:r>
          </w:p>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健康促进处</w:t>
            </w:r>
          </w:p>
        </w:tc>
      </w:tr>
      <w:tr w:rsidR="0095121C" w:rsidTr="00DA4085">
        <w:trPr>
          <w:cantSplit/>
          <w:trHeight w:val="1026"/>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构</w:t>
            </w:r>
            <w:r>
              <w:rPr>
                <w:rFonts w:ascii="仿宋_GB2312" w:eastAsia="仿宋_GB2312" w:hAnsi="仿宋_GB2312" w:cs="仿宋_GB2312"/>
                <w:color w:val="auto"/>
                <w:kern w:val="0"/>
                <w:szCs w:val="21"/>
              </w:rPr>
              <w:t>建健康科普知识发布和传播机制</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hint="eastAsia"/>
                <w:color w:val="auto"/>
              </w:rPr>
              <w:t>构</w:t>
            </w:r>
            <w:r>
              <w:rPr>
                <w:rFonts w:ascii="仿宋_GB2312" w:eastAsia="仿宋_GB2312" w:hAnsi="仿宋_GB2312" w:cs="仿宋_GB2312"/>
                <w:color w:val="auto"/>
              </w:rPr>
              <w:t>建健康科普知识发布和传播的机制。</w:t>
            </w:r>
            <w:r>
              <w:rPr>
                <w:rFonts w:ascii="仿宋_GB2312" w:eastAsia="仿宋_GB2312" w:hAnsi="仿宋_GB2312" w:cs="仿宋_GB2312" w:hint="eastAsia"/>
                <w:color w:val="auto"/>
              </w:rPr>
              <w:t>计算方</w:t>
            </w:r>
            <w:r>
              <w:rPr>
                <w:rFonts w:ascii="仿宋_GB2312" w:eastAsia="仿宋_GB2312" w:hAnsi="仿宋_GB2312" w:cs="仿宋_GB2312"/>
                <w:color w:val="auto"/>
              </w:rPr>
              <w:t>法：是否</w:t>
            </w:r>
            <w:r>
              <w:rPr>
                <w:rFonts w:ascii="仿宋_GB2312" w:eastAsia="仿宋_GB2312" w:hAnsi="仿宋_GB2312" w:cs="仿宋_GB2312" w:hint="eastAsia"/>
                <w:color w:val="auto"/>
              </w:rPr>
              <w:t>构建</w:t>
            </w:r>
            <w:r>
              <w:rPr>
                <w:rFonts w:ascii="仿宋_GB2312" w:eastAsia="仿宋_GB2312" w:hAnsi="仿宋_GB2312" w:cs="仿宋_GB2312"/>
                <w:color w:val="auto"/>
              </w:rPr>
              <w:t>（佐证材料）。</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省卫生健康委</w:t>
            </w:r>
          </w:p>
          <w:p w:rsidR="0095121C" w:rsidRDefault="009F03AE">
            <w:pPr>
              <w:snapToGrid w:val="0"/>
              <w:spacing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kern w:val="0"/>
                <w:szCs w:val="21"/>
              </w:rPr>
              <w:t>健康促进处</w:t>
            </w:r>
          </w:p>
        </w:tc>
      </w:tr>
      <w:tr w:rsidR="0095121C" w:rsidTr="00DA4085">
        <w:trPr>
          <w:cantSplit/>
          <w:trHeight w:val="1833"/>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3</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经常参加体育锻炼人数比例（%）</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color w:val="auto"/>
              </w:rPr>
              <w:t>指每周参加体育锻炼频度3次及以上，每次体育锻炼持续时间30分钟及以上，每次体育锻炼的运动强度达到中等及以上的人口比例（含在校学生）。其中，中等运动强度是指在运动时心率达到最大心率的64%～76%的运动强度（最大心率等于220减去年龄）。</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经常参加体育锻炼的人数比例=经常参加体育锻炼的人数（含学生）/年末人口数（含学生）×100。</w:t>
            </w:r>
          </w:p>
        </w:tc>
        <w:tc>
          <w:tcPr>
            <w:tcW w:w="2268" w:type="dxa"/>
            <w:vAlign w:val="center"/>
          </w:tcPr>
          <w:p w:rsidR="0095121C" w:rsidRDefault="009F03AE">
            <w:pPr>
              <w:snapToGrid w:val="0"/>
              <w:spacing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省旅游和文化广电体育厅</w:t>
            </w:r>
          </w:p>
        </w:tc>
      </w:tr>
      <w:tr w:rsidR="0095121C" w:rsidTr="00DA4085">
        <w:trPr>
          <w:cantSplit/>
          <w:trHeight w:val="617"/>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4</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人均体育场地面积（平方米）</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体育场地面积指可供开展体育训练、比赛、健身活动的场地有效面积。</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 xml:space="preserve">体育场地面积/区域常住人口数。  </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省旅游和文化广电体育厅</w:t>
            </w:r>
          </w:p>
        </w:tc>
      </w:tr>
      <w:tr w:rsidR="0095121C" w:rsidTr="00DA4085">
        <w:trPr>
          <w:cantSplit/>
          <w:trHeight w:val="369"/>
          <w:jc w:val="center"/>
        </w:trPr>
        <w:tc>
          <w:tcPr>
            <w:tcW w:w="988"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lang/>
              </w:rPr>
            </w:pPr>
            <w:r>
              <w:rPr>
                <w:rFonts w:ascii="CESI黑体-GB2312" w:eastAsia="CESI黑体-GB2312" w:hAnsi="CESI黑体-GB2312" w:cs="CESI黑体-GB2312" w:hint="eastAsia"/>
                <w:color w:val="auto"/>
                <w:kern w:val="0"/>
                <w:szCs w:val="21"/>
                <w:lang/>
              </w:rPr>
              <w:lastRenderedPageBreak/>
              <w:t>健康影响因素控制</w:t>
            </w:r>
          </w:p>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5</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15岁以上人群吸烟率（%）</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调查15岁及以上人群中现在吸烟者所占比例。</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15岁及以上现在吸烟者/15岁及以上人口数的比例×100。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省爱卫办</w:t>
            </w:r>
          </w:p>
        </w:tc>
      </w:tr>
      <w:tr w:rsidR="0095121C" w:rsidTr="00DA4085">
        <w:trPr>
          <w:cantSplit/>
          <w:trHeight w:val="369"/>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6</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无烟党政机关建成率（%）</w:t>
            </w:r>
          </w:p>
        </w:tc>
        <w:tc>
          <w:tcPr>
            <w:tcW w:w="5811" w:type="dxa"/>
            <w:vAlign w:val="center"/>
          </w:tcPr>
          <w:p w:rsidR="0095121C" w:rsidRDefault="009F03AE">
            <w:pPr>
              <w:spacing w:after="0" w:line="240" w:lineRule="auto"/>
              <w:textAlignment w:val="center"/>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无烟党政机关是指至少满足以下四个基本要求的党政机关：制订无烟机关建设管理制度；室内区域全面禁止吸烟，若有室外吸烟区应当规范设置；机关范围内禁止销售烟草制品，无烟草广告；机关无烟草赞助。</w:t>
            </w:r>
          </w:p>
          <w:p w:rsidR="0095121C" w:rsidRDefault="009F03AE">
            <w:pPr>
              <w:spacing w:after="0" w:line="240" w:lineRule="auto"/>
              <w:textAlignment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无烟党政机关数量/党政机关总数×100。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省爱卫办</w:t>
            </w:r>
          </w:p>
        </w:tc>
      </w:tr>
      <w:tr w:rsidR="0095121C" w:rsidTr="00DA4085">
        <w:trPr>
          <w:cantSplit/>
          <w:trHeight w:val="801"/>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7</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居民心理健康素养水平（%）</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根据国家卫生健康委发布的《心理健康素养十条》，居民对心理健康核心知识的知晓情况、认可程度、行为变化等。</w:t>
            </w:r>
          </w:p>
          <w:p w:rsidR="0095121C" w:rsidRDefault="009F03AE">
            <w:pPr>
              <w:snapToGrid w:val="0"/>
              <w:spacing w:after="0" w:line="240" w:lineRule="auto"/>
              <w:rPr>
                <w:rFonts w:ascii="仿宋_GB2312" w:eastAsia="仿宋_GB2312" w:hAnsi="仿宋_GB2312" w:cs="仿宋_GB2312"/>
                <w:color w:val="auto"/>
                <w:szCs w:val="21"/>
              </w:rPr>
            </w:pPr>
            <w:r>
              <w:rPr>
                <w:rFonts w:ascii="仿宋_GB2312" w:eastAsia="仿宋_GB2312" w:hAnsi="DengXian" w:cs="仿宋_GB2312" w:hint="eastAsia"/>
                <w:color w:val="auto"/>
                <w:kern w:val="0"/>
                <w:szCs w:val="21"/>
                <w:lang/>
              </w:rPr>
              <w:t>心理健康素养达标人数/被调查人数×100。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省卫生健康委医政处</w:t>
            </w:r>
          </w:p>
        </w:tc>
      </w:tr>
      <w:tr w:rsidR="0095121C" w:rsidTr="00DA4085">
        <w:trPr>
          <w:cantSplit/>
          <w:trHeight w:val="702"/>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8</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精神科执业（助理）医师（名/10万人）</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每10万人中可提供服务的精神科执业（助理）医师人数。</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我省</w:t>
            </w:r>
            <w:r>
              <w:rPr>
                <w:rFonts w:ascii="仿宋_GB2312" w:eastAsia="仿宋_GB2312" w:hAnsi="仿宋_GB2312" w:cs="仿宋_GB2312" w:hint="eastAsia"/>
                <w:color w:val="auto"/>
                <w:kern w:val="0"/>
                <w:szCs w:val="21"/>
              </w:rPr>
              <w:t>精神科执业（助理）医师人数/人口总数×10</w:t>
            </w:r>
            <w:r>
              <w:rPr>
                <w:rFonts w:ascii="仿宋_GB2312" w:eastAsia="仿宋_GB2312" w:hAnsi="仿宋_GB2312" w:cs="仿宋_GB2312"/>
                <w:color w:val="auto"/>
                <w:kern w:val="0"/>
                <w:szCs w:val="21"/>
              </w:rPr>
              <w:t>0000</w:t>
            </w:r>
            <w:r>
              <w:rPr>
                <w:rFonts w:ascii="仿宋_GB2312" w:eastAsia="仿宋_GB2312" w:hAnsi="仿宋_GB2312" w:cs="仿宋_GB2312" w:hint="eastAsia"/>
                <w:color w:val="auto"/>
                <w:kern w:val="0"/>
                <w:szCs w:val="21"/>
              </w:rPr>
              <w:t>。</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省卫生健康委医政处</w:t>
            </w:r>
          </w:p>
        </w:tc>
      </w:tr>
      <w:tr w:rsidR="0095121C" w:rsidTr="00DA4085">
        <w:trPr>
          <w:cantSplit/>
          <w:trHeight w:val="90"/>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9</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居民饮用水水质达标率（%）</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根据传染病防治法，供水单位供应的饮用水应符合生活饮用水卫生标准相关要求。包括出厂水和末梢水水质达标状况。</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符合生活饮用水卫生标准要求的水样数量/监测的水样数量×100</w:t>
            </w:r>
            <w:r>
              <w:rPr>
                <w:rFonts w:ascii="仿宋_GB2312" w:eastAsia="仿宋_GB2312" w:hAnsi="仿宋_GB2312" w:cs="仿宋_GB2312"/>
                <w:color w:val="auto"/>
                <w:kern w:val="0"/>
                <w:szCs w:val="21"/>
              </w:rPr>
              <w:t>。</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w:t>
            </w:r>
            <w:r>
              <w:rPr>
                <w:rFonts w:ascii="CESI黑体-GB2312" w:eastAsia="CESI黑体-GB2312" w:hAnsi="CESI黑体-GB2312" w:cs="CESI黑体-GB2312"/>
                <w:color w:val="auto"/>
                <w:szCs w:val="21"/>
              </w:rPr>
              <w:t>疾控</w:t>
            </w:r>
            <w:r>
              <w:rPr>
                <w:rFonts w:ascii="CESI黑体-GB2312" w:eastAsia="CESI黑体-GB2312" w:hAnsi="CESI黑体-GB2312" w:cs="CESI黑体-GB2312" w:hint="eastAsia"/>
                <w:color w:val="auto"/>
                <w:szCs w:val="21"/>
              </w:rPr>
              <w:t>局，</w:t>
            </w:r>
            <w:r>
              <w:rPr>
                <w:rFonts w:ascii="仿宋_GB2312" w:eastAsia="仿宋_GB2312" w:hAnsi="仿宋_GB2312" w:cs="仿宋_GB2312"/>
                <w:color w:val="auto"/>
                <w:kern w:val="0"/>
                <w:szCs w:val="21"/>
                <w:lang/>
              </w:rPr>
              <w:t>省</w:t>
            </w:r>
            <w:r>
              <w:rPr>
                <w:rFonts w:ascii="仿宋_GB2312" w:eastAsia="仿宋_GB2312" w:hAnsi="仿宋_GB2312" w:cs="仿宋_GB2312" w:hint="eastAsia"/>
                <w:color w:val="auto"/>
                <w:kern w:val="0"/>
                <w:szCs w:val="21"/>
                <w:lang/>
              </w:rPr>
              <w:t>住建厅，省水务厅</w:t>
            </w:r>
          </w:p>
        </w:tc>
      </w:tr>
      <w:tr w:rsidR="0095121C" w:rsidTr="00DA4085">
        <w:trPr>
          <w:cantSplit/>
          <w:trHeight w:val="1413"/>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10</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农村自来水普及率（%）</w:t>
            </w:r>
          </w:p>
        </w:tc>
        <w:tc>
          <w:tcPr>
            <w:tcW w:w="5811" w:type="dxa"/>
            <w:vAlign w:val="center"/>
          </w:tcPr>
          <w:p w:rsidR="0095121C" w:rsidRDefault="009F03AE">
            <w:pPr>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某区域农村集中供水工程和城市供水管网延伸工程供水到户（含小区或院子）的农村人口占农村供水总人口的比例。</w:t>
            </w:r>
          </w:p>
          <w:p w:rsidR="0095121C" w:rsidRDefault="009F03AE">
            <w:pPr>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农村集中供水工程与城市供水管网延伸工程供水到户（含小区或院子）的农村人口之和/农村供水总人口×100。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省水务厅</w:t>
            </w:r>
          </w:p>
        </w:tc>
      </w:tr>
      <w:tr w:rsidR="0095121C" w:rsidTr="00DA4085">
        <w:trPr>
          <w:cantSplit/>
          <w:trHeight w:val="724"/>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11</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地表水质量达到或好于Ⅲ类水体比例（%）</w:t>
            </w:r>
          </w:p>
        </w:tc>
        <w:tc>
          <w:tcPr>
            <w:tcW w:w="5811" w:type="dxa"/>
            <w:vAlign w:val="center"/>
          </w:tcPr>
          <w:p w:rsidR="0095121C" w:rsidRDefault="009F03AE">
            <w:pPr>
              <w:spacing w:after="0" w:line="240" w:lineRule="auto"/>
              <w:rPr>
                <w:rFonts w:ascii="仿宋_GB2312" w:eastAsia="仿宋_GB2312" w:hAnsi="DengXian" w:cs="仿宋_GB2312"/>
                <w:color w:val="auto"/>
                <w:kern w:val="0"/>
                <w:szCs w:val="21"/>
                <w:lang/>
              </w:rPr>
            </w:pPr>
            <w:r>
              <w:rPr>
                <w:rFonts w:ascii="仿宋_GB2312" w:eastAsia="仿宋_GB2312" w:hAnsi="仿宋_GB2312" w:cs="仿宋_GB2312" w:hint="eastAsia"/>
                <w:color w:val="auto"/>
                <w:kern w:val="0"/>
                <w:szCs w:val="21"/>
                <w:lang/>
              </w:rPr>
              <w:t xml:space="preserve">行政区域内地表水国考监测断面或点位中水质为Ⅰ-Ⅲ类的水体比例。 </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省生态环境厅</w:t>
            </w:r>
          </w:p>
        </w:tc>
      </w:tr>
      <w:tr w:rsidR="0095121C" w:rsidTr="00DA4085">
        <w:trPr>
          <w:cantSplit/>
          <w:trHeight w:val="724"/>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12</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农村卫生厕所普及率（%）</w:t>
            </w:r>
          </w:p>
        </w:tc>
        <w:tc>
          <w:tcPr>
            <w:tcW w:w="5811" w:type="dxa"/>
            <w:vAlign w:val="center"/>
          </w:tcPr>
          <w:p w:rsidR="0095121C" w:rsidRDefault="009F03AE">
            <w:pPr>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使用卫生厕所的农户数占当地总农户数的百分比。</w:t>
            </w:r>
          </w:p>
          <w:p w:rsidR="0095121C" w:rsidRDefault="009F03AE">
            <w:pPr>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农村卫生厕所普及率=使用卫生厕所的农户数/当地总农户数×100。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省住建厅</w:t>
            </w:r>
          </w:p>
        </w:tc>
      </w:tr>
      <w:tr w:rsidR="0095121C" w:rsidTr="00DA4085">
        <w:trPr>
          <w:cantSplit/>
          <w:trHeight w:val="923"/>
          <w:jc w:val="center"/>
        </w:trPr>
        <w:tc>
          <w:tcPr>
            <w:tcW w:w="988" w:type="dxa"/>
            <w:vMerge w:val="restart"/>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lang/>
              </w:rPr>
            </w:pPr>
            <w:r>
              <w:rPr>
                <w:rFonts w:ascii="CESI黑体-GB2312" w:eastAsia="CESI黑体-GB2312" w:hAnsi="CESI黑体-GB2312" w:cs="CESI黑体-GB2312" w:hint="eastAsia"/>
                <w:color w:val="auto"/>
                <w:kern w:val="0"/>
                <w:szCs w:val="21"/>
                <w:lang/>
              </w:rPr>
              <w:lastRenderedPageBreak/>
              <w:t>健康影响因素控制</w:t>
            </w:r>
          </w:p>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kern w:val="0"/>
                <w:szCs w:val="21"/>
              </w:rPr>
              <w:t>13</w:t>
            </w:r>
            <w:r>
              <w:rPr>
                <w:rFonts w:ascii="仿宋_GB2312" w:eastAsia="仿宋_GB2312" w:hAnsi="仿宋_GB2312" w:cs="仿宋_GB2312" w:hint="eastAsia"/>
                <w:color w:val="000000" w:themeColor="text1"/>
                <w:kern w:val="0"/>
                <w:szCs w:val="21"/>
                <w:lang/>
              </w:rPr>
              <w:t>＊</w:t>
            </w:r>
          </w:p>
        </w:tc>
        <w:tc>
          <w:tcPr>
            <w:tcW w:w="2977" w:type="dxa"/>
            <w:gridSpan w:val="2"/>
            <w:vAlign w:val="center"/>
          </w:tcPr>
          <w:p w:rsidR="0095121C" w:rsidRDefault="009F03AE">
            <w:pPr>
              <w:spacing w:after="0"/>
              <w:rPr>
                <w:rFonts w:ascii="仿宋_GB2312" w:eastAsia="仿宋_GB2312" w:hAnsi="仿宋_GB2312" w:cs="仿宋_GB2312"/>
                <w:color w:val="000000" w:themeColor="text1"/>
                <w:kern w:val="0"/>
                <w:szCs w:val="21"/>
                <w:lang/>
              </w:rPr>
            </w:pPr>
            <w:r>
              <w:rPr>
                <w:rFonts w:ascii="仿宋_GB2312" w:eastAsia="仿宋_GB2312" w:hAnsi="仿宋_GB2312" w:cs="仿宋_GB2312" w:hint="eastAsia"/>
                <w:color w:val="000000" w:themeColor="text1"/>
                <w:kern w:val="0"/>
                <w:szCs w:val="21"/>
                <w:lang/>
              </w:rPr>
              <w:t>生活垃圾回收利用率（%）</w:t>
            </w:r>
          </w:p>
        </w:tc>
        <w:tc>
          <w:tcPr>
            <w:tcW w:w="5811" w:type="dxa"/>
            <w:vAlign w:val="center"/>
          </w:tcPr>
          <w:p w:rsidR="0095121C" w:rsidRDefault="009F03AE">
            <w:pPr>
              <w:snapToGrid w:val="0"/>
              <w:spacing w:after="0" w:line="240" w:lineRule="auto"/>
              <w:rPr>
                <w:rFonts w:ascii="仿宋_GB2312" w:eastAsia="仿宋_GB2312" w:hAnsi="仿宋_GB2312" w:cs="仿宋_GB2312"/>
                <w:color w:val="FF0000"/>
                <w:kern w:val="0"/>
                <w:szCs w:val="21"/>
              </w:rPr>
            </w:pPr>
            <w:r>
              <w:rPr>
                <w:rFonts w:ascii="仿宋_GB2312" w:eastAsia="仿宋_GB2312" w:hAnsi="仿宋_GB2312" w:cs="仿宋_GB2312" w:hint="eastAsia"/>
                <w:color w:val="auto"/>
                <w:kern w:val="0"/>
                <w:szCs w:val="21"/>
                <w:lang/>
              </w:rPr>
              <w:t>辖区内生活垃圾实现回收利用的比例。生活垃圾回收利用率=（可回收物清运量+厨余垃圾清运量）/生活垃圾清运总量×100%。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省住建厅</w:t>
            </w:r>
          </w:p>
        </w:tc>
      </w:tr>
      <w:tr w:rsidR="0095121C" w:rsidTr="00DA4085">
        <w:trPr>
          <w:cantSplit/>
          <w:trHeight w:val="948"/>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14</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城市人均公园绿地面积（平方米）</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公园绿地指向公众开放，以游憩为主要功能，兼具生态、景观、文教和应急避险等功能，有一定游憩和服务设施的绿地。</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城市人均公园绿地面积：城区公园绿地面积/（户籍人口+暂住人口）。</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省住建厅</w:t>
            </w:r>
          </w:p>
        </w:tc>
      </w:tr>
      <w:tr w:rsidR="0095121C" w:rsidTr="00DA4085">
        <w:trPr>
          <w:cantSplit/>
          <w:trHeight w:val="948"/>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15</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市县空气质量优良天数比率（%）</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全省18个市县环境空气污染指数达到或优于国家质量二级标准的天数占总天数的比例。省</w:t>
            </w:r>
            <w:r>
              <w:rPr>
                <w:rFonts w:ascii="仿宋_GB2312" w:eastAsia="仿宋_GB2312" w:hAnsi="仿宋_GB2312" w:cs="仿宋_GB2312"/>
                <w:color w:val="auto"/>
                <w:kern w:val="0"/>
                <w:szCs w:val="21"/>
                <w:lang/>
              </w:rPr>
              <w:t>级数据</w:t>
            </w:r>
            <w:r>
              <w:rPr>
                <w:rFonts w:ascii="仿宋_GB2312" w:eastAsia="仿宋_GB2312" w:hAnsi="仿宋_GB2312" w:cs="仿宋_GB2312" w:hint="eastAsia"/>
                <w:color w:val="auto"/>
                <w:kern w:val="0"/>
                <w:szCs w:val="21"/>
                <w:lang/>
              </w:rPr>
              <w:t>由</w:t>
            </w:r>
            <w:r>
              <w:rPr>
                <w:rFonts w:ascii="仿宋_GB2312" w:eastAsia="仿宋_GB2312" w:hAnsi="仿宋_GB2312" w:cs="仿宋_GB2312"/>
                <w:color w:val="auto"/>
                <w:kern w:val="0"/>
                <w:szCs w:val="21"/>
                <w:lang/>
              </w:rPr>
              <w:t>地级市</w:t>
            </w:r>
            <w:r>
              <w:rPr>
                <w:rFonts w:ascii="仿宋_GB2312" w:eastAsia="仿宋_GB2312" w:hAnsi="仿宋_GB2312" w:cs="仿宋_GB2312" w:hint="eastAsia"/>
                <w:color w:val="auto"/>
                <w:kern w:val="0"/>
                <w:szCs w:val="21"/>
                <w:lang/>
              </w:rPr>
              <w:t>数</w:t>
            </w:r>
            <w:r>
              <w:rPr>
                <w:rFonts w:ascii="仿宋_GB2312" w:eastAsia="仿宋_GB2312" w:hAnsi="仿宋_GB2312" w:cs="仿宋_GB2312"/>
                <w:color w:val="auto"/>
                <w:kern w:val="0"/>
                <w:szCs w:val="21"/>
                <w:lang/>
              </w:rPr>
              <w:t>据形成。</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省生态环境厅</w:t>
            </w:r>
          </w:p>
        </w:tc>
      </w:tr>
      <w:tr w:rsidR="0095121C" w:rsidTr="00DA4085">
        <w:trPr>
          <w:cantSplit/>
          <w:trHeight w:val="948"/>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16</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居民环境与健康素养水平（%）</w:t>
            </w:r>
          </w:p>
        </w:tc>
        <w:tc>
          <w:tcPr>
            <w:tcW w:w="5811" w:type="dxa"/>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生态环境与健康素养指公民认识到生态环境的价值及其对健康的影响，了解生态环境保护与健康风险防范必要知识，践行绿色健康生活方式，并具备一定保护生态环境、维护自身健康的行动能力。</w:t>
            </w:r>
          </w:p>
          <w:p w:rsidR="0095121C" w:rsidRDefault="009F03AE">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具备生态环境与健康素养的人数/监测人群总人数×100。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省生</w:t>
            </w:r>
            <w:r>
              <w:rPr>
                <w:rFonts w:ascii="CESI黑体-GB2312" w:eastAsia="CESI黑体-GB2312" w:hAnsi="CESI黑体-GB2312" w:cs="CESI黑体-GB2312"/>
                <w:color w:val="auto"/>
                <w:szCs w:val="21"/>
              </w:rPr>
              <w:t>态环境厅</w:t>
            </w:r>
          </w:p>
        </w:tc>
      </w:tr>
      <w:tr w:rsidR="0095121C" w:rsidTr="00DA4085">
        <w:trPr>
          <w:cantSplit/>
          <w:trHeight w:val="734"/>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1</w:t>
            </w:r>
            <w:r>
              <w:rPr>
                <w:rFonts w:ascii="仿宋_GB2312" w:eastAsia="仿宋_GB2312" w:hAnsi="仿宋_GB2312" w:cs="仿宋_GB2312"/>
                <w:color w:val="auto"/>
                <w:kern w:val="0"/>
                <w:szCs w:val="21"/>
              </w:rPr>
              <w:t>7</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食品安全评价性抽检合格率（%）</w:t>
            </w:r>
          </w:p>
        </w:tc>
        <w:tc>
          <w:tcPr>
            <w:tcW w:w="5811" w:type="dxa"/>
            <w:vAlign w:val="center"/>
          </w:tcPr>
          <w:p w:rsidR="0095121C" w:rsidRDefault="009F03AE">
            <w:pPr>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评价性抽检合格批次/评价性抽检批次×100。</w:t>
            </w:r>
          </w:p>
          <w:p w:rsidR="0095121C" w:rsidRDefault="0095121C">
            <w:pPr>
              <w:snapToGrid w:val="0"/>
              <w:spacing w:after="0" w:line="240" w:lineRule="auto"/>
              <w:rPr>
                <w:rFonts w:ascii="仿宋_GB2312" w:eastAsia="仿宋_GB2312" w:hAnsi="仿宋_GB2312" w:cs="仿宋_GB2312"/>
                <w:color w:val="auto"/>
                <w:szCs w:val="21"/>
              </w:rPr>
            </w:pP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省市场监督管理局</w:t>
            </w:r>
          </w:p>
        </w:tc>
      </w:tr>
      <w:tr w:rsidR="0095121C" w:rsidTr="00DA4085">
        <w:trPr>
          <w:cantSplit/>
          <w:trHeight w:val="727"/>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1</w:t>
            </w:r>
            <w:r>
              <w:rPr>
                <w:rFonts w:ascii="仿宋_GB2312" w:eastAsia="仿宋_GB2312" w:hAnsi="仿宋_GB2312" w:cs="仿宋_GB2312"/>
                <w:color w:val="auto"/>
                <w:kern w:val="0"/>
                <w:szCs w:val="21"/>
              </w:rPr>
              <w:t>8</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道路交通事故死亡率（1/10万）</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自然年统计周期，行政区域内平均每10万人中因道路交通事故死亡人数。</w:t>
            </w:r>
          </w:p>
          <w:p w:rsidR="0095121C" w:rsidRDefault="009F03AE">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道路交通事故死亡率=行政区域内因道路交通事故死亡人数/行政区域内常住人口数</w:t>
            </w:r>
            <w:r>
              <w:rPr>
                <w:rFonts w:ascii="仿宋_GB2312" w:eastAsia="仿宋_GB2312" w:hAnsi="仿宋_GB2312" w:cs="仿宋_GB2312" w:hint="eastAsia"/>
                <w:color w:val="auto"/>
                <w:kern w:val="0"/>
                <w:szCs w:val="21"/>
              </w:rPr>
              <w:t>×</w:t>
            </w:r>
            <w:r>
              <w:rPr>
                <w:rFonts w:ascii="仿宋_GB2312" w:eastAsia="仿宋_GB2312" w:hAnsi="仿宋_GB2312" w:cs="仿宋_GB2312" w:hint="eastAsia"/>
                <w:color w:val="auto"/>
                <w:kern w:val="0"/>
                <w:szCs w:val="21"/>
                <w:lang/>
              </w:rPr>
              <w:t>100000。</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省公安厅</w:t>
            </w:r>
          </w:p>
        </w:tc>
      </w:tr>
      <w:tr w:rsidR="0095121C" w:rsidTr="00DA4085">
        <w:trPr>
          <w:cantSplit/>
          <w:trHeight w:val="369"/>
          <w:jc w:val="center"/>
        </w:trPr>
        <w:tc>
          <w:tcPr>
            <w:tcW w:w="988" w:type="dxa"/>
            <w:vMerge/>
            <w:vAlign w:val="center"/>
          </w:tcPr>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19</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全省累计认证“绿色食品、有机农产品、地理标志农产品”数量</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绿色食品、有机农产品、地理标志农产品年认证数量加上年度累计达到数量。</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省农业农村厅</w:t>
            </w:r>
          </w:p>
        </w:tc>
      </w:tr>
      <w:tr w:rsidR="0095121C" w:rsidTr="00DA4085">
        <w:trPr>
          <w:cantSplit/>
          <w:trHeight w:val="369"/>
          <w:jc w:val="center"/>
        </w:trPr>
        <w:tc>
          <w:tcPr>
            <w:tcW w:w="988" w:type="dxa"/>
            <w:vAlign w:val="center"/>
          </w:tcPr>
          <w:p w:rsidR="0095121C" w:rsidRDefault="002E2E65" w:rsidP="002E2E6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lang/>
              </w:rPr>
              <w:lastRenderedPageBreak/>
              <w:t>健康影响因素控制</w:t>
            </w: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20</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农产品质量安全例行监测总体合格率</w:t>
            </w:r>
            <w:r>
              <w:rPr>
                <w:rFonts w:ascii="仿宋_GB2312" w:eastAsia="仿宋_GB2312" w:hAnsi="仿宋_GB2312" w:cs="仿宋_GB2312" w:hint="eastAsia"/>
                <w:color w:val="auto"/>
                <w:kern w:val="0"/>
                <w:szCs w:val="21"/>
              </w:rPr>
              <w:t>（%）</w:t>
            </w:r>
          </w:p>
        </w:tc>
        <w:tc>
          <w:tcPr>
            <w:tcW w:w="5811" w:type="dxa"/>
            <w:vAlign w:val="center"/>
          </w:tcPr>
          <w:p w:rsidR="0095121C" w:rsidRDefault="009F03AE">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由省农业农村厅组织开展的农产品（含种植业产品、畜禽产品、水产品）质量安全例行监测的数据综合计算。</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省农业农村厅</w:t>
            </w:r>
          </w:p>
        </w:tc>
        <w:bookmarkStart w:id="0" w:name="_GoBack"/>
        <w:bookmarkEnd w:id="0"/>
      </w:tr>
      <w:tr w:rsidR="00DA4085" w:rsidTr="00DA4085">
        <w:trPr>
          <w:cantSplit/>
          <w:trHeight w:val="450"/>
          <w:jc w:val="center"/>
        </w:trPr>
        <w:tc>
          <w:tcPr>
            <w:tcW w:w="988" w:type="dxa"/>
            <w:vMerge w:val="restart"/>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lang/>
              </w:rPr>
              <w:t>重点人群健康促进</w:t>
            </w:r>
          </w:p>
          <w:p w:rsidR="00DA4085" w:rsidRDefault="00DA4085" w:rsidP="009F03AE">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r>
              <w:rPr>
                <w:rFonts w:ascii="仿宋_GB2312" w:eastAsia="仿宋_GB2312" w:hAnsi="仿宋_GB2312" w:cs="仿宋_GB2312"/>
                <w:color w:val="auto"/>
                <w:kern w:val="0"/>
                <w:szCs w:val="21"/>
              </w:rPr>
              <w:t>1</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rPr>
              <w:t>产前筛查率（%）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地区孕产妇产前筛查人数与某年某地区产妇数之比。孕产妇产前筛查人数指该地区该统计年度内，在孕早期和孕中期（孕7-22周）用血清学方法筛查胎儿唐氏综合征（21-三体）、18-三体和神经管畸形或者用孕妇外周血胎儿游离 DNA 产前基因检测方法筛查胎儿唐氏综合征（21-三体）、18-三体和13-三体的孕产妇人数（暂不包括超声学筛查）。接受过多种筛查的，按1人统计。</w:t>
            </w:r>
          </w:p>
          <w:p w:rsidR="00DA4085" w:rsidRDefault="00DA4085">
            <w:pPr>
              <w:snapToGrid w:val="0"/>
              <w:spacing w:after="0" w:line="240" w:lineRule="auto"/>
              <w:rPr>
                <w:color w:val="auto"/>
                <w:szCs w:val="21"/>
              </w:rPr>
            </w:pPr>
            <w:r>
              <w:rPr>
                <w:rFonts w:ascii="仿宋_GB2312" w:eastAsia="仿宋_GB2312" w:hAnsi="DengXian" w:cs="仿宋_GB2312"/>
                <w:color w:val="auto"/>
                <w:kern w:val="0"/>
                <w:szCs w:val="21"/>
                <w:lang/>
              </w:rPr>
              <w:t>该年该地区孕产妇产前筛查人数/ 某年某地区产妇数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w:t>
            </w:r>
            <w:r>
              <w:rPr>
                <w:rFonts w:ascii="仿宋_GB2312" w:eastAsia="仿宋_GB2312" w:hAnsi="仿宋_GB2312" w:cs="仿宋_GB2312" w:hint="eastAsia"/>
                <w:color w:val="auto"/>
                <w:kern w:val="0"/>
                <w:szCs w:val="21"/>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妇幼处</w:t>
            </w:r>
          </w:p>
        </w:tc>
      </w:tr>
      <w:tr w:rsidR="00DA4085" w:rsidTr="00DA4085">
        <w:trPr>
          <w:cantSplit/>
          <w:trHeight w:val="90"/>
          <w:jc w:val="center"/>
        </w:trPr>
        <w:tc>
          <w:tcPr>
            <w:tcW w:w="988" w:type="dxa"/>
            <w:vMerge/>
            <w:vAlign w:val="center"/>
          </w:tcPr>
          <w:p w:rsidR="00DA4085" w:rsidRDefault="00DA4085" w:rsidP="009F03AE">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r>
              <w:rPr>
                <w:rFonts w:ascii="仿宋_GB2312" w:eastAsia="仿宋_GB2312" w:hAnsi="仿宋_GB2312" w:cs="仿宋_GB2312"/>
                <w:color w:val="auto"/>
                <w:kern w:val="0"/>
                <w:szCs w:val="21"/>
              </w:rPr>
              <w:t>2</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新生儿遗传代谢性疾病筛查率（%）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地区接受苯丙酮尿症和先天性甲状腺功能减低症筛查的新生儿数与某年某地区活产数之比。新生儿疾病筛查人数指该地区该统计年度内接受了苯丙酮尿症筛查、先天性甲状腺功能减低症筛查的新生儿数。接受多次筛查的新生儿按 1人统计。</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该年该地区新生儿苯丙酮尿症、先天性甲状腺功能减低症筛查人数/某年某地区活产数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w:t>
            </w:r>
            <w:r>
              <w:rPr>
                <w:rFonts w:ascii="仿宋_GB2312" w:eastAsia="仿宋_GB2312" w:hAnsi="仿宋_GB2312" w:cs="仿宋_GB2312" w:hint="eastAsia"/>
                <w:color w:val="auto"/>
                <w:kern w:val="0"/>
                <w:szCs w:val="21"/>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妇幼处</w:t>
            </w:r>
          </w:p>
        </w:tc>
      </w:tr>
      <w:tr w:rsidR="00DA4085" w:rsidTr="00DA4085">
        <w:trPr>
          <w:cantSplit/>
          <w:trHeight w:val="369"/>
          <w:jc w:val="center"/>
        </w:trPr>
        <w:tc>
          <w:tcPr>
            <w:tcW w:w="988" w:type="dxa"/>
            <w:vMerge/>
            <w:vAlign w:val="center"/>
          </w:tcPr>
          <w:p w:rsidR="00DA4085" w:rsidRDefault="00DA4085" w:rsidP="009F03AE">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r>
              <w:rPr>
                <w:rFonts w:ascii="仿宋_GB2312" w:eastAsia="仿宋_GB2312" w:hAnsi="仿宋_GB2312" w:cs="仿宋_GB2312"/>
                <w:color w:val="auto"/>
                <w:kern w:val="0"/>
                <w:szCs w:val="21"/>
              </w:rPr>
              <w:t>3</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农村适龄妇女宫颈癌和乳腺癌筛查覆盖率（%）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指已经开展农村适龄妇女“两癌”检查服务的县（区、市）占所有县（区、市）的比例。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开展适龄妇女宫颈癌和乳腺癌筛查的区县数/全省区县数×100。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妇幼处</w:t>
            </w:r>
          </w:p>
        </w:tc>
      </w:tr>
      <w:tr w:rsidR="00DA4085" w:rsidTr="00DA4085">
        <w:trPr>
          <w:cantSplit/>
          <w:trHeight w:val="772"/>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r>
              <w:rPr>
                <w:rFonts w:ascii="仿宋_GB2312" w:eastAsia="仿宋_GB2312" w:hAnsi="仿宋_GB2312" w:cs="仿宋_GB2312"/>
                <w:color w:val="auto"/>
                <w:kern w:val="0"/>
                <w:szCs w:val="21"/>
              </w:rPr>
              <w:t>4</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孕产妇系统管理率（%）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区地产妇系统管理人数与某年某地区活产数之比。产妇系统管理人数指该地区该统计年度内按系统管理要求，从妊娠至出院后1周内有过孕早期产前检查、至少5次产前检查、住院分娩和产后访视的产妇人数。</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该年该地区产妇系统管理人数/某年某地活产数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w:t>
            </w:r>
            <w:r>
              <w:rPr>
                <w:rFonts w:ascii="仿宋_GB2312" w:eastAsia="仿宋_GB2312" w:hAnsi="仿宋_GB2312" w:cs="仿宋_GB2312" w:hint="eastAsia"/>
                <w:color w:val="auto"/>
                <w:kern w:val="0"/>
                <w:szCs w:val="21"/>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妇幼处</w:t>
            </w:r>
          </w:p>
        </w:tc>
      </w:tr>
      <w:tr w:rsidR="00DA4085" w:rsidTr="00DA4085">
        <w:trPr>
          <w:cantSplit/>
          <w:trHeight w:val="772"/>
          <w:jc w:val="center"/>
        </w:trPr>
        <w:tc>
          <w:tcPr>
            <w:tcW w:w="988" w:type="dxa"/>
            <w:vMerge w:val="restart"/>
            <w:vAlign w:val="center"/>
          </w:tcPr>
          <w:p w:rsidR="00DA4085" w:rsidRDefault="00DA4085" w:rsidP="00C462F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kern w:val="0"/>
                <w:szCs w:val="21"/>
              </w:rPr>
              <w:lastRenderedPageBreak/>
              <w:t>重点人群健康促进</w:t>
            </w: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r>
              <w:rPr>
                <w:rFonts w:ascii="仿宋_GB2312" w:eastAsia="仿宋_GB2312" w:hAnsi="仿宋_GB2312" w:cs="仿宋_GB2312"/>
                <w:color w:val="auto"/>
                <w:kern w:val="0"/>
                <w:szCs w:val="21"/>
              </w:rPr>
              <w:t>5</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3岁以下儿童系统管理率（%）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指该年该地区3岁以下儿童系统管理人数与某年某地区3岁以下儿童数之比。3 岁以下儿童系统管理人数指该统计年度内3岁以下儿童在本年度内按年龄要求接受生长监测或4</w:t>
            </w:r>
            <w:r>
              <w:rPr>
                <w:rFonts w:ascii="仿宋_GB2312" w:eastAsia="仿宋_GB2312" w:hAnsi="DengXian" w:cs="仿宋_GB2312" w:hint="eastAsia"/>
                <w:color w:val="auto"/>
                <w:kern w:val="0"/>
                <w:szCs w:val="21"/>
                <w:lang/>
              </w:rPr>
              <w:t>:</w:t>
            </w:r>
            <w:r>
              <w:rPr>
                <w:rFonts w:ascii="仿宋_GB2312" w:eastAsia="仿宋_GB2312" w:hAnsi="DengXian" w:cs="仿宋_GB2312"/>
                <w:color w:val="auto"/>
                <w:kern w:val="0"/>
                <w:szCs w:val="21"/>
                <w:lang/>
              </w:rPr>
              <w:t>2</w:t>
            </w:r>
            <w:r>
              <w:rPr>
                <w:rFonts w:ascii="仿宋_GB2312" w:eastAsia="仿宋_GB2312" w:hAnsi="DengXian" w:cs="仿宋_GB2312" w:hint="eastAsia"/>
                <w:color w:val="auto"/>
                <w:kern w:val="0"/>
                <w:szCs w:val="21"/>
                <w:lang/>
              </w:rPr>
              <w:t>:</w:t>
            </w:r>
            <w:r>
              <w:rPr>
                <w:rFonts w:ascii="仿宋_GB2312" w:eastAsia="仿宋_GB2312" w:hAnsi="DengXian" w:cs="仿宋_GB2312"/>
                <w:color w:val="auto"/>
                <w:kern w:val="0"/>
                <w:szCs w:val="21"/>
                <w:lang/>
              </w:rPr>
              <w:t>2体格检查（身高和体重等）的总人数。新生儿访视时的体检次数不包括在内。</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该年该地区3岁以下儿童系统管理人数/某年某地区3岁以下儿童数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w:t>
            </w:r>
            <w:r>
              <w:rPr>
                <w:rFonts w:ascii="仿宋_GB2312" w:eastAsia="仿宋_GB2312" w:hAnsi="DengXian" w:cs="仿宋_GB2312" w:hint="eastAsia"/>
                <w:color w:val="auto"/>
                <w:kern w:val="0"/>
                <w:szCs w:val="21"/>
                <w:lang/>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妇幼处</w:t>
            </w:r>
          </w:p>
        </w:tc>
      </w:tr>
      <w:tr w:rsidR="00DA4085" w:rsidTr="00DA4085">
        <w:trPr>
          <w:cantSplit/>
          <w:trHeight w:val="772"/>
          <w:jc w:val="center"/>
        </w:trPr>
        <w:tc>
          <w:tcPr>
            <w:tcW w:w="988" w:type="dxa"/>
            <w:vMerge/>
            <w:vAlign w:val="center"/>
          </w:tcPr>
          <w:p w:rsidR="00DA4085" w:rsidRDefault="00DA4085" w:rsidP="00C462FE">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2</w:t>
            </w:r>
            <w:r>
              <w:rPr>
                <w:rFonts w:ascii="仿宋_GB2312" w:eastAsia="仿宋_GB2312" w:hAnsi="仿宋_GB2312" w:cs="仿宋_GB2312"/>
                <w:color w:val="auto"/>
                <w:kern w:val="0"/>
                <w:szCs w:val="21"/>
              </w:rPr>
              <w:t>6</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7岁以下儿童健康管理率（%）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地区7岁以下儿童健康管理人数与某年某地区7岁以下儿童数之比。7岁以下儿童健康管理人数指指该统计年度内7岁以下儿童接受1次及以上体格检查（身高和体重等）的总人数。一个儿童当年如接受了多次查体，也只按1人计算。</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该年该地区7岁以下儿童健康管理人数/某年某地区7岁以下儿童数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w:t>
            </w:r>
            <w:r>
              <w:rPr>
                <w:rFonts w:ascii="仿宋_GB2312" w:eastAsia="仿宋_GB2312" w:hAnsi="仿宋_GB2312" w:cs="仿宋_GB2312" w:hint="eastAsia"/>
                <w:color w:val="auto"/>
                <w:kern w:val="0"/>
                <w:szCs w:val="21"/>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妇幼处</w:t>
            </w:r>
          </w:p>
        </w:tc>
      </w:tr>
      <w:tr w:rsidR="00DA4085" w:rsidTr="00DA4085">
        <w:trPr>
          <w:cantSplit/>
          <w:trHeight w:val="772"/>
          <w:jc w:val="center"/>
        </w:trPr>
        <w:tc>
          <w:tcPr>
            <w:tcW w:w="988" w:type="dxa"/>
            <w:vMerge/>
            <w:vAlign w:val="center"/>
          </w:tcPr>
          <w:p w:rsidR="00DA4085" w:rsidRDefault="00DA4085" w:rsidP="00C462FE">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2</w:t>
            </w:r>
            <w:r>
              <w:rPr>
                <w:rFonts w:ascii="仿宋_GB2312" w:eastAsia="仿宋_GB2312" w:hAnsi="仿宋_GB2312" w:cs="仿宋_GB2312"/>
                <w:color w:val="auto"/>
                <w:szCs w:val="21"/>
              </w:rPr>
              <w:t>7</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市县学生体质健康标准达标优良率（%）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《国家学生体质健康标准》是测量学生体质健康状况和锻炼效果的评价标准，该指标指达到优良标准的学生数占参加评定学生总人数的比例。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学生体质综合评定总分80分及以上学生数/参加评定学生总人数×100。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省教育厅</w:t>
            </w:r>
          </w:p>
        </w:tc>
      </w:tr>
      <w:tr w:rsidR="00DA4085" w:rsidTr="00DA4085">
        <w:trPr>
          <w:cantSplit/>
          <w:trHeight w:val="1637"/>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rPr>
              <w:t>2</w:t>
            </w:r>
            <w:r>
              <w:rPr>
                <w:rFonts w:ascii="仿宋_GB2312" w:eastAsia="仿宋_GB2312" w:hAnsi="仿宋_GB2312" w:cs="仿宋_GB2312"/>
                <w:color w:val="auto"/>
              </w:rPr>
              <w:t>8</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spacing w:val="-10"/>
                <w:kern w:val="0"/>
                <w:szCs w:val="21"/>
              </w:rPr>
            </w:pPr>
            <w:r>
              <w:rPr>
                <w:rFonts w:ascii="仿宋_GB2312" w:eastAsia="仿宋_GB2312" w:hAnsi="仿宋_GB2312" w:cs="仿宋_GB2312" w:hint="eastAsia"/>
                <w:color w:val="auto"/>
              </w:rPr>
              <w:t>儿童青少年总体近视率（%）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rPr>
              <w:t>儿童青少年总体近视率。</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各市县儿童青少年近视总数/各市县儿童青少年总数×100。</w:t>
            </w:r>
          </w:p>
        </w:tc>
        <w:tc>
          <w:tcPr>
            <w:tcW w:w="2268" w:type="dxa"/>
            <w:vAlign w:val="center"/>
          </w:tcPr>
          <w:p w:rsidR="00DA4085" w:rsidRDefault="00DA4085">
            <w:pPr>
              <w:snapToGrid w:val="0"/>
              <w:spacing w:after="0" w:line="240" w:lineRule="auto"/>
              <w:jc w:val="center"/>
              <w:rPr>
                <w:rFonts w:ascii="仿宋_GB2312" w:eastAsia="CESI黑体-GB2312" w:hAnsi="仿宋_GB2312" w:cs="仿宋_GB2312"/>
                <w:color w:val="auto"/>
                <w:kern w:val="0"/>
                <w:szCs w:val="21"/>
              </w:rPr>
            </w:pPr>
            <w:r>
              <w:rPr>
                <w:rFonts w:ascii="CESI黑体-GB2312" w:eastAsia="CESI黑体-GB2312" w:hAnsi="CESI黑体-GB2312" w:cs="CESI黑体-GB2312" w:hint="eastAsia"/>
                <w:color w:val="auto"/>
                <w:szCs w:val="21"/>
              </w:rPr>
              <w:t>省疾控局</w:t>
            </w:r>
          </w:p>
        </w:tc>
      </w:tr>
      <w:tr w:rsidR="00DA4085" w:rsidTr="00DA4085">
        <w:trPr>
          <w:cantSplit/>
          <w:trHeight w:val="90"/>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29</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配备专职校医或保健人员的中小学校比例（%）</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配备专职校医或保健人员的中小学校数/中</w:t>
            </w:r>
            <w:r>
              <w:rPr>
                <w:rFonts w:ascii="仿宋_GB2312" w:eastAsia="仿宋_GB2312" w:hAnsi="仿宋_GB2312" w:cs="仿宋_GB2312"/>
                <w:color w:val="auto"/>
                <w:szCs w:val="21"/>
              </w:rPr>
              <w:t>小学校数</w:t>
            </w:r>
            <w:r>
              <w:rPr>
                <w:rFonts w:ascii="仿宋_GB2312" w:eastAsia="仿宋_GB2312" w:hAnsi="仿宋_GB2312" w:cs="仿宋_GB2312" w:hint="eastAsia"/>
                <w:color w:val="auto"/>
                <w:kern w:val="0"/>
                <w:szCs w:val="21"/>
              </w:rPr>
              <w:t>×100。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省教育厅</w:t>
            </w:r>
          </w:p>
        </w:tc>
      </w:tr>
      <w:tr w:rsidR="00DA4085" w:rsidTr="00DA4085">
        <w:trPr>
          <w:cantSplit/>
          <w:trHeight w:val="90"/>
          <w:jc w:val="center"/>
        </w:trPr>
        <w:tc>
          <w:tcPr>
            <w:tcW w:w="988" w:type="dxa"/>
            <w:vMerge w:val="restart"/>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kern w:val="0"/>
                <w:szCs w:val="21"/>
              </w:rPr>
              <w:lastRenderedPageBreak/>
              <w:t>重点人群健康促进</w:t>
            </w:r>
          </w:p>
          <w:p w:rsidR="00DA4085" w:rsidRDefault="00DA4085" w:rsidP="009362EB">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30</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spacing w:val="-10"/>
                <w:kern w:val="0"/>
                <w:szCs w:val="21"/>
              </w:rPr>
            </w:pPr>
            <w:r>
              <w:rPr>
                <w:rFonts w:ascii="仿宋_GB2312" w:eastAsia="仿宋_GB2312" w:hAnsi="仿宋_GB2312" w:cs="仿宋_GB2312" w:hint="eastAsia"/>
                <w:color w:val="auto"/>
                <w:szCs w:val="21"/>
              </w:rPr>
              <w:t>配备专职心理健康教育教师的中小学校比例（%）</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配备专兼职心理健康教育教师的中小学校数/中小学校数×100。</w:t>
            </w:r>
          </w:p>
        </w:tc>
        <w:tc>
          <w:tcPr>
            <w:tcW w:w="2268"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CESI黑体-GB2312" w:eastAsia="CESI黑体-GB2312" w:hAnsi="CESI黑体-GB2312" w:cs="CESI黑体-GB2312" w:hint="eastAsia"/>
                <w:color w:val="auto"/>
                <w:szCs w:val="21"/>
              </w:rPr>
              <w:t>省教育厅</w:t>
            </w:r>
          </w:p>
        </w:tc>
      </w:tr>
      <w:tr w:rsidR="00DA4085" w:rsidTr="00DA4085">
        <w:trPr>
          <w:cantSplit/>
          <w:trHeight w:val="1541"/>
          <w:jc w:val="center"/>
        </w:trPr>
        <w:tc>
          <w:tcPr>
            <w:tcW w:w="988" w:type="dxa"/>
            <w:vMerge/>
            <w:tcBorders>
              <w:left w:val="single" w:sz="4" w:space="0" w:color="000000"/>
            </w:tcBorders>
            <w:vAlign w:val="center"/>
          </w:tcPr>
          <w:p w:rsidR="00DA4085" w:rsidRDefault="00DA4085" w:rsidP="009362EB">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1</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工作场所职业病危害因素监测合格率（%）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工作场所职业病危害因素监测合格率=工作场所职业病危害因素合格岗位数/工作场所职业病危害因素检测岗位数。</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健康促进处</w:t>
            </w:r>
          </w:p>
        </w:tc>
      </w:tr>
      <w:tr w:rsidR="00DA4085" w:rsidTr="00DA4085">
        <w:trPr>
          <w:cantSplit/>
          <w:trHeight w:val="962"/>
          <w:jc w:val="center"/>
        </w:trPr>
        <w:tc>
          <w:tcPr>
            <w:tcW w:w="988" w:type="dxa"/>
            <w:vMerge/>
            <w:tcBorders>
              <w:left w:val="single" w:sz="4" w:space="0" w:color="000000"/>
            </w:tcBorders>
            <w:vAlign w:val="center"/>
          </w:tcPr>
          <w:p w:rsidR="00DA4085" w:rsidRDefault="00DA4085" w:rsidP="009362EB">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color w:val="auto"/>
                <w:kern w:val="0"/>
                <w:szCs w:val="21"/>
              </w:rPr>
              <w:t>32</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 w:val="21"/>
                <w:szCs w:val="21"/>
              </w:rPr>
              <w:t>职业病危害项目申报率（%）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kern w:val="0"/>
                <w:sz w:val="21"/>
                <w:szCs w:val="21"/>
              </w:rPr>
              <w:t>工业企业职业病危害项目申报率=申报职业病危害的工业企业数量/存在职业病危害的工业企业数量。</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健康促进处</w:t>
            </w:r>
          </w:p>
        </w:tc>
      </w:tr>
      <w:tr w:rsidR="00DA4085" w:rsidTr="00DA4085">
        <w:trPr>
          <w:cantSplit/>
          <w:trHeight w:val="90"/>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3</w:t>
            </w:r>
          </w:p>
        </w:tc>
        <w:tc>
          <w:tcPr>
            <w:tcW w:w="2977" w:type="dxa"/>
            <w:gridSpan w:val="2"/>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辖区职业健康检查和职业病诊断服务覆盖率（%）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设区的市至少有1家医疗卫生机构承担本辖区内职业病诊断工作，县级行政区域原则上至少有1家医疗卫生机构承担本辖区职业健康检查工作，实现“地市能诊断，县区能体检”。</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color w:val="auto"/>
                <w:kern w:val="0"/>
                <w:szCs w:val="21"/>
              </w:rPr>
              <w:t>1.</w:t>
            </w:r>
            <w:r>
              <w:rPr>
                <w:rFonts w:ascii="仿宋_GB2312" w:eastAsia="仿宋_GB2312" w:hAnsi="仿宋_GB2312" w:cs="仿宋_GB2312" w:hint="eastAsia"/>
                <w:color w:val="auto"/>
                <w:kern w:val="0"/>
                <w:szCs w:val="21"/>
              </w:rPr>
              <w:t>职业健康检查服务覆盖率=本年度辖区内“至少有1家医疗卫生机构承担职业健康检查”的县区数/ 本年度辖区内原则上应当“至少有1家医疗卫生机构承担职业健康检查”的县区数×100；2.职业病诊断服务覆盖率=本年度辖区内至少有1家医疗卫生机构承担职业病诊断的设区的市的数量/ 本年度辖区内设区的市的数量×100。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健康促进处</w:t>
            </w:r>
          </w:p>
        </w:tc>
      </w:tr>
      <w:tr w:rsidR="00DA4085" w:rsidTr="00DA4085">
        <w:trPr>
          <w:cantSplit/>
          <w:trHeight w:val="90"/>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4</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65岁以上老年人规范化健康管理覆盖率(%)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指某年度辖区内65岁及以上常住居民接受规范化健康管理的比例。</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年内辖区内65岁及以上常住居民接受规范化健康管理人数/年内辖区内65岁及以上常住居民人数×100。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基层处</w:t>
            </w:r>
          </w:p>
        </w:tc>
      </w:tr>
      <w:tr w:rsidR="00DA4085" w:rsidTr="00DA4085">
        <w:trPr>
          <w:cantSplit/>
          <w:trHeight w:val="90"/>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5</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医养结合机构数量（家）</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rPr>
              <w:t>指同时具备医疗卫生资质和养老服务能力的医疗卫生机构或养老机构）数量。</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szCs w:val="21"/>
              </w:rPr>
              <w:t>老龄处</w:t>
            </w:r>
          </w:p>
        </w:tc>
      </w:tr>
      <w:tr w:rsidR="00DA4085" w:rsidTr="00DA4085">
        <w:trPr>
          <w:cantSplit/>
          <w:trHeight w:val="90"/>
          <w:jc w:val="center"/>
        </w:trPr>
        <w:tc>
          <w:tcPr>
            <w:tcW w:w="988" w:type="dxa"/>
            <w:vMerge w:val="restart"/>
            <w:tcBorders>
              <w:left w:val="single" w:sz="4" w:space="0" w:color="000000"/>
            </w:tcBorders>
            <w:vAlign w:val="center"/>
          </w:tcPr>
          <w:p w:rsidR="00DA4085" w:rsidRDefault="00DA4085" w:rsidP="00E05A46">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kern w:val="0"/>
                <w:szCs w:val="21"/>
              </w:rPr>
              <w:lastRenderedPageBreak/>
              <w:t>重点人群健康促进</w:t>
            </w: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6</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二级以上公立综合性医院设老年医学科比例（%）</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设置老年医学科的二级以上综合性医院比例，综合性医院包括综合医院、中医医院、中西医结合医院和民族医院。</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设置老年医学科的二级以上公立综合性医院数/二级以上公立综合性医院数×100。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CESI黑体-GB2312" w:eastAsia="CESI黑体-GB2312" w:hAnsi="CESI黑体-GB2312" w:cs="CESI黑体-GB2312"/>
                <w:color w:val="auto"/>
                <w:szCs w:val="21"/>
              </w:rPr>
              <w:t>老龄处</w:t>
            </w:r>
          </w:p>
        </w:tc>
      </w:tr>
      <w:tr w:rsidR="00DA4085" w:rsidTr="00DA4085">
        <w:trPr>
          <w:cantSplit/>
          <w:trHeight w:val="90"/>
          <w:jc w:val="center"/>
        </w:trPr>
        <w:tc>
          <w:tcPr>
            <w:tcW w:w="988" w:type="dxa"/>
            <w:vMerge/>
            <w:tcBorders>
              <w:left w:val="single" w:sz="4" w:space="0" w:color="000000"/>
            </w:tcBorders>
            <w:vAlign w:val="center"/>
          </w:tcPr>
          <w:p w:rsidR="00DA4085" w:rsidRDefault="00DA4085" w:rsidP="00E05A46">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7</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三级中医医院设置康复科比例（%）</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设置康复科的三级中医医院比例。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设置康复科的三级中医医院数/三级中医医院数×100。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rPr>
              <w:t>省中医药管理局</w:t>
            </w:r>
          </w:p>
        </w:tc>
      </w:tr>
      <w:tr w:rsidR="00DA4085" w:rsidTr="00DA4085">
        <w:trPr>
          <w:cantSplit/>
          <w:trHeight w:val="90"/>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w:t>
            </w:r>
            <w:r>
              <w:rPr>
                <w:rFonts w:ascii="仿宋_GB2312" w:eastAsia="仿宋_GB2312" w:hAnsi="仿宋_GB2312" w:cs="仿宋_GB2312"/>
                <w:color w:val="auto"/>
                <w:kern w:val="0"/>
                <w:szCs w:val="21"/>
              </w:rPr>
              <w:t>8</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新生儿听力筛查率（%）</w:t>
            </w:r>
          </w:p>
        </w:tc>
        <w:tc>
          <w:tcPr>
            <w:tcW w:w="5811" w:type="dxa"/>
            <w:vAlign w:val="center"/>
          </w:tcPr>
          <w:p w:rsidR="00DA4085" w:rsidRDefault="00DA4085">
            <w:pPr>
              <w:snapToGrid w:val="0"/>
              <w:spacing w:after="0" w:line="240" w:lineRule="auto"/>
              <w:jc w:val="both"/>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指</w:t>
            </w:r>
            <w:r>
              <w:rPr>
                <w:rFonts w:ascii="仿宋_GB2312" w:eastAsia="仿宋_GB2312" w:hAnsi="DengXian" w:cs="仿宋_GB2312" w:hint="eastAsia"/>
                <w:color w:val="auto"/>
                <w:kern w:val="0"/>
                <w:szCs w:val="21"/>
                <w:lang/>
              </w:rPr>
              <w:t>该年该地区</w:t>
            </w:r>
            <w:r>
              <w:rPr>
                <w:rFonts w:ascii="仿宋_GB2312" w:eastAsia="仿宋_GB2312" w:hAnsi="仿宋_GB2312" w:cs="仿宋_GB2312" w:hint="eastAsia"/>
                <w:color w:val="auto"/>
                <w:kern w:val="0"/>
                <w:szCs w:val="21"/>
                <w:lang/>
              </w:rPr>
              <w:t>接受听力障碍筛查的新生儿数</w:t>
            </w:r>
            <w:r>
              <w:rPr>
                <w:rFonts w:ascii="仿宋_GB2312" w:eastAsia="仿宋_GB2312" w:hAnsi="DengXian" w:cs="仿宋_GB2312" w:hint="eastAsia"/>
                <w:color w:val="auto"/>
                <w:kern w:val="0"/>
                <w:szCs w:val="21"/>
                <w:lang/>
              </w:rPr>
              <w:t>与</w:t>
            </w:r>
            <w:r>
              <w:rPr>
                <w:rFonts w:ascii="仿宋_GB2312" w:eastAsia="仿宋_GB2312" w:hAnsi="仿宋_GB2312" w:cs="仿宋_GB2312" w:hint="eastAsia"/>
                <w:color w:val="auto"/>
                <w:kern w:val="0"/>
                <w:szCs w:val="21"/>
              </w:rPr>
              <w:t>某年某地</w:t>
            </w:r>
            <w:r>
              <w:rPr>
                <w:rFonts w:ascii="仿宋_GB2312" w:eastAsia="仿宋_GB2312" w:hAnsi="DengXian" w:cs="仿宋_GB2312" w:hint="eastAsia"/>
                <w:color w:val="auto"/>
                <w:kern w:val="0"/>
                <w:szCs w:val="21"/>
                <w:lang/>
              </w:rPr>
              <w:t>区活产数之比</w:t>
            </w:r>
            <w:r>
              <w:rPr>
                <w:rFonts w:ascii="仿宋_GB2312" w:eastAsia="仿宋_GB2312" w:hAnsi="仿宋_GB2312" w:cs="仿宋_GB2312" w:hint="eastAsia"/>
                <w:color w:val="auto"/>
                <w:kern w:val="0"/>
                <w:szCs w:val="21"/>
                <w:lang/>
              </w:rPr>
              <w:t>。新生儿听力障碍筛查人数指该地区该统计年度内接受了自动听性脑干反应和</w:t>
            </w:r>
            <w:r>
              <w:rPr>
                <w:rFonts w:ascii="仿宋_GB2312" w:eastAsia="仿宋_GB2312" w:hAnsi="仿宋_GB2312" w:cs="仿宋_GB2312"/>
                <w:color w:val="auto"/>
                <w:kern w:val="0"/>
                <w:szCs w:val="21"/>
                <w:lang/>
              </w:rPr>
              <w:t>/或耳声发</w:t>
            </w:r>
            <w:r>
              <w:rPr>
                <w:rFonts w:ascii="仿宋_GB2312" w:eastAsia="仿宋_GB2312" w:hAnsi="仿宋_GB2312" w:cs="仿宋_GB2312" w:hint="eastAsia"/>
                <w:color w:val="auto"/>
                <w:kern w:val="0"/>
                <w:szCs w:val="21"/>
                <w:lang/>
              </w:rPr>
              <w:t>射筛查的新生儿数。接受多次新生儿听力筛查的新生儿按</w:t>
            </w:r>
            <w:r>
              <w:rPr>
                <w:rFonts w:ascii="仿宋_GB2312" w:eastAsia="仿宋_GB2312" w:hAnsi="仿宋_GB2312" w:cs="仿宋_GB2312"/>
                <w:color w:val="auto"/>
                <w:kern w:val="0"/>
                <w:szCs w:val="21"/>
                <w:lang/>
              </w:rPr>
              <w:t>1</w:t>
            </w:r>
            <w:r>
              <w:rPr>
                <w:rFonts w:ascii="仿宋_GB2312" w:eastAsia="仿宋_GB2312" w:hAnsi="仿宋_GB2312" w:cs="仿宋_GB2312" w:hint="eastAsia"/>
                <w:color w:val="auto"/>
                <w:kern w:val="0"/>
                <w:szCs w:val="21"/>
                <w:lang/>
              </w:rPr>
              <w:t>人统计。</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该年该地</w:t>
            </w:r>
            <w:r>
              <w:rPr>
                <w:rFonts w:ascii="仿宋_GB2312" w:eastAsia="仿宋_GB2312" w:hAnsi="DengXian" w:cs="仿宋_GB2312" w:hint="eastAsia"/>
                <w:color w:val="auto"/>
                <w:kern w:val="0"/>
                <w:szCs w:val="21"/>
                <w:lang/>
              </w:rPr>
              <w:t>区</w:t>
            </w:r>
            <w:r>
              <w:rPr>
                <w:rFonts w:ascii="仿宋_GB2312" w:eastAsia="仿宋_GB2312" w:hAnsi="仿宋_GB2312" w:cs="仿宋_GB2312" w:hint="eastAsia"/>
                <w:color w:val="auto"/>
                <w:kern w:val="0"/>
                <w:szCs w:val="21"/>
                <w:lang/>
              </w:rPr>
              <w:t>新生儿听力筛查人数</w:t>
            </w:r>
            <w:r>
              <w:rPr>
                <w:rFonts w:ascii="仿宋_GB2312" w:eastAsia="仿宋_GB2312" w:hAnsi="仿宋_GB2312" w:cs="仿宋_GB2312"/>
                <w:color w:val="auto"/>
                <w:kern w:val="0"/>
                <w:szCs w:val="21"/>
                <w:lang/>
              </w:rPr>
              <w:t>/</w:t>
            </w:r>
            <w:r>
              <w:rPr>
                <w:rFonts w:ascii="仿宋_GB2312" w:eastAsia="仿宋_GB2312" w:hAnsi="仿宋_GB2312" w:cs="仿宋_GB2312" w:hint="eastAsia"/>
                <w:color w:val="auto"/>
                <w:kern w:val="0"/>
                <w:szCs w:val="21"/>
                <w:lang/>
              </w:rPr>
              <w:t>某年某地</w:t>
            </w:r>
            <w:r>
              <w:rPr>
                <w:rFonts w:ascii="仿宋_GB2312" w:eastAsia="仿宋_GB2312" w:hAnsi="DengXian" w:cs="仿宋_GB2312" w:hint="eastAsia"/>
                <w:color w:val="auto"/>
                <w:kern w:val="0"/>
                <w:szCs w:val="21"/>
                <w:lang/>
              </w:rPr>
              <w:t>区</w:t>
            </w:r>
            <w:r>
              <w:rPr>
                <w:rFonts w:ascii="仿宋_GB2312" w:eastAsia="仿宋_GB2312" w:hAnsi="仿宋_GB2312" w:cs="仿宋_GB2312" w:hint="eastAsia"/>
                <w:color w:val="auto"/>
                <w:kern w:val="0"/>
                <w:szCs w:val="21"/>
                <w:lang/>
              </w:rPr>
              <w:t>活产数×</w:t>
            </w:r>
            <w:r>
              <w:rPr>
                <w:rFonts w:ascii="仿宋_GB2312" w:eastAsia="仿宋_GB2312" w:hAnsi="仿宋_GB2312" w:cs="仿宋_GB2312"/>
                <w:color w:val="auto"/>
                <w:kern w:val="0"/>
                <w:szCs w:val="21"/>
                <w:lang/>
              </w:rPr>
              <w:t>100</w:t>
            </w:r>
            <w:r>
              <w:rPr>
                <w:rFonts w:ascii="仿宋_GB2312" w:eastAsia="仿宋_GB2312" w:hAnsi="仿宋_GB2312" w:cs="仿宋_GB2312" w:hint="eastAsia"/>
                <w:color w:val="auto"/>
                <w:kern w:val="0"/>
                <w:szCs w:val="21"/>
                <w:lang/>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CESI黑体-GB2312" w:eastAsia="CESI黑体-GB2312" w:hAnsi="CESI黑体-GB2312" w:cs="CESI黑体-GB2312" w:hint="eastAsia"/>
                <w:color w:val="auto"/>
                <w:szCs w:val="21"/>
              </w:rPr>
              <w:t>妇幼处</w:t>
            </w:r>
          </w:p>
        </w:tc>
      </w:tr>
      <w:tr w:rsidR="00DA4085" w:rsidTr="00DA4085">
        <w:trPr>
          <w:cantSplit/>
          <w:trHeight w:val="90"/>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39</w:t>
            </w:r>
          </w:p>
        </w:tc>
        <w:tc>
          <w:tcPr>
            <w:tcW w:w="2977" w:type="dxa"/>
            <w:gridSpan w:val="2"/>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spacing w:val="-10"/>
                <w:kern w:val="0"/>
                <w:szCs w:val="21"/>
              </w:rPr>
              <w:t>残疾人精准康复服务率（%）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有需求的残疾儿童和持证残疾人接受基本康复服务的比例。以上一年度残疾人基本服务状况和需求信息动态更新数据为基数（分母数），落实全省本年度需完成的接受基本康复服务的残疾儿童和持证残疾人数（分子数）确定本年度比例。</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省残联</w:t>
            </w:r>
          </w:p>
        </w:tc>
      </w:tr>
      <w:tr w:rsidR="00DA4085" w:rsidTr="00DA4085">
        <w:trPr>
          <w:cantSplit/>
          <w:trHeight w:val="44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0</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rPr>
              <w:t>中小学生溺亡率（1/10万）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中小学生溺亡率=年度内中小学生溺亡人数/年度内中小学生总数</w:t>
            </w:r>
            <w:r>
              <w:rPr>
                <w:rFonts w:ascii="仿宋_GB2312" w:eastAsia="仿宋_GB2312" w:hAnsi="仿宋_GB2312" w:cs="仿宋_GB2312" w:hint="eastAsia"/>
                <w:color w:val="auto"/>
                <w:kern w:val="0"/>
                <w:szCs w:val="21"/>
              </w:rPr>
              <w:t>×</w:t>
            </w:r>
            <w:r>
              <w:rPr>
                <w:rFonts w:ascii="仿宋_GB2312" w:eastAsia="仿宋_GB2312" w:hAnsi="仿宋_GB2312" w:cs="仿宋_GB2312"/>
                <w:color w:val="auto"/>
                <w:kern w:val="0"/>
                <w:szCs w:val="21"/>
                <w:lang/>
              </w:rPr>
              <w:t>10</w:t>
            </w:r>
            <w:r>
              <w:rPr>
                <w:rFonts w:ascii="仿宋_GB2312" w:eastAsia="仿宋_GB2312" w:hAnsi="仿宋_GB2312" w:cs="仿宋_GB2312" w:hint="eastAsia"/>
                <w:color w:val="auto"/>
                <w:kern w:val="0"/>
                <w:szCs w:val="21"/>
                <w:lang/>
              </w:rPr>
              <w:t>0000。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省教育厅</w:t>
            </w:r>
          </w:p>
        </w:tc>
      </w:tr>
      <w:tr w:rsidR="00DA4085" w:rsidTr="00DA4085">
        <w:trPr>
          <w:cantSplit/>
          <w:trHeight w:val="962"/>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41</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rPr>
              <w:t>年度养老机构护理型床位数占比（%）</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color w:val="auto"/>
              </w:rPr>
              <w:t>各养老机构护理型床位是指养老机构内部具备照护失能、失智老年人服务需求,能够提供基本生活照护和与生活密切相关的医疗护理服务功能的床位设施。</w:t>
            </w:r>
          </w:p>
          <w:p w:rsidR="00DA4085" w:rsidRDefault="00DA4085">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rPr>
              <w:t>养老机构护理型床位数/养老机构总床位数×100。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kern w:val="0"/>
                <w:szCs w:val="21"/>
              </w:rPr>
              <w:t>省民政厅</w:t>
            </w:r>
          </w:p>
        </w:tc>
      </w:tr>
      <w:tr w:rsidR="0095121C" w:rsidTr="00DA4085">
        <w:trPr>
          <w:cantSplit/>
          <w:trHeight w:val="962"/>
          <w:jc w:val="center"/>
        </w:trPr>
        <w:tc>
          <w:tcPr>
            <w:tcW w:w="988" w:type="dxa"/>
            <w:tcBorders>
              <w:left w:val="single" w:sz="4" w:space="0" w:color="000000"/>
            </w:tcBorders>
            <w:vAlign w:val="center"/>
          </w:tcPr>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kern w:val="0"/>
                <w:szCs w:val="21"/>
              </w:rPr>
              <w:t>重大疾病防控</w:t>
            </w:r>
          </w:p>
          <w:p w:rsidR="0095121C" w:rsidRDefault="0095121C">
            <w:pPr>
              <w:snapToGrid w:val="0"/>
              <w:spacing w:after="0" w:line="240" w:lineRule="auto"/>
              <w:jc w:val="center"/>
              <w:rPr>
                <w:rFonts w:ascii="CESI黑体-GB2312" w:eastAsia="CESI黑体-GB2312" w:hAnsi="CESI黑体-GB2312" w:cs="CESI黑体-GB2312"/>
                <w:color w:val="auto"/>
                <w:kern w:val="0"/>
                <w:szCs w:val="21"/>
              </w:rPr>
            </w:pPr>
          </w:p>
        </w:tc>
        <w:tc>
          <w:tcPr>
            <w:tcW w:w="992" w:type="dxa"/>
            <w:tcBorders>
              <w:top w:val="single" w:sz="4" w:space="0" w:color="000000"/>
            </w:tcBorders>
            <w:vAlign w:val="center"/>
          </w:tcPr>
          <w:p w:rsidR="0095121C" w:rsidRDefault="009F03AE">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2</w:t>
            </w:r>
          </w:p>
        </w:tc>
        <w:tc>
          <w:tcPr>
            <w:tcW w:w="2977" w:type="dxa"/>
            <w:gridSpan w:val="2"/>
            <w:tcBorders>
              <w:top w:val="single" w:sz="4" w:space="0" w:color="000000"/>
            </w:tcBorders>
            <w:vAlign w:val="center"/>
          </w:tcPr>
          <w:p w:rsidR="0095121C" w:rsidRDefault="009F03AE">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心脑血管疾病死亡率（1/10万）</w:t>
            </w:r>
          </w:p>
        </w:tc>
        <w:tc>
          <w:tcPr>
            <w:tcW w:w="5811" w:type="dxa"/>
            <w:tcBorders>
              <w:top w:val="single" w:sz="4" w:space="0" w:color="000000"/>
            </w:tcBorders>
            <w:vAlign w:val="center"/>
          </w:tcPr>
          <w:p w:rsidR="0095121C" w:rsidRDefault="009F03AE">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在消除人口结构差异后，心血管疾病死亡在总人群中的发生频率。</w:t>
            </w:r>
          </w:p>
          <w:p w:rsidR="0095121C" w:rsidRDefault="009F03AE">
            <w:pPr>
              <w:snapToGrid w:val="0"/>
              <w:spacing w:after="0" w:line="240" w:lineRule="auto"/>
              <w:rPr>
                <w:rFonts w:ascii="仿宋_GB2312" w:eastAsia="仿宋_GB2312" w:hAnsi="仿宋_GB2312" w:cs="仿宋_GB2312"/>
                <w:color w:val="auto"/>
                <w:szCs w:val="21"/>
              </w:rPr>
            </w:pPr>
            <w:r>
              <w:rPr>
                <w:rFonts w:ascii="仿宋_GB2312" w:eastAsia="仿宋_GB2312" w:hAnsi="DengXian" w:cs="仿宋_GB2312"/>
                <w:color w:val="auto"/>
                <w:kern w:val="0"/>
                <w:szCs w:val="21"/>
                <w:lang/>
              </w:rPr>
              <w:t>通过计算人群中年龄别（5岁一组）心脑血管疾病死亡率，采用2010年全国人口普查人口结构进行年龄标化。</w:t>
            </w:r>
          </w:p>
        </w:tc>
        <w:tc>
          <w:tcPr>
            <w:tcW w:w="2268" w:type="dxa"/>
            <w:tcBorders>
              <w:top w:val="single" w:sz="4" w:space="0" w:color="000000"/>
            </w:tcBorders>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95121C" w:rsidRDefault="009F03AE">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医疗应急处</w:t>
            </w:r>
          </w:p>
        </w:tc>
      </w:tr>
      <w:tr w:rsidR="00DA4085" w:rsidTr="00DA4085">
        <w:trPr>
          <w:cantSplit/>
          <w:trHeight w:val="1063"/>
          <w:jc w:val="center"/>
        </w:trPr>
        <w:tc>
          <w:tcPr>
            <w:tcW w:w="988" w:type="dxa"/>
            <w:vMerge w:val="restart"/>
            <w:tcBorders>
              <w:left w:val="single" w:sz="4" w:space="0" w:color="000000"/>
            </w:tcBorders>
            <w:vAlign w:val="center"/>
          </w:tcPr>
          <w:p w:rsidR="00DA4085" w:rsidRDefault="00DA4085" w:rsidP="001E0138">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kern w:val="0"/>
                <w:szCs w:val="21"/>
              </w:rPr>
              <w:lastRenderedPageBreak/>
              <w:t>重大疾病防控</w:t>
            </w: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3</w:t>
            </w:r>
          </w:p>
        </w:tc>
        <w:tc>
          <w:tcPr>
            <w:tcW w:w="2977" w:type="dxa"/>
            <w:gridSpan w:val="2"/>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70岁及以下人群慢性呼吸系统疾病死亡率（1/10万）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在消除人口结构差异后，慢性呼吸系统疾病死亡在70岁以下人群中的发生频率</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DengXian" w:cs="仿宋_GB2312"/>
                <w:color w:val="auto"/>
                <w:kern w:val="0"/>
                <w:szCs w:val="21"/>
                <w:lang/>
              </w:rPr>
              <w:t>通过计算人群中年龄别（5岁一组）70岁以下人群因慢性呼吸系统疾病死亡率，采用2010年全国人口普查人口结构进行年龄标化。</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医疗应急处</w:t>
            </w:r>
          </w:p>
        </w:tc>
      </w:tr>
      <w:tr w:rsidR="00DA4085" w:rsidTr="00DA4085">
        <w:trPr>
          <w:cantSplit/>
          <w:trHeight w:val="90"/>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4</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30</w:t>
            </w:r>
            <w:r>
              <w:rPr>
                <w:rFonts w:ascii="仿宋_GB2312" w:eastAsia="仿宋_GB2312" w:hAnsi="DengXian" w:cs="仿宋_GB2312" w:hint="eastAsia"/>
                <w:color w:val="auto"/>
                <w:kern w:val="0"/>
                <w:szCs w:val="21"/>
                <w:lang/>
              </w:rPr>
              <w:t>～</w:t>
            </w:r>
            <w:r>
              <w:rPr>
                <w:rFonts w:ascii="仿宋_GB2312" w:eastAsia="仿宋_GB2312" w:hAnsi="仿宋_GB2312" w:cs="仿宋_GB2312" w:hint="eastAsia"/>
                <w:color w:val="auto"/>
                <w:kern w:val="0"/>
                <w:szCs w:val="21"/>
              </w:rPr>
              <w:t>70岁人群因心脑血管疾病、癌症、慢呼吸系统疾病和糖尿病</w:t>
            </w:r>
            <w:r>
              <w:rPr>
                <w:rFonts w:ascii="仿宋_GB2312" w:eastAsia="仿宋_GB2312" w:hAnsi="仿宋_GB2312" w:cs="仿宋_GB2312"/>
                <w:color w:val="auto"/>
                <w:kern w:val="0"/>
                <w:szCs w:val="21"/>
              </w:rPr>
              <w:t>等重大慢性病</w:t>
            </w:r>
            <w:r>
              <w:rPr>
                <w:rFonts w:ascii="仿宋_GB2312" w:eastAsia="仿宋_GB2312" w:hAnsi="仿宋_GB2312" w:cs="仿宋_GB2312" w:hint="eastAsia"/>
                <w:color w:val="auto"/>
                <w:kern w:val="0"/>
                <w:szCs w:val="21"/>
              </w:rPr>
              <w:t>导致的过早死亡率（%）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指30～70岁人群因心脑血管疾病、癌症、慢性呼吸系统疾病和糖尿病死亡的概率</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通过30-70岁间四类慢病合并的年龄别（5岁组）死亡率来推算</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医疗应急处</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5</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肝</w:t>
            </w:r>
            <w:r>
              <w:rPr>
                <w:rFonts w:ascii="仿宋_GB2312" w:eastAsia="仿宋_GB2312" w:hAnsi="仿宋_GB2312" w:cs="仿宋_GB2312"/>
                <w:color w:val="auto"/>
                <w:kern w:val="0"/>
                <w:szCs w:val="21"/>
              </w:rPr>
              <w:t>癌早诊率</w:t>
            </w:r>
            <w:r>
              <w:rPr>
                <w:rFonts w:ascii="仿宋_GB2312" w:eastAsia="仿宋_GB2312" w:hAnsi="仿宋_GB2312" w:cs="仿宋_GB2312" w:hint="eastAsia"/>
                <w:color w:val="auto"/>
                <w:kern w:val="0"/>
                <w:szCs w:val="21"/>
              </w:rPr>
              <w:t>%</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城市癌症早诊早治项目里早期肝癌人数占肝癌确诊人数的比例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早诊率=（早期肝癌/肝癌）</w:t>
            </w:r>
            <w:r>
              <w:rPr>
                <w:rFonts w:ascii="仿宋_GB2312" w:eastAsia="仿宋_GB2312" w:hAnsi="DengXian" w:cs="仿宋_GB2312"/>
                <w:color w:val="auto"/>
                <w:kern w:val="0"/>
                <w:szCs w:val="21"/>
                <w:lang/>
              </w:rPr>
              <w:t>ⅹ</w:t>
            </w:r>
            <w:r>
              <w:rPr>
                <w:rFonts w:ascii="仿宋_GB2312" w:eastAsia="仿宋_GB2312" w:hAnsi="DengXian" w:cs="仿宋_GB2312"/>
                <w:color w:val="auto"/>
                <w:kern w:val="0"/>
                <w:szCs w:val="21"/>
                <w:lang/>
              </w:rPr>
              <w:t>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医疗应急处</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shd w:val="pct10" w:color="auto" w:fill="FFFFFF"/>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6</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shd w:val="pct10" w:color="auto" w:fill="FFFFFF"/>
              </w:rPr>
            </w:pPr>
            <w:r>
              <w:rPr>
                <w:rFonts w:ascii="仿宋_GB2312" w:eastAsia="仿宋_GB2312" w:hAnsi="仿宋_GB2312" w:cs="仿宋_GB2312" w:hint="eastAsia"/>
                <w:color w:val="auto"/>
                <w:kern w:val="0"/>
                <w:szCs w:val="21"/>
              </w:rPr>
              <w:t>高血压患者规范管理率（%）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按照国家基本公共卫生服务规范要求进行高血压患者健康管理的人数占年内已管理的高血压患者人数的比例。</w:t>
            </w:r>
          </w:p>
          <w:p w:rsidR="00DA4085" w:rsidRDefault="00DA4085">
            <w:pPr>
              <w:snapToGrid w:val="0"/>
              <w:spacing w:after="0" w:line="240" w:lineRule="auto"/>
              <w:rPr>
                <w:rFonts w:ascii="仿宋_GB2312" w:eastAsia="仿宋_GB2312" w:hAnsi="DengXian" w:cs="仿宋_GB2312"/>
                <w:color w:val="auto"/>
                <w:kern w:val="0"/>
                <w:szCs w:val="21"/>
                <w:shd w:val="pct10" w:color="auto" w:fill="FFFFFF"/>
                <w:lang/>
              </w:rPr>
            </w:pPr>
            <w:r>
              <w:rPr>
                <w:rFonts w:ascii="仿宋_GB2312" w:eastAsia="仿宋_GB2312" w:hAnsi="仿宋_GB2312" w:cs="仿宋_GB2312" w:hint="eastAsia"/>
                <w:color w:val="auto"/>
                <w:kern w:val="0"/>
                <w:szCs w:val="21"/>
              </w:rPr>
              <w:t>按照规范要求进行高血压患者健康管理的人数/年内已管理的高血压患者人数×100。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医疗应急处</w:t>
            </w:r>
            <w:r>
              <w:rPr>
                <w:rFonts w:ascii="仿宋_GB2312" w:eastAsia="仿宋_GB2312" w:hAnsi="仿宋_GB2312" w:cs="仿宋_GB2312" w:hint="eastAsia"/>
                <w:color w:val="auto"/>
                <w:kern w:val="0"/>
                <w:szCs w:val="21"/>
              </w:rPr>
              <w:t>、基层处</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4</w:t>
            </w:r>
            <w:r>
              <w:rPr>
                <w:rFonts w:ascii="仿宋_GB2312" w:eastAsia="仿宋_GB2312" w:hAnsi="仿宋_GB2312" w:cs="仿宋_GB2312"/>
                <w:color w:val="auto"/>
                <w:kern w:val="0"/>
                <w:szCs w:val="21"/>
              </w:rPr>
              <w:t>7</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糖尿病患者规范管理率（%）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按照国家基本公共卫生服务规范要求进行糖尿病患者健康管理的人数占年内已管理的糖尿病患者人数的比例。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按照规范要求进行糖尿病患者健康管理的人数/年内已管理的糖尿病患者人数×100。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医疗应急处、基层处</w:t>
            </w:r>
          </w:p>
        </w:tc>
      </w:tr>
      <w:tr w:rsidR="00DA4085" w:rsidTr="00DA4085">
        <w:trPr>
          <w:cantSplit/>
          <w:trHeight w:val="2055"/>
          <w:jc w:val="center"/>
        </w:trPr>
        <w:tc>
          <w:tcPr>
            <w:tcW w:w="988" w:type="dxa"/>
            <w:vMerge w:val="restart"/>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sidRPr="00DA4085">
              <w:rPr>
                <w:rFonts w:ascii="CESI黑体-GB2312" w:eastAsia="CESI黑体-GB2312" w:hAnsi="CESI黑体-GB2312" w:cs="CESI黑体-GB2312"/>
                <w:color w:val="auto"/>
                <w:kern w:val="0"/>
                <w:szCs w:val="21"/>
              </w:rPr>
              <w:lastRenderedPageBreak/>
              <w:t>重大疾病防控</w:t>
            </w:r>
          </w:p>
          <w:p w:rsidR="00DA4085" w:rsidRDefault="00DA4085" w:rsidP="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48</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乡镇卫生院、社区卫生服务中心提供中医非药物疗法的比例（%），村卫生室提供中医非药物疗法的比例（%）</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提供中医非药物疗法服务的社区服务中心（站）、乡镇卫生院所占比例 ，提供中医非药物疗法服务的村卫生室所占比例。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提供中医非药物疗法服务的乡镇卫生院、社区服务中心（站）所占比例=年末提供中医非药物疗法服务的乡镇卫生院、社区卫生服务中心（站）数／年末同类机构总数×100，提供中医非药物疗法服务的村卫生室所占比例=年末提供中医非药物疗法服务的村卫生室／年末村卫生室总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省</w:t>
            </w:r>
            <w:r>
              <w:rPr>
                <w:rFonts w:ascii="CESI黑体-GB2312" w:eastAsia="CESI黑体-GB2312" w:hAnsi="CESI黑体-GB2312" w:cs="CESI黑体-GB2312"/>
                <w:color w:val="auto"/>
                <w:szCs w:val="21"/>
              </w:rPr>
              <w:t>中医药管理局</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color w:val="auto"/>
                <w:kern w:val="0"/>
                <w:szCs w:val="21"/>
              </w:rPr>
              <w:t>49</w:t>
            </w:r>
          </w:p>
        </w:tc>
        <w:tc>
          <w:tcPr>
            <w:tcW w:w="2977" w:type="dxa"/>
            <w:gridSpan w:val="2"/>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rPr>
              <w:t>传染病疫情和突发共卫生事件报告责任落实</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仿宋_GB2312" w:cs="仿宋_GB2312" w:hint="eastAsia"/>
                <w:color w:val="auto"/>
                <w:kern w:val="0"/>
                <w:szCs w:val="21"/>
                <w:lang/>
              </w:rPr>
              <w:t>强化各级医疗机构疾病预防控制职责督促落实突发公共卫生事件报告责任（传染病报告率及及时率、突发公共卫生事件相关信息报告率）。</w:t>
            </w:r>
          </w:p>
        </w:tc>
        <w:tc>
          <w:tcPr>
            <w:tcW w:w="2268" w:type="dxa"/>
            <w:vAlign w:val="center"/>
          </w:tcPr>
          <w:p w:rsidR="00DA4085" w:rsidRDefault="00DA4085">
            <w:pPr>
              <w:snapToGrid w:val="0"/>
              <w:spacing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省疾控局</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5</w:t>
            </w:r>
            <w:r>
              <w:rPr>
                <w:rFonts w:ascii="仿宋_GB2312" w:eastAsia="仿宋_GB2312" w:hAnsi="仿宋_GB2312" w:cs="仿宋_GB2312"/>
                <w:color w:val="auto"/>
                <w:kern w:val="0"/>
                <w:szCs w:val="21"/>
              </w:rPr>
              <w:t>0</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甲乙类法定传染病报告发病率(1/10万)</w:t>
            </w:r>
          </w:p>
        </w:tc>
        <w:tc>
          <w:tcPr>
            <w:tcW w:w="5811" w:type="dxa"/>
          </w:tcPr>
          <w:p w:rsidR="00DA4085" w:rsidRDefault="00DA4085">
            <w:pPr>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color w:val="auto"/>
                <w:kern w:val="0"/>
                <w:sz w:val="21"/>
                <w:szCs w:val="21"/>
              </w:rPr>
              <w:t>一定地区常住人口中，一定时期（每年）内甲乙类传染病报告发病数占该地区常住人口数的比例。一定地区、一定时间（每年）内甲乙类法定传染病报告发病数/该地区常住人口数×100000。</w:t>
            </w:r>
          </w:p>
        </w:tc>
        <w:tc>
          <w:tcPr>
            <w:tcW w:w="2268"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黑体" w:eastAsia="黑体" w:hAnsi="黑体" w:cs="黑体" w:hint="eastAsia"/>
                <w:color w:val="auto"/>
                <w:kern w:val="0"/>
                <w:sz w:val="21"/>
                <w:szCs w:val="21"/>
              </w:rPr>
              <w:t>省</w:t>
            </w:r>
            <w:r>
              <w:rPr>
                <w:rFonts w:ascii="黑体" w:eastAsia="黑体" w:hAnsi="黑体" w:cs="黑体" w:hint="eastAsia"/>
                <w:color w:val="auto"/>
                <w:szCs w:val="21"/>
              </w:rPr>
              <w:t>疾控局</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5</w:t>
            </w:r>
            <w:r>
              <w:rPr>
                <w:rFonts w:ascii="仿宋_GB2312" w:eastAsia="仿宋_GB2312" w:hAnsi="仿宋_GB2312" w:cs="仿宋_GB2312"/>
                <w:color w:val="auto"/>
                <w:kern w:val="0"/>
                <w:szCs w:val="21"/>
              </w:rPr>
              <w:t>1</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以乡（镇、街道）为单位适龄儿童免疫规划疫苗接种率（%）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 w:val="21"/>
                <w:szCs w:val="21"/>
                <w:lang/>
              </w:rPr>
            </w:pPr>
            <w:r>
              <w:rPr>
                <w:rFonts w:ascii="仿宋_GB2312" w:eastAsia="仿宋_GB2312" w:hAnsi="仿宋_GB2312" w:cs="仿宋_GB2312"/>
                <w:color w:val="auto"/>
                <w:kern w:val="0"/>
                <w:sz w:val="21"/>
                <w:szCs w:val="21"/>
                <w:lang/>
              </w:rPr>
              <w:t>以乡（镇、街道）为单位，免疫规划内适龄儿童的疫苗接种率。</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color w:val="auto"/>
                <w:kern w:val="0"/>
                <w:sz w:val="21"/>
                <w:szCs w:val="21"/>
                <w:lang/>
              </w:rPr>
              <w:t>免疫规划内接种疫苗适龄儿童数/适龄儿童数×100。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黑体" w:eastAsia="黑体" w:hAnsi="黑体" w:cs="黑体" w:hint="eastAsia"/>
                <w:color w:val="auto"/>
                <w:kern w:val="0"/>
                <w:sz w:val="21"/>
                <w:szCs w:val="21"/>
                <w:lang/>
              </w:rPr>
              <w:t>省</w:t>
            </w:r>
            <w:r>
              <w:rPr>
                <w:rFonts w:ascii="黑体" w:eastAsia="黑体" w:hAnsi="黑体" w:cs="黑体" w:hint="eastAsia"/>
                <w:color w:val="auto"/>
                <w:szCs w:val="21"/>
              </w:rPr>
              <w:t>疾控局</w:t>
            </w:r>
          </w:p>
        </w:tc>
      </w:tr>
      <w:tr w:rsidR="00DA4085" w:rsidTr="00DA4085">
        <w:trPr>
          <w:cantSplit/>
          <w:trHeight w:val="369"/>
          <w:jc w:val="center"/>
        </w:trPr>
        <w:tc>
          <w:tcPr>
            <w:tcW w:w="988" w:type="dxa"/>
            <w:vMerge/>
            <w:tcBorders>
              <w:lef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5</w:t>
            </w:r>
            <w:r>
              <w:rPr>
                <w:rFonts w:ascii="仿宋_GB2312" w:eastAsia="仿宋_GB2312" w:hAnsi="仿宋_GB2312" w:cs="仿宋_GB2312"/>
                <w:color w:val="auto"/>
                <w:szCs w:val="21"/>
              </w:rPr>
              <w:t>2</w:t>
            </w:r>
            <w:r>
              <w:rPr>
                <w:rFonts w:ascii="Arial" w:eastAsia="仿宋_GB2312" w:hAnsi="Arial" w:cs="Arial"/>
                <w:color w:val="auto"/>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严重精神障碍患者规范管理率（%）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color w:val="auto"/>
              </w:rPr>
              <w:t>按照国家严重精神障碍管理治疗规范第三版要求，国家严重精神障碍信息系统登记在册的患者中，相邻两次随访访问间隔不超过3个月患者数量。在管患者随访要求符合规范的人数占在册患者人数的比例。</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color w:val="auto"/>
              </w:rPr>
              <w:t>严重精神障碍患者规范管理率＝相邻两次随访访问间隔不超过3个月患者数量数/国家严重精神障碍信息系统登记在册的患者×100。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医政处</w:t>
            </w:r>
          </w:p>
        </w:tc>
      </w:tr>
      <w:tr w:rsidR="00DA4085" w:rsidTr="00DA4085">
        <w:trPr>
          <w:cantSplit/>
          <w:trHeight w:val="369"/>
          <w:jc w:val="center"/>
        </w:trPr>
        <w:tc>
          <w:tcPr>
            <w:tcW w:w="988" w:type="dxa"/>
            <w:vMerge w:val="restart"/>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sidRPr="00DA4085">
              <w:rPr>
                <w:rFonts w:ascii="CESI黑体-GB2312" w:eastAsia="CESI黑体-GB2312" w:hAnsi="CESI黑体-GB2312" w:cs="CESI黑体-GB2312"/>
                <w:color w:val="auto"/>
                <w:kern w:val="0"/>
                <w:szCs w:val="21"/>
              </w:rPr>
              <w:lastRenderedPageBreak/>
              <w:t>重大疾病防控</w:t>
            </w: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5</w:t>
            </w:r>
            <w:r>
              <w:rPr>
                <w:rFonts w:ascii="仿宋_GB2312" w:eastAsia="仿宋_GB2312" w:hAnsi="仿宋_GB2312" w:cs="仿宋_GB2312"/>
                <w:color w:val="auto"/>
                <w:szCs w:val="21"/>
              </w:rPr>
              <w:t>3</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死因监测报告死亡率(1/10万）</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szCs w:val="21"/>
              </w:rPr>
              <w:t>死亡率表示在一定期间内，在一定人群中，死于某病(或死于所有原因)的频率，是表示人群死亡危险最常用的指标。</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当年死因监测系统报告死亡人数/当地常住人口×100000。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医疗应急处</w:t>
            </w:r>
          </w:p>
        </w:tc>
      </w:tr>
      <w:tr w:rsidR="00DA4085" w:rsidTr="00DA4085">
        <w:trPr>
          <w:cantSplit/>
          <w:trHeight w:val="369"/>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54</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30岁及以上居民高血压知晓率</w:t>
            </w:r>
            <w:r>
              <w:rPr>
                <w:rFonts w:ascii="仿宋_GB2312" w:eastAsia="仿宋_GB2312" w:hAnsi="仿宋_GB2312" w:cs="仿宋_GB2312" w:hint="eastAsia"/>
                <w:color w:val="auto"/>
                <w:kern w:val="0"/>
                <w:szCs w:val="21"/>
              </w:rPr>
              <w:t>（%）</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30岁及以上高血压患者中，本次调查之前即知道自己患有高血压者（经过有资质的医疗机构或医生诊断）所占的比例。</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w:t>
            </w:r>
            <w:r>
              <w:rPr>
                <w:rFonts w:ascii="CESI黑体-GB2312" w:eastAsia="CESI黑体-GB2312" w:hAnsi="CESI黑体-GB2312" w:cs="CESI黑体-GB2312"/>
                <w:color w:val="auto"/>
                <w:szCs w:val="21"/>
              </w:rPr>
              <w:t>处</w:t>
            </w:r>
          </w:p>
        </w:tc>
      </w:tr>
      <w:tr w:rsidR="00DA4085" w:rsidTr="00DA4085">
        <w:trPr>
          <w:cantSplit/>
          <w:trHeight w:val="369"/>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55</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18岁及以上居民糖尿病知晓率</w:t>
            </w:r>
            <w:r>
              <w:rPr>
                <w:rFonts w:ascii="仿宋_GB2312" w:eastAsia="仿宋_GB2312" w:hAnsi="仿宋_GB2312" w:cs="仿宋_GB2312" w:hint="eastAsia"/>
                <w:color w:val="auto"/>
                <w:kern w:val="0"/>
                <w:szCs w:val="21"/>
              </w:rPr>
              <w:t>（%）</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lang/>
              </w:rPr>
              <w:t>18岁及以上糖尿病患者中，本次调查检测血糖之前即知道自己患有糖尿病者（经过有资质的医疗机构或医生诊断）所占的比例。</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w:t>
            </w:r>
            <w:r>
              <w:rPr>
                <w:rFonts w:ascii="CESI黑体-GB2312" w:eastAsia="CESI黑体-GB2312" w:hAnsi="CESI黑体-GB2312" w:cs="CESI黑体-GB2312"/>
                <w:color w:val="auto"/>
                <w:szCs w:val="21"/>
              </w:rPr>
              <w:t>处</w:t>
            </w:r>
          </w:p>
        </w:tc>
      </w:tr>
      <w:tr w:rsidR="00DA4085" w:rsidTr="00DA4085">
        <w:trPr>
          <w:cantSplit/>
          <w:trHeight w:val="760"/>
          <w:jc w:val="center"/>
        </w:trPr>
        <w:tc>
          <w:tcPr>
            <w:tcW w:w="988" w:type="dxa"/>
            <w:vMerge w:val="restart"/>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kern w:val="0"/>
                <w:szCs w:val="21"/>
                <w:lang/>
              </w:rPr>
              <w:t>健康服务与保障</w:t>
            </w:r>
          </w:p>
          <w:p w:rsidR="00DA4085" w:rsidRDefault="00DA4085" w:rsidP="00F15CDA">
            <w:pPr>
              <w:snapToGrid w:val="0"/>
              <w:spacing w:after="0" w:line="240" w:lineRule="auto"/>
              <w:jc w:val="center"/>
              <w:rPr>
                <w:rFonts w:ascii="CESI黑体-GB2312" w:eastAsia="CESI黑体-GB2312" w:hAnsi="CESI黑体-GB2312" w:cs="CESI黑体-GB2312"/>
                <w:color w:val="auto"/>
                <w:kern w:val="0"/>
                <w:szCs w:val="21"/>
              </w:rPr>
            </w:pPr>
          </w:p>
        </w:tc>
        <w:tc>
          <w:tcPr>
            <w:tcW w:w="992" w:type="dxa"/>
            <w:tcBorders>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5</w:t>
            </w:r>
            <w:r>
              <w:rPr>
                <w:rFonts w:ascii="仿宋_GB2312" w:eastAsia="仿宋_GB2312" w:hAnsi="仿宋_GB2312" w:cs="仿宋_GB2312"/>
                <w:color w:val="auto"/>
                <w:szCs w:val="21"/>
              </w:rPr>
              <w:t>6</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每千常住人口注册护士数</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每千常住人口注册护士数，分母系国家统计局常住人口数。</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年末注册护士数</w:t>
            </w:r>
            <w:r>
              <w:rPr>
                <w:rFonts w:ascii="仿宋_GB2312" w:eastAsia="仿宋_GB2312" w:hAnsi="DengXian" w:cs="仿宋_GB2312"/>
                <w:color w:val="auto"/>
                <w:kern w:val="0"/>
                <w:szCs w:val="21"/>
                <w:lang/>
              </w:rPr>
              <w:t>/年末常住人口数人口数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1000</w:t>
            </w:r>
            <w:r>
              <w:rPr>
                <w:rFonts w:ascii="仿宋_GB2312" w:eastAsia="仿宋_GB2312" w:hAnsi="DengXian" w:cs="仿宋_GB2312" w:hint="eastAsia"/>
                <w:color w:val="auto"/>
                <w:kern w:val="0"/>
                <w:szCs w:val="21"/>
                <w:lang/>
              </w:rPr>
              <w:t>。</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color w:val="auto"/>
                <w:szCs w:val="21"/>
              </w:rPr>
              <w:t>医政</w:t>
            </w:r>
            <w:r>
              <w:rPr>
                <w:rFonts w:ascii="CESI黑体-GB2312" w:eastAsia="CESI黑体-GB2312" w:hAnsi="CESI黑体-GB2312" w:cs="CESI黑体-GB2312" w:hint="eastAsia"/>
                <w:color w:val="auto"/>
                <w:szCs w:val="21"/>
              </w:rPr>
              <w:t>处</w:t>
            </w:r>
          </w:p>
        </w:tc>
      </w:tr>
      <w:tr w:rsidR="00DA4085" w:rsidTr="00DA4085">
        <w:trPr>
          <w:cantSplit/>
          <w:trHeight w:hRule="exact" w:val="978"/>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5</w:t>
            </w:r>
            <w:r>
              <w:rPr>
                <w:rFonts w:ascii="仿宋_GB2312" w:eastAsia="仿宋_GB2312" w:hAnsi="仿宋_GB2312" w:cs="仿宋_GB2312"/>
                <w:color w:val="auto"/>
                <w:kern w:val="0"/>
                <w:szCs w:val="21"/>
              </w:rPr>
              <w:t>7</w:t>
            </w:r>
            <w:r>
              <w:rPr>
                <w:rFonts w:ascii="Arial" w:eastAsia="仿宋_GB2312" w:hAnsi="Arial" w:cs="Arial"/>
                <w:color w:val="auto"/>
                <w:kern w:val="0"/>
                <w:szCs w:val="21"/>
              </w:rPr>
              <w:t>＊</w:t>
            </w:r>
          </w:p>
        </w:tc>
        <w:tc>
          <w:tcPr>
            <w:tcW w:w="2977" w:type="dxa"/>
            <w:gridSpan w:val="2"/>
            <w:tcBorders>
              <w:bottom w:val="single" w:sz="4" w:space="0" w:color="000000"/>
            </w:tcBorders>
            <w:vAlign w:val="center"/>
          </w:tcPr>
          <w:p w:rsidR="00DA4085" w:rsidRDefault="00DA4085">
            <w:pPr>
              <w:spacing w:after="0" w:line="300" w:lineRule="auto"/>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每千常住人口执业（助理）医师数（人）</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每千常住人口执业（助理）医师数，分母系国家统计局常住人口数。</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szCs w:val="21"/>
              </w:rPr>
              <w:t>年末执业（助理）医师数/年末常住人口数×1000。</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color w:val="auto"/>
                <w:szCs w:val="21"/>
              </w:rPr>
              <w:t>医政</w:t>
            </w:r>
            <w:r>
              <w:rPr>
                <w:rFonts w:ascii="CESI黑体-GB2312" w:eastAsia="CESI黑体-GB2312" w:hAnsi="CESI黑体-GB2312" w:cs="CESI黑体-GB2312" w:hint="eastAsia"/>
                <w:color w:val="auto"/>
                <w:szCs w:val="21"/>
              </w:rPr>
              <w:t>处</w:t>
            </w:r>
          </w:p>
        </w:tc>
      </w:tr>
      <w:tr w:rsidR="00DA4085" w:rsidTr="00DA4085">
        <w:trPr>
          <w:cantSplit/>
          <w:trHeight w:val="90"/>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5</w:t>
            </w:r>
            <w:r>
              <w:rPr>
                <w:rFonts w:ascii="仿宋_GB2312" w:eastAsia="仿宋_GB2312" w:hAnsi="仿宋_GB2312" w:cs="仿宋_GB2312"/>
                <w:color w:val="auto"/>
                <w:kern w:val="0"/>
                <w:szCs w:val="21"/>
              </w:rPr>
              <w:t>8</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rPr>
              <w:t>每万人拥有全科医生数（人）</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szCs w:val="21"/>
              </w:rPr>
              <w:t>年末取得执业注册（含加注）范围为全科医学专业，或者虽未注册但已取得全科医学培训合格证书的执业（助理）医师数之和/年末常住人口数×10000。</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color w:val="auto"/>
                <w:szCs w:val="21"/>
              </w:rPr>
              <w:t>科教处</w:t>
            </w:r>
          </w:p>
        </w:tc>
      </w:tr>
      <w:tr w:rsidR="00DA4085" w:rsidTr="00DA4085">
        <w:trPr>
          <w:cantSplit/>
          <w:trHeight w:val="90"/>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59</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每千人口公共卫生人员数（人）</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每千常住人口专业公共卫生机构人员数（人），分母系国家统计局常住人口数。</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年末专业公共卫生机构人员数/年末常住人口数×1000。</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疾控局</w:t>
            </w:r>
          </w:p>
        </w:tc>
      </w:tr>
      <w:tr w:rsidR="00DA4085" w:rsidTr="00DA4085">
        <w:trPr>
          <w:cantSplit/>
          <w:trHeight w:val="90"/>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6</w:t>
            </w:r>
            <w:r>
              <w:rPr>
                <w:rFonts w:ascii="仿宋_GB2312" w:eastAsia="仿宋_GB2312" w:hAnsi="仿宋_GB2312" w:cs="仿宋_GB2312"/>
                <w:color w:val="auto"/>
                <w:kern w:val="0"/>
                <w:szCs w:val="21"/>
              </w:rPr>
              <w:t>0</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每千人口医疗卫生机构床位数（张）</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每千常住人口医疗卫生机构床位数，分母系国家统计局常住人口数。</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 xml:space="preserve">年末医疗卫生机构床位数／年末常住人口数×1000。 </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color w:val="auto"/>
                <w:szCs w:val="21"/>
              </w:rPr>
              <w:t>医政</w:t>
            </w:r>
            <w:r>
              <w:rPr>
                <w:rFonts w:ascii="CESI黑体-GB2312" w:eastAsia="CESI黑体-GB2312" w:hAnsi="CESI黑体-GB2312" w:cs="CESI黑体-GB2312" w:hint="eastAsia"/>
                <w:color w:val="auto"/>
                <w:szCs w:val="21"/>
              </w:rPr>
              <w:t>处</w:t>
            </w:r>
          </w:p>
        </w:tc>
      </w:tr>
      <w:tr w:rsidR="00DA4085" w:rsidTr="00DA4085">
        <w:trPr>
          <w:cantSplit/>
          <w:trHeight w:val="90"/>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6</w:t>
            </w:r>
            <w:r>
              <w:rPr>
                <w:rFonts w:ascii="仿宋_GB2312" w:eastAsia="仿宋_GB2312" w:hAnsi="仿宋_GB2312" w:cs="仿宋_GB2312"/>
                <w:color w:val="auto"/>
                <w:szCs w:val="21"/>
              </w:rPr>
              <w:t>1</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rPr>
              <w:t>千人口献血率（‰）</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千人口献血率反映社会公众无偿献血参与度。</w:t>
            </w:r>
          </w:p>
          <w:p w:rsidR="00DA4085" w:rsidRDefault="00DA4085">
            <w:pPr>
              <w:snapToGrid w:val="0"/>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szCs w:val="21"/>
              </w:rPr>
              <w:t>献血人次/年末常住人口数×1000。</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医疗应急处</w:t>
            </w:r>
          </w:p>
        </w:tc>
      </w:tr>
      <w:tr w:rsidR="00DA4085" w:rsidTr="00DA4085">
        <w:trPr>
          <w:cantSplit/>
          <w:trHeight w:val="90"/>
          <w:jc w:val="center"/>
        </w:trPr>
        <w:tc>
          <w:tcPr>
            <w:tcW w:w="988" w:type="dxa"/>
            <w:vMerge w:val="restart"/>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r w:rsidRPr="00DA4085">
              <w:rPr>
                <w:rFonts w:ascii="CESI黑体-GB2312" w:eastAsia="CESI黑体-GB2312" w:hAnsi="CESI黑体-GB2312" w:cs="CESI黑体-GB2312"/>
                <w:color w:val="auto"/>
                <w:kern w:val="0"/>
                <w:szCs w:val="21"/>
                <w:lang/>
              </w:rPr>
              <w:lastRenderedPageBreak/>
              <w:t>健康服务与保障</w:t>
            </w:r>
          </w:p>
          <w:p w:rsidR="00DA4085" w:rsidRDefault="00DA4085" w:rsidP="00A66B2B">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6</w:t>
            </w:r>
            <w:r>
              <w:rPr>
                <w:rFonts w:ascii="仿宋_GB2312" w:eastAsia="仿宋_GB2312" w:hAnsi="仿宋_GB2312" w:cs="仿宋_GB2312"/>
                <w:color w:val="auto"/>
                <w:kern w:val="0"/>
                <w:szCs w:val="21"/>
              </w:rPr>
              <w:t>2</w:t>
            </w:r>
            <w:r>
              <w:rPr>
                <w:rFonts w:ascii="Arial" w:eastAsia="仿宋_GB2312" w:hAnsi="Arial" w:cs="Arial"/>
                <w:color w:val="auto"/>
                <w:kern w:val="0"/>
                <w:szCs w:val="21"/>
              </w:rPr>
              <w:t>＊</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szCs w:val="21"/>
              </w:rPr>
              <w:t>个人卫生支出占卫生总费用的比重（%）</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kern w:val="0"/>
                <w:szCs w:val="21"/>
                <w:lang/>
              </w:rPr>
            </w:pPr>
            <w:r>
              <w:rPr>
                <w:rFonts w:ascii="仿宋_GB2312" w:eastAsia="仿宋_GB2312" w:hAnsi="DengXian" w:cs="仿宋_GB2312" w:hint="eastAsia"/>
                <w:color w:val="auto"/>
                <w:kern w:val="0"/>
                <w:szCs w:val="21"/>
                <w:lang/>
              </w:rPr>
              <w:t>个人卫生支出指城乡居民在接受各类医疗卫生服务时的个人负担部分。个人卫生支出占卫生总费用比重是指卫生总费用中由个人负担的费用比重，是反映城乡居民医疗卫生费用负担程度的评价指标。</w:t>
            </w:r>
            <w:r>
              <w:rPr>
                <w:rFonts w:ascii="仿宋_GB2312" w:eastAsia="仿宋_GB2312" w:hAnsi="仿宋_GB2312" w:cs="仿宋_GB2312" w:hint="eastAsia"/>
                <w:color w:val="auto"/>
                <w:szCs w:val="21"/>
              </w:rPr>
              <w:t>个人卫生支出占卫生总费用比重=个人卫生支出/卫生总费用×100。</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color w:val="auto"/>
                <w:szCs w:val="21"/>
              </w:rPr>
              <w:t>财务处</w:t>
            </w:r>
          </w:p>
        </w:tc>
      </w:tr>
      <w:tr w:rsidR="00DA4085" w:rsidTr="00DA4085">
        <w:trPr>
          <w:cantSplit/>
          <w:trHeight w:val="1965"/>
          <w:jc w:val="center"/>
        </w:trPr>
        <w:tc>
          <w:tcPr>
            <w:tcW w:w="988" w:type="dxa"/>
            <w:vMerge/>
            <w:tcBorders>
              <w:left w:val="single" w:sz="4" w:space="0" w:color="000000"/>
              <w:right w:val="single" w:sz="4" w:space="0" w:color="000000"/>
            </w:tcBorders>
            <w:vAlign w:val="center"/>
          </w:tcPr>
          <w:p w:rsidR="00DA4085" w:rsidRDefault="00DA4085" w:rsidP="00A66B2B">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Merge w:val="restart"/>
            <w:tcBorders>
              <w:left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6</w:t>
            </w:r>
            <w:r>
              <w:rPr>
                <w:rFonts w:ascii="仿宋_GB2312" w:eastAsia="仿宋_GB2312" w:hAnsi="仿宋_GB2312" w:cs="仿宋_GB2312"/>
                <w:color w:val="auto"/>
                <w:kern w:val="0"/>
                <w:szCs w:val="21"/>
              </w:rPr>
              <w:t>3</w:t>
            </w:r>
            <w:r>
              <w:rPr>
                <w:rFonts w:ascii="仿宋_GB2312" w:eastAsia="仿宋_GB2312" w:hAnsi="仿宋_GB2312" w:cs="仿宋_GB2312" w:hint="eastAsia"/>
                <w:color w:val="auto"/>
                <w:kern w:val="0"/>
                <w:szCs w:val="21"/>
                <w:lang/>
              </w:rPr>
              <w:t>＊</w:t>
            </w:r>
          </w:p>
        </w:tc>
        <w:tc>
          <w:tcPr>
            <w:tcW w:w="1701" w:type="dxa"/>
            <w:vMerge w:val="restart"/>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基本医疗保险（含城乡居民医保和职工医保）覆盖率（%）</w:t>
            </w:r>
          </w:p>
          <w:p w:rsidR="00DA4085" w:rsidRDefault="00DA4085">
            <w:pPr>
              <w:snapToGrid w:val="0"/>
              <w:spacing w:after="0"/>
              <w:rPr>
                <w:rFonts w:ascii="仿宋_GB2312" w:eastAsia="仿宋_GB2312" w:hAnsi="仿宋_GB2312" w:cs="仿宋_GB2312"/>
                <w:color w:val="auto"/>
                <w:kern w:val="0"/>
                <w:szCs w:val="21"/>
                <w:lang/>
              </w:rPr>
            </w:pPr>
          </w:p>
          <w:p w:rsidR="00DA4085" w:rsidRDefault="00DA4085">
            <w:pPr>
              <w:snapToGrid w:val="0"/>
              <w:spacing w:after="0"/>
              <w:rPr>
                <w:rFonts w:ascii="仿宋_GB2312" w:eastAsia="仿宋_GB2312" w:hAnsi="仿宋_GB2312" w:cs="仿宋_GB2312"/>
                <w:color w:val="auto"/>
                <w:kern w:val="0"/>
                <w:szCs w:val="21"/>
                <w:lang/>
              </w:rPr>
            </w:pPr>
          </w:p>
          <w:p w:rsidR="00DA4085" w:rsidRDefault="00DA4085">
            <w:pPr>
              <w:snapToGrid w:val="0"/>
              <w:spacing w:after="0"/>
              <w:rPr>
                <w:rFonts w:ascii="仿宋_GB2312" w:eastAsia="仿宋_GB2312" w:hAnsi="仿宋_GB2312" w:cs="仿宋_GB2312"/>
                <w:color w:val="auto"/>
                <w:kern w:val="0"/>
                <w:szCs w:val="21"/>
                <w:lang/>
              </w:rPr>
            </w:pPr>
          </w:p>
        </w:tc>
        <w:tc>
          <w:tcPr>
            <w:tcW w:w="1276" w:type="dxa"/>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rPr>
              <w:t>以户籍人口为基础计算的基本医保综合参保率（%）</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sz w:val="21"/>
                <w:szCs w:val="21"/>
              </w:rPr>
            </w:pPr>
            <w:r>
              <w:rPr>
                <w:rFonts w:ascii="仿宋_GB2312" w:eastAsia="仿宋_GB2312" w:hAnsi="仿宋_GB2312" w:cs="仿宋_GB2312"/>
                <w:color w:val="auto"/>
                <w:sz w:val="21"/>
                <w:szCs w:val="21"/>
              </w:rPr>
              <w:t>参加基本医疗保险占总人口的比例。</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sz w:val="21"/>
                <w:szCs w:val="21"/>
              </w:rPr>
              <w:t>参加2023年度基本医疗保险人数（城乡居民医保人数+职工医保人数）/辖区内户籍人口×100%。</w:t>
            </w:r>
          </w:p>
        </w:tc>
        <w:tc>
          <w:tcPr>
            <w:tcW w:w="2268" w:type="dxa"/>
            <w:vMerge w:val="restart"/>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color w:val="auto"/>
                <w:szCs w:val="21"/>
              </w:rPr>
              <w:t>省医疗保障局（省医保服务中心）</w:t>
            </w:r>
          </w:p>
        </w:tc>
      </w:tr>
      <w:tr w:rsidR="00DA4085" w:rsidTr="00DA4085">
        <w:trPr>
          <w:cantSplit/>
          <w:trHeight w:val="1965"/>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Merge/>
            <w:tcBorders>
              <w:left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p>
        </w:tc>
        <w:tc>
          <w:tcPr>
            <w:tcW w:w="1701" w:type="dxa"/>
            <w:vMerge/>
            <w:vAlign w:val="center"/>
          </w:tcPr>
          <w:p w:rsidR="00DA4085" w:rsidRDefault="00DA4085">
            <w:pPr>
              <w:snapToGrid w:val="0"/>
              <w:spacing w:after="0"/>
              <w:rPr>
                <w:rFonts w:ascii="仿宋_GB2312" w:eastAsia="仿宋_GB2312" w:hAnsi="仿宋_GB2312" w:cs="仿宋_GB2312"/>
                <w:color w:val="auto"/>
                <w:kern w:val="0"/>
                <w:szCs w:val="21"/>
                <w:lang/>
              </w:rPr>
            </w:pPr>
          </w:p>
        </w:tc>
        <w:tc>
          <w:tcPr>
            <w:tcW w:w="1276" w:type="dxa"/>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color w:val="auto"/>
                <w:kern w:val="0"/>
                <w:szCs w:val="21"/>
                <w:lang/>
              </w:rPr>
              <w:t>以常住人口为基础计算的基本医保综合参保率（%）</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sz w:val="21"/>
                <w:szCs w:val="21"/>
              </w:rPr>
            </w:pPr>
            <w:r>
              <w:rPr>
                <w:rFonts w:ascii="仿宋_GB2312" w:eastAsia="仿宋_GB2312" w:hAnsi="仿宋_GB2312" w:cs="仿宋_GB2312"/>
                <w:color w:val="auto"/>
                <w:sz w:val="21"/>
                <w:szCs w:val="21"/>
              </w:rPr>
              <w:t>参加基本医疗保险占总人口的比例。</w:t>
            </w:r>
          </w:p>
          <w:p w:rsidR="00DA4085" w:rsidRDefault="00DA4085">
            <w:pPr>
              <w:snapToGrid w:val="0"/>
              <w:spacing w:after="0" w:line="240" w:lineRule="auto"/>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参加2023年度基本医疗保险人数（城乡居民医保人数+职工医保人数）/辖区内常住人口×100%。</w:t>
            </w:r>
          </w:p>
        </w:tc>
        <w:tc>
          <w:tcPr>
            <w:tcW w:w="2268" w:type="dxa"/>
            <w:vMerge/>
            <w:tcBorders>
              <w:bottom w:val="single" w:sz="4" w:space="0" w:color="000000"/>
            </w:tcBorders>
            <w:vAlign w:val="center"/>
          </w:tcPr>
          <w:p w:rsidR="00DA4085" w:rsidRDefault="00DA4085">
            <w:pPr>
              <w:snapToGrid w:val="0"/>
              <w:spacing w:after="0" w:line="240" w:lineRule="auto"/>
              <w:jc w:val="center"/>
              <w:rPr>
                <w:rFonts w:ascii="仿宋_GB2312" w:eastAsia="仿宋_GB2312" w:hAnsi="DengXian" w:cs="仿宋_GB2312"/>
                <w:color w:val="auto"/>
                <w:kern w:val="0"/>
                <w:szCs w:val="21"/>
                <w:lang/>
              </w:rPr>
            </w:pPr>
          </w:p>
        </w:tc>
      </w:tr>
      <w:tr w:rsidR="00DA4085" w:rsidTr="00DA4085">
        <w:trPr>
          <w:cantSplit/>
          <w:trHeight w:val="90"/>
          <w:jc w:val="center"/>
        </w:trPr>
        <w:tc>
          <w:tcPr>
            <w:tcW w:w="988" w:type="dxa"/>
            <w:vMerge/>
            <w:tcBorders>
              <w:left w:val="single" w:sz="4" w:space="0" w:color="000000"/>
              <w:right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left w:val="single" w:sz="4" w:space="0" w:color="000000"/>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6</w:t>
            </w:r>
            <w:r>
              <w:rPr>
                <w:rFonts w:ascii="仿宋_GB2312" w:eastAsia="仿宋_GB2312" w:hAnsi="仿宋_GB2312" w:cs="仿宋_GB2312"/>
                <w:color w:val="auto"/>
                <w:kern w:val="0"/>
                <w:szCs w:val="21"/>
              </w:rPr>
              <w:t>4</w:t>
            </w:r>
            <w:r>
              <w:rPr>
                <w:rFonts w:ascii="仿宋_GB2312" w:eastAsia="仿宋_GB2312" w:hAnsi="仿宋_GB2312" w:cs="仿宋_GB2312" w:hint="eastAsia"/>
                <w:color w:val="auto"/>
                <w:kern w:val="0"/>
                <w:szCs w:val="21"/>
                <w:lang/>
              </w:rPr>
              <w:t>＊</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color w:val="auto"/>
                <w:szCs w:val="21"/>
              </w:rPr>
              <w:t>城乡居民医保政策范围内住院基金支付比例（%）</w:t>
            </w:r>
          </w:p>
          <w:p w:rsidR="00DA4085" w:rsidRDefault="00DA4085">
            <w:pPr>
              <w:snapToGrid w:val="0"/>
              <w:spacing w:after="0"/>
              <w:rPr>
                <w:rFonts w:ascii="仿宋_GB2312" w:eastAsia="仿宋_GB2312" w:hAnsi="仿宋_GB2312" w:cs="仿宋_GB2312"/>
                <w:color w:val="auto"/>
                <w:kern w:val="0"/>
                <w:szCs w:val="21"/>
                <w:lang/>
              </w:rPr>
            </w:pP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color w:val="auto"/>
                <w:sz w:val="21"/>
                <w:szCs w:val="21"/>
              </w:rPr>
              <w:t>城乡居民医保政策范围内住院基金支付比例=（住院统筹支付+住院其他支付）÷(住院总费用-自费-自付起付线以下部分-自付封顶线以上部分)×100%</w:t>
            </w:r>
          </w:p>
        </w:tc>
        <w:tc>
          <w:tcPr>
            <w:tcW w:w="2268" w:type="dxa"/>
            <w:tcBorders>
              <w:bottom w:val="single" w:sz="4" w:space="0" w:color="000000"/>
            </w:tcBorders>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color w:val="auto"/>
                <w:szCs w:val="21"/>
              </w:rPr>
              <w:t>省医疗保障局（省医保服务中心）</w:t>
            </w:r>
          </w:p>
        </w:tc>
      </w:tr>
      <w:tr w:rsidR="00DA4085" w:rsidTr="00DA4085">
        <w:trPr>
          <w:cantSplit/>
          <w:trHeight w:val="90"/>
          <w:jc w:val="center"/>
        </w:trPr>
        <w:tc>
          <w:tcPr>
            <w:tcW w:w="988" w:type="dxa"/>
            <w:vMerge w:val="restart"/>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r w:rsidRPr="00DA4085">
              <w:rPr>
                <w:rFonts w:ascii="CESI黑体-GB2312" w:eastAsia="CESI黑体-GB2312" w:hAnsi="CESI黑体-GB2312" w:cs="CESI黑体-GB2312"/>
                <w:color w:val="auto"/>
                <w:kern w:val="0"/>
                <w:szCs w:val="21"/>
                <w:lang/>
              </w:rPr>
              <w:lastRenderedPageBreak/>
              <w:t>健康服务与保障</w:t>
            </w:r>
          </w:p>
          <w:p w:rsidR="00DA4085" w:rsidRDefault="00DA4085" w:rsidP="006237A0">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6</w:t>
            </w:r>
            <w:r>
              <w:rPr>
                <w:rFonts w:ascii="仿宋_GB2312" w:eastAsia="仿宋_GB2312" w:hAnsi="仿宋_GB2312" w:cs="仿宋_GB2312"/>
                <w:color w:val="auto"/>
                <w:kern w:val="0"/>
                <w:szCs w:val="21"/>
              </w:rPr>
              <w:t>5</w:t>
            </w:r>
            <w:r>
              <w:rPr>
                <w:rFonts w:ascii="Arial" w:eastAsia="仿宋_GB2312" w:hAnsi="Arial" w:cs="Arial"/>
                <w:color w:val="auto"/>
                <w:kern w:val="0"/>
                <w:szCs w:val="21"/>
              </w:rPr>
              <w:t>＊</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rPr>
              <w:t>红十字应急救护培训人数（人）</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color w:val="auto"/>
              </w:rPr>
              <w:t>根据全省现已完成救护员数（占全省总人口的 1.2%），余数（0.8%）自2021年至2025年，须以每年平均0.16%递增；以经培训并获中国红十字会颁发的和[CPR（心肺复苏）+AED（自动除颤仪4课时）]证</w:t>
            </w:r>
            <w:r>
              <w:rPr>
                <w:rFonts w:ascii="仿宋_GB2312" w:eastAsia="仿宋_GB2312" w:hAnsi="仿宋_GB2312" w:cs="仿宋_GB2312" w:hint="eastAsia"/>
                <w:color w:val="auto"/>
              </w:rPr>
              <w:t>和</w:t>
            </w:r>
            <w:r>
              <w:rPr>
                <w:rFonts w:ascii="仿宋_GB2312" w:eastAsia="仿宋_GB2312" w:hAnsi="仿宋_GB2312" w:cs="仿宋_GB2312"/>
                <w:color w:val="auto"/>
              </w:rPr>
              <w:t>《救护员证》（16课时</w:t>
            </w:r>
            <w:r>
              <w:rPr>
                <w:rFonts w:ascii="仿宋_GB2312" w:eastAsia="仿宋_GB2312" w:hAnsi="仿宋_GB2312" w:cs="仿宋_GB2312" w:hint="eastAsia"/>
                <w:color w:val="auto"/>
              </w:rPr>
              <w:t>）</w:t>
            </w:r>
            <w:r>
              <w:rPr>
                <w:rFonts w:ascii="仿宋_GB2312" w:eastAsia="仿宋_GB2312" w:hAnsi="仿宋_GB2312" w:cs="仿宋_GB2312"/>
                <w:color w:val="auto"/>
              </w:rPr>
              <w:t>或红十字救护员（初级）（8课时）为评定的基本依据。</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lang/>
              </w:rPr>
              <w:t>参加红十字应急救护培训，经考试合格，取得证书的人数。</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省红十字会</w:t>
            </w:r>
          </w:p>
        </w:tc>
      </w:tr>
      <w:tr w:rsidR="00DA4085" w:rsidTr="00DA4085">
        <w:trPr>
          <w:cantSplit/>
          <w:trHeight w:val="90"/>
          <w:jc w:val="center"/>
        </w:trPr>
        <w:tc>
          <w:tcPr>
            <w:tcW w:w="988" w:type="dxa"/>
            <w:vMerge/>
            <w:vAlign w:val="center"/>
          </w:tcPr>
          <w:p w:rsidR="00DA4085" w:rsidRDefault="00DA4085" w:rsidP="006237A0">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szCs w:val="21"/>
              </w:rPr>
            </w:pPr>
            <w:r>
              <w:rPr>
                <w:rFonts w:ascii="仿宋_GB2312" w:eastAsia="仿宋_GB2312" w:hAnsi="仿宋_GB2312" w:cs="仿宋_GB2312" w:hint="eastAsia"/>
                <w:color w:val="auto"/>
                <w:kern w:val="0"/>
                <w:szCs w:val="21"/>
              </w:rPr>
              <w:t>6</w:t>
            </w:r>
            <w:r>
              <w:rPr>
                <w:rFonts w:ascii="仿宋_GB2312" w:eastAsia="仿宋_GB2312" w:hAnsi="仿宋_GB2312" w:cs="仿宋_GB2312"/>
                <w:color w:val="auto"/>
                <w:kern w:val="0"/>
                <w:szCs w:val="21"/>
              </w:rPr>
              <w:t>6</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szCs w:val="21"/>
              </w:rPr>
              <w:t>每万常住人口执业（助理）中医师数（人）</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szCs w:val="21"/>
              </w:rPr>
              <w:t>代表一个地区中医师资源的数量，是一个地区中医药资源的关键指标。</w:t>
            </w:r>
          </w:p>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仿宋_GB2312" w:cs="仿宋_GB2312" w:hint="eastAsia"/>
                <w:color w:val="auto"/>
                <w:szCs w:val="21"/>
              </w:rPr>
              <w:t>以当地中医类别（执业助理医师人数）/年末常住人口数×10000。</w:t>
            </w:r>
          </w:p>
        </w:tc>
        <w:tc>
          <w:tcPr>
            <w:tcW w:w="2268" w:type="dxa"/>
            <w:tcBorders>
              <w:bottom w:val="single" w:sz="4" w:space="0" w:color="000000"/>
            </w:tcBorders>
            <w:vAlign w:val="center"/>
          </w:tcPr>
          <w:p w:rsidR="00DA4085" w:rsidRDefault="00DA4085">
            <w:pPr>
              <w:snapToGrid w:val="0"/>
              <w:spacing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省中医药管理局</w:t>
            </w:r>
          </w:p>
        </w:tc>
      </w:tr>
      <w:tr w:rsidR="00DA4085" w:rsidTr="00DA4085">
        <w:trPr>
          <w:cantSplit/>
          <w:trHeight w:val="90"/>
          <w:jc w:val="center"/>
        </w:trPr>
        <w:tc>
          <w:tcPr>
            <w:tcW w:w="988" w:type="dxa"/>
            <w:vMerge/>
            <w:vAlign w:val="center"/>
          </w:tcPr>
          <w:p w:rsidR="00DA4085" w:rsidRDefault="00DA4085" w:rsidP="006237A0">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kern w:val="0"/>
                <w:szCs w:val="21"/>
                <w:shd w:val="clear" w:color="FFFFFF" w:fill="D9D9D9"/>
              </w:rPr>
            </w:pPr>
            <w:r>
              <w:rPr>
                <w:rFonts w:ascii="仿宋_GB2312" w:eastAsia="仿宋_GB2312" w:hAnsi="仿宋_GB2312" w:cs="仿宋_GB2312" w:hint="eastAsia"/>
                <w:color w:val="auto"/>
                <w:kern w:val="0"/>
                <w:szCs w:val="21"/>
                <w:lang/>
              </w:rPr>
              <w:t>6</w:t>
            </w:r>
            <w:r>
              <w:rPr>
                <w:rFonts w:ascii="仿宋_GB2312" w:eastAsia="仿宋_GB2312" w:hAnsi="仿宋_GB2312" w:cs="仿宋_GB2312"/>
                <w:color w:val="auto"/>
                <w:kern w:val="0"/>
                <w:szCs w:val="21"/>
                <w:lang/>
              </w:rPr>
              <w:t>7</w:t>
            </w:r>
            <w:r>
              <w:rPr>
                <w:rFonts w:ascii="Arial" w:eastAsia="仿宋_GB2312" w:hAnsi="Arial" w:cs="Arial"/>
                <w:color w:val="auto"/>
                <w:kern w:val="0"/>
                <w:szCs w:val="21"/>
              </w:rPr>
              <w:t>＊</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shd w:val="clear" w:color="FFFFFF" w:fill="D9D9D9"/>
                <w:lang/>
              </w:rPr>
            </w:pPr>
            <w:r>
              <w:rPr>
                <w:rFonts w:ascii="仿宋_GB2312" w:eastAsia="仿宋_GB2312" w:hAnsi="仿宋_GB2312" w:cs="仿宋_GB2312"/>
                <w:color w:val="auto"/>
                <w:kern w:val="0"/>
                <w:szCs w:val="21"/>
                <w:lang/>
              </w:rPr>
              <w:t>村(社区)配备家庭健康指导员</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kern w:val="0"/>
                <w:szCs w:val="21"/>
                <w:shd w:val="clear" w:color="FFFFFF" w:fill="D9D9D9"/>
                <w:lang/>
              </w:rPr>
            </w:pPr>
            <w:r>
              <w:rPr>
                <w:rFonts w:ascii="仿宋_GB2312" w:eastAsia="仿宋_GB2312" w:hAnsi="仿宋_GB2312" w:cs="仿宋_GB2312" w:hint="eastAsia"/>
                <w:color w:val="auto"/>
                <w:kern w:val="0"/>
                <w:szCs w:val="21"/>
                <w:lang/>
              </w:rPr>
              <w:t>参加以中国计生协编印的《家庭健康指导员培训教材》为内容村（社区）家庭健康指导员培训班，通过考评，获得《合格证书》的确认为家庭健康指导员。以配备家庭健康指导员的村（社区）数除以该市县行政区域所辖的村（社区）总数乘于100%，所得数为该市县完成的指标数。</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shd w:val="clear" w:color="FFFFFF" w:fill="D9D9D9"/>
              </w:rPr>
            </w:pPr>
            <w:r>
              <w:rPr>
                <w:rFonts w:ascii="CESI黑体-GB2312" w:eastAsia="CESI黑体-GB2312" w:hAnsi="CESI黑体-GB2312" w:cs="CESI黑体-GB2312" w:hint="eastAsia"/>
                <w:color w:val="auto"/>
                <w:kern w:val="0"/>
                <w:szCs w:val="21"/>
                <w:lang/>
              </w:rPr>
              <w:t>省计划生育协会</w:t>
            </w:r>
          </w:p>
        </w:tc>
      </w:tr>
      <w:tr w:rsidR="00DA4085" w:rsidTr="00DA4085">
        <w:trPr>
          <w:cantSplit/>
          <w:trHeight w:val="90"/>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bottom w:val="single" w:sz="4" w:space="0" w:color="000000"/>
            </w:tcBorders>
            <w:vAlign w:val="center"/>
          </w:tcPr>
          <w:p w:rsidR="00DA4085" w:rsidRDefault="00DA4085">
            <w:pPr>
              <w:spacing w:after="0" w:line="240" w:lineRule="auto"/>
              <w:jc w:val="center"/>
              <w:rPr>
                <w:rFonts w:ascii="仿宋_GB2312" w:eastAsia="仿宋_GB2312" w:hAnsi="仿宋_GB2312" w:cs="仿宋_GB2312"/>
                <w:color w:val="auto"/>
                <w:kern w:val="0"/>
                <w:szCs w:val="21"/>
                <w:shd w:val="pct10" w:color="auto" w:fill="FFFFFF"/>
              </w:rPr>
            </w:pPr>
            <w:r>
              <w:rPr>
                <w:rFonts w:ascii="仿宋_GB2312" w:eastAsia="仿宋_GB2312" w:hAnsi="仿宋_GB2312" w:cs="仿宋_GB2312" w:hint="eastAsia"/>
                <w:color w:val="auto"/>
                <w:kern w:val="0"/>
                <w:szCs w:val="21"/>
              </w:rPr>
              <w:t>68</w:t>
            </w:r>
            <w:r>
              <w:rPr>
                <w:rFonts w:ascii="仿宋_GB2312" w:eastAsia="仿宋_GB2312" w:hAnsi="仿宋_GB2312" w:cs="仿宋_GB2312" w:hint="eastAsia"/>
                <w:color w:val="auto"/>
                <w:kern w:val="0"/>
                <w:szCs w:val="21"/>
                <w:lang/>
              </w:rPr>
              <w:t>＊</w:t>
            </w:r>
          </w:p>
        </w:tc>
        <w:tc>
          <w:tcPr>
            <w:tcW w:w="2977" w:type="dxa"/>
            <w:gridSpan w:val="2"/>
            <w:tcBorders>
              <w:bottom w:val="single" w:sz="4" w:space="0" w:color="000000"/>
            </w:tcBorders>
            <w:vAlign w:val="center"/>
          </w:tcPr>
          <w:p w:rsidR="00DA4085" w:rsidRDefault="00DA4085">
            <w:pPr>
              <w:snapToGrid w:val="0"/>
              <w:spacing w:after="0"/>
              <w:rPr>
                <w:rFonts w:ascii="仿宋_GB2312" w:eastAsia="仿宋_GB2312" w:hAnsi="仿宋_GB2312" w:cs="仿宋_GB2312"/>
                <w:color w:val="auto"/>
                <w:kern w:val="0"/>
                <w:szCs w:val="21"/>
                <w:shd w:val="pct10" w:color="auto" w:fill="FFFFFF"/>
                <w:lang/>
              </w:rPr>
            </w:pPr>
            <w:r>
              <w:rPr>
                <w:rFonts w:ascii="仿宋_GB2312" w:eastAsia="仿宋_GB2312" w:hAnsi="仿宋_GB2312" w:cs="仿宋_GB2312"/>
                <w:color w:val="auto"/>
                <w:kern w:val="0"/>
                <w:szCs w:val="21"/>
                <w:lang/>
              </w:rPr>
              <w:t>当年新开工工程建设项目工伤保险参保率（%）</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color w:val="auto"/>
              </w:rPr>
              <w:t>新开工工程建设项目工伤保险参保率指统计当期新开工工程建设项目中参加工伤保险项目的比率。</w:t>
            </w:r>
          </w:p>
          <w:p w:rsidR="00DA4085" w:rsidRDefault="00DA4085">
            <w:pPr>
              <w:snapToGrid w:val="0"/>
              <w:spacing w:after="0" w:line="240" w:lineRule="auto"/>
              <w:rPr>
                <w:rFonts w:ascii="仿宋_GB2312" w:eastAsia="仿宋_GB2312" w:hAnsi="仿宋_GB2312" w:cs="仿宋_GB2312"/>
                <w:color w:val="auto"/>
                <w:shd w:val="pct10" w:color="auto" w:fill="FFFFFF"/>
              </w:rPr>
            </w:pPr>
            <w:r>
              <w:rPr>
                <w:rFonts w:ascii="仿宋_GB2312" w:eastAsia="仿宋_GB2312" w:hAnsi="仿宋_GB2312" w:cs="仿宋_GB2312"/>
                <w:color w:val="auto"/>
                <w:kern w:val="0"/>
                <w:szCs w:val="21"/>
                <w:lang/>
              </w:rPr>
              <w:t>（参保新开工项目数/新开工项目数）×100</w:t>
            </w:r>
            <w:r>
              <w:rPr>
                <w:rFonts w:ascii="仿宋_GB2312" w:eastAsia="仿宋_GB2312" w:hAnsi="仿宋_GB2312" w:cs="仿宋_GB2312" w:hint="eastAsia"/>
                <w:color w:val="auto"/>
                <w:kern w:val="0"/>
                <w:szCs w:val="21"/>
                <w:lang/>
              </w:rPr>
              <w:t>。</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shd w:val="pct10" w:color="auto" w:fill="FFFFFF"/>
                <w:lang/>
              </w:rPr>
            </w:pPr>
            <w:r>
              <w:rPr>
                <w:rFonts w:ascii="CESI黑体-GB2312" w:eastAsia="CESI黑体-GB2312" w:hAnsi="CESI黑体-GB2312" w:cs="CESI黑体-GB2312" w:hint="eastAsia"/>
                <w:color w:val="auto"/>
                <w:kern w:val="0"/>
                <w:szCs w:val="21"/>
                <w:lang/>
              </w:rPr>
              <w:t>省人社厅</w:t>
            </w:r>
          </w:p>
        </w:tc>
      </w:tr>
      <w:tr w:rsidR="00DA4085" w:rsidTr="00DA4085">
        <w:trPr>
          <w:cantSplit/>
          <w:trHeight w:val="90"/>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tcBorders>
              <w:bottom w:val="single" w:sz="4" w:space="0" w:color="000000"/>
            </w:tcBorders>
            <w:vAlign w:val="center"/>
          </w:tcPr>
          <w:p w:rsidR="00DA4085" w:rsidRDefault="00DA4085">
            <w:pPr>
              <w:snapToGrid w:val="0"/>
              <w:spacing w:after="0" w:line="240" w:lineRule="auto"/>
              <w:jc w:val="center"/>
              <w:rPr>
                <w:rFonts w:ascii="仿宋_GB2312" w:eastAsia="仿宋_GB2312" w:hAnsi="仿宋_GB2312" w:cs="仿宋_GB2312"/>
                <w:color w:val="auto"/>
              </w:rPr>
            </w:pPr>
            <w:r>
              <w:rPr>
                <w:rFonts w:ascii="仿宋_GB2312" w:eastAsia="仿宋_GB2312" w:hAnsi="仿宋_GB2312" w:cs="仿宋_GB2312"/>
                <w:color w:val="auto"/>
              </w:rPr>
              <w:t>69</w:t>
            </w:r>
            <w:r>
              <w:rPr>
                <w:rFonts w:ascii="仿宋_GB2312" w:eastAsia="仿宋_GB2312" w:hAnsi="仿宋_GB2312" w:cs="仿宋_GB2312" w:hint="eastAsia"/>
                <w:color w:val="auto"/>
              </w:rPr>
              <w:t>＊</w:t>
            </w:r>
          </w:p>
        </w:tc>
        <w:tc>
          <w:tcPr>
            <w:tcW w:w="2977" w:type="dxa"/>
            <w:gridSpan w:val="2"/>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rPr>
            </w:pPr>
            <w:r>
              <w:rPr>
                <w:rFonts w:ascii="仿宋_GB2312" w:eastAsia="仿宋_GB2312" w:hAnsi="仿宋_GB2312" w:cs="仿宋_GB2312" w:hint="eastAsia"/>
                <w:color w:val="auto"/>
              </w:rPr>
              <w:t>“7+</w:t>
            </w:r>
            <w:r>
              <w:rPr>
                <w:rFonts w:ascii="仿宋_GB2312" w:eastAsia="仿宋_GB2312" w:hAnsi="仿宋_GB2312" w:cs="仿宋_GB2312"/>
                <w:color w:val="auto"/>
              </w:rPr>
              <w:t>3</w:t>
            </w:r>
            <w:r>
              <w:rPr>
                <w:rFonts w:ascii="仿宋_GB2312" w:eastAsia="仿宋_GB2312" w:hAnsi="仿宋_GB2312" w:cs="仿宋_GB2312" w:hint="eastAsia"/>
                <w:color w:val="auto"/>
              </w:rPr>
              <w:t>”项目竣工率（%）</w:t>
            </w:r>
          </w:p>
        </w:tc>
        <w:tc>
          <w:tcPr>
            <w:tcW w:w="5811" w:type="dxa"/>
            <w:tcBorders>
              <w:bottom w:val="single" w:sz="4" w:space="0" w:color="000000"/>
            </w:tcBorders>
            <w:vAlign w:val="center"/>
          </w:tcPr>
          <w:p w:rsidR="00DA4085" w:rsidRDefault="00DA4085">
            <w:pPr>
              <w:snapToGrid w:val="0"/>
              <w:spacing w:after="0" w:line="240" w:lineRule="auto"/>
              <w:rPr>
                <w:rFonts w:ascii="仿宋_GB2312" w:eastAsia="仿宋_GB2312" w:hAnsi="仿宋_GB2312" w:cs="仿宋_GB2312"/>
                <w:color w:val="auto"/>
                <w:szCs w:val="21"/>
              </w:rPr>
            </w:pPr>
            <w:r>
              <w:rPr>
                <w:rFonts w:ascii="仿宋_GB2312" w:eastAsia="仿宋_GB2312" w:hAnsi="DengXian" w:cs="仿宋_GB2312" w:hint="eastAsia"/>
                <w:color w:val="auto"/>
                <w:kern w:val="0"/>
                <w:szCs w:val="21"/>
                <w:lang/>
              </w:rPr>
              <w:t>“7+3”项目是指加快提升发热门诊、可转换传染病区、可转换ICU、实验室、传染病检测、医疗废弃物处置、急诊急救等“7大能力”，以及完善应急物资保障、应急医疗资源预案保障、重大疫情救治保障等“3大保障”。                                            竣工率=竣工项目数/建设项目数。</w:t>
            </w:r>
          </w:p>
        </w:tc>
        <w:tc>
          <w:tcPr>
            <w:tcW w:w="2268" w:type="dxa"/>
            <w:tcBorders>
              <w:bottom w:val="single" w:sz="4" w:space="0" w:color="000000"/>
            </w:tcBorders>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省卫生健康委规划信息处</w:t>
            </w:r>
          </w:p>
        </w:tc>
      </w:tr>
      <w:tr w:rsidR="0095121C" w:rsidTr="00DA4085">
        <w:trPr>
          <w:cantSplit/>
          <w:trHeight w:val="1858"/>
          <w:jc w:val="center"/>
        </w:trPr>
        <w:tc>
          <w:tcPr>
            <w:tcW w:w="988" w:type="dxa"/>
            <w:vAlign w:val="center"/>
          </w:tcPr>
          <w:p w:rsidR="0095121C" w:rsidRDefault="00DA4085">
            <w:pPr>
              <w:snapToGrid w:val="0"/>
              <w:spacing w:after="0" w:line="240" w:lineRule="auto"/>
              <w:jc w:val="center"/>
              <w:rPr>
                <w:rFonts w:ascii="CESI黑体-GB2312" w:eastAsia="CESI黑体-GB2312" w:hAnsi="CESI黑体-GB2312" w:cs="CESI黑体-GB2312"/>
                <w:color w:val="auto"/>
                <w:kern w:val="0"/>
                <w:szCs w:val="21"/>
                <w:lang/>
              </w:rPr>
            </w:pPr>
            <w:r w:rsidRPr="00DA4085">
              <w:rPr>
                <w:rFonts w:ascii="CESI黑体-GB2312" w:eastAsia="CESI黑体-GB2312" w:hAnsi="CESI黑体-GB2312" w:cs="CESI黑体-GB2312"/>
                <w:color w:val="auto"/>
                <w:kern w:val="0"/>
                <w:szCs w:val="21"/>
                <w:lang/>
              </w:rPr>
              <w:lastRenderedPageBreak/>
              <w:t>健康服务与保障</w:t>
            </w:r>
          </w:p>
        </w:tc>
        <w:tc>
          <w:tcPr>
            <w:tcW w:w="992" w:type="dxa"/>
            <w:vAlign w:val="center"/>
          </w:tcPr>
          <w:p w:rsidR="0095121C" w:rsidRDefault="009F03AE">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color w:val="auto"/>
                <w:kern w:val="0"/>
                <w:szCs w:val="21"/>
              </w:rPr>
              <w:t>70</w:t>
            </w:r>
            <w:r>
              <w:rPr>
                <w:rFonts w:ascii="仿宋_GB2312" w:eastAsia="仿宋_GB2312" w:hAnsi="仿宋_GB2312" w:cs="仿宋_GB2312" w:hint="eastAsia"/>
                <w:color w:val="auto"/>
                <w:kern w:val="0"/>
                <w:szCs w:val="21"/>
                <w:lang/>
              </w:rPr>
              <w:t>＊</w:t>
            </w:r>
          </w:p>
        </w:tc>
        <w:tc>
          <w:tcPr>
            <w:tcW w:w="2977" w:type="dxa"/>
            <w:gridSpan w:val="2"/>
            <w:vAlign w:val="center"/>
          </w:tcPr>
          <w:p w:rsidR="0095121C" w:rsidRDefault="009F03AE">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“三医联动一张网”平台数据质量</w:t>
            </w:r>
          </w:p>
        </w:tc>
        <w:tc>
          <w:tcPr>
            <w:tcW w:w="5811" w:type="dxa"/>
            <w:vAlign w:val="center"/>
          </w:tcPr>
          <w:p w:rsidR="0095121C" w:rsidRDefault="009F03AE">
            <w:pPr>
              <w:spacing w:after="0" w:line="240" w:lineRule="auto"/>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省“三医联动一张网”平台上的各市县数据质量，包括数据在平台汇聚的完整率、及时性、准确性、与法定卫生统计指标数据一致率等。</w:t>
            </w:r>
          </w:p>
          <w:p w:rsidR="0095121C" w:rsidRDefault="009F03AE">
            <w:pPr>
              <w:snapToGrid w:val="0"/>
              <w:spacing w:after="0" w:line="240" w:lineRule="auto"/>
              <w:jc w:val="both"/>
              <w:rPr>
                <w:rFonts w:ascii="仿宋_GB2312" w:eastAsia="仿宋_GB2312" w:hAnsi="DengXian" w:cs="仿宋_GB2312"/>
                <w:color w:val="auto"/>
                <w:kern w:val="0"/>
                <w:szCs w:val="21"/>
                <w:lang/>
              </w:rPr>
            </w:pPr>
            <w:r>
              <w:rPr>
                <w:rFonts w:ascii="仿宋_GB2312" w:eastAsia="仿宋_GB2312" w:hAnsi="仿宋_GB2312" w:cs="仿宋_GB2312" w:hint="eastAsia"/>
                <w:color w:val="auto"/>
                <w:kern w:val="0"/>
                <w:szCs w:val="21"/>
                <w:lang/>
              </w:rPr>
              <w:t>以省“三医联动一张网”平台数据质量监测的市县综合名次为依据。</w:t>
            </w:r>
          </w:p>
        </w:tc>
        <w:tc>
          <w:tcPr>
            <w:tcW w:w="2268" w:type="dxa"/>
            <w:vAlign w:val="center"/>
          </w:tcPr>
          <w:p w:rsidR="0095121C" w:rsidRDefault="009F03AE">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省卫生健康委规划信息处，</w:t>
            </w:r>
            <w:r>
              <w:rPr>
                <w:rFonts w:ascii="CESI黑体-GB2312" w:eastAsia="CESI黑体-GB2312" w:hAnsi="CESI黑体-GB2312" w:cs="CESI黑体-GB2312" w:hint="eastAsia"/>
                <w:color w:val="auto"/>
                <w:szCs w:val="21"/>
                <w:lang/>
              </w:rPr>
              <w:t>委统计信息中心</w:t>
            </w:r>
          </w:p>
        </w:tc>
      </w:tr>
      <w:tr w:rsidR="00DA4085" w:rsidTr="00DA4085">
        <w:trPr>
          <w:cantSplit/>
          <w:trHeight w:val="90"/>
          <w:jc w:val="center"/>
        </w:trPr>
        <w:tc>
          <w:tcPr>
            <w:tcW w:w="988" w:type="dxa"/>
            <w:vMerge w:val="restart"/>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r>
              <w:rPr>
                <w:rFonts w:ascii="CESI黑体-GB2312" w:eastAsia="CESI黑体-GB2312" w:hAnsi="CESI黑体-GB2312" w:cs="CESI黑体-GB2312" w:hint="eastAsia"/>
                <w:color w:val="auto"/>
                <w:kern w:val="0"/>
                <w:szCs w:val="21"/>
                <w:lang/>
              </w:rPr>
              <w:t>健康水平</w:t>
            </w:r>
          </w:p>
          <w:p w:rsidR="00DA4085" w:rsidRDefault="00DA4085" w:rsidP="00C74369">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7</w:t>
            </w:r>
            <w:r>
              <w:rPr>
                <w:rFonts w:ascii="仿宋_GB2312" w:eastAsia="仿宋_GB2312" w:hAnsi="仿宋_GB2312" w:cs="仿宋_GB2312"/>
                <w:color w:val="auto"/>
                <w:kern w:val="0"/>
                <w:szCs w:val="21"/>
              </w:rPr>
              <w:t>1</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rPr>
              <w:t>人均预期寿命（岁）</w:t>
            </w:r>
          </w:p>
        </w:tc>
        <w:tc>
          <w:tcPr>
            <w:tcW w:w="5811" w:type="dxa"/>
            <w:vAlign w:val="center"/>
          </w:tcPr>
          <w:p w:rsidR="00DA4085" w:rsidRDefault="00DA4085">
            <w:pPr>
              <w:spacing w:after="0" w:line="240" w:lineRule="auto"/>
              <w:rPr>
                <w:rFonts w:ascii="仿宋_GB2312" w:eastAsia="仿宋_GB2312" w:hAnsi="DengXian" w:cs="仿宋_GB2312"/>
                <w:color w:val="auto"/>
                <w:kern w:val="0"/>
                <w:szCs w:val="21"/>
                <w:lang/>
              </w:rPr>
            </w:pPr>
            <w:r>
              <w:rPr>
                <w:rFonts w:ascii="仿宋_GB2312" w:eastAsia="仿宋_GB2312" w:hAnsi="仿宋_GB2312" w:cs="仿宋_GB2312" w:hint="eastAsia"/>
                <w:color w:val="auto"/>
                <w:kern w:val="0"/>
                <w:szCs w:val="21"/>
              </w:rPr>
              <w:t>指在一定死亡水平下，预期每个人出生时平均可存活的年数，根据寿命表法计算。</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健康促进</w:t>
            </w:r>
            <w:r>
              <w:rPr>
                <w:rFonts w:ascii="CESI黑体-GB2312" w:eastAsia="CESI黑体-GB2312" w:hAnsi="CESI黑体-GB2312" w:cs="CESI黑体-GB2312"/>
                <w:color w:val="auto"/>
                <w:szCs w:val="21"/>
              </w:rPr>
              <w:t>处</w:t>
            </w:r>
          </w:p>
        </w:tc>
      </w:tr>
      <w:tr w:rsidR="00DA4085" w:rsidTr="00DA4085">
        <w:trPr>
          <w:cantSplit/>
          <w:trHeight w:val="90"/>
          <w:jc w:val="center"/>
        </w:trPr>
        <w:tc>
          <w:tcPr>
            <w:tcW w:w="988" w:type="dxa"/>
            <w:vMerge/>
            <w:vAlign w:val="center"/>
          </w:tcPr>
          <w:p w:rsidR="00DA4085" w:rsidRDefault="00DA4085" w:rsidP="00C74369">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7</w:t>
            </w:r>
            <w:r>
              <w:rPr>
                <w:rFonts w:ascii="仿宋_GB2312" w:eastAsia="仿宋_GB2312" w:hAnsi="仿宋_GB2312" w:cs="仿宋_GB2312"/>
                <w:color w:val="auto"/>
                <w:kern w:val="0"/>
                <w:szCs w:val="21"/>
              </w:rPr>
              <w:t>2</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婴儿死亡率（‰）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hint="eastAsia"/>
                <w:color w:val="auto"/>
                <w:kern w:val="0"/>
                <w:szCs w:val="21"/>
                <w:lang/>
              </w:rPr>
              <w:t>指该年该地区婴儿死亡数占</w:t>
            </w:r>
            <w:r>
              <w:rPr>
                <w:rFonts w:ascii="仿宋_GB2312" w:eastAsia="仿宋_GB2312" w:hAnsi="仿宋_GB2312" w:cs="仿宋_GB2312" w:hint="eastAsia"/>
                <w:color w:val="auto"/>
                <w:kern w:val="0"/>
                <w:szCs w:val="21"/>
              </w:rPr>
              <w:t>某年某地</w:t>
            </w:r>
            <w:r>
              <w:rPr>
                <w:rFonts w:ascii="仿宋_GB2312" w:eastAsia="仿宋_GB2312" w:hAnsi="DengXian" w:cs="仿宋_GB2312" w:hint="eastAsia"/>
                <w:color w:val="auto"/>
                <w:kern w:val="0"/>
                <w:szCs w:val="21"/>
                <w:lang/>
              </w:rPr>
              <w:t>区活产数的比例。婴儿死亡数指出生至不满</w:t>
            </w:r>
            <w:r>
              <w:rPr>
                <w:rFonts w:ascii="仿宋_GB2312" w:eastAsia="仿宋_GB2312" w:hAnsi="DengXian" w:cs="仿宋_GB2312"/>
                <w:color w:val="auto"/>
                <w:kern w:val="0"/>
                <w:szCs w:val="21"/>
                <w:lang/>
              </w:rPr>
              <w:t>1周岁的活产儿死亡人数。</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该年该地区婴儿死亡数</w:t>
            </w:r>
            <w:r>
              <w:rPr>
                <w:rFonts w:ascii="仿宋_GB2312" w:eastAsia="仿宋_GB2312" w:hAnsi="仿宋_GB2312" w:cs="仿宋_GB2312"/>
                <w:color w:val="auto"/>
                <w:kern w:val="0"/>
                <w:szCs w:val="21"/>
              </w:rPr>
              <w:t>/</w:t>
            </w:r>
            <w:r>
              <w:rPr>
                <w:rFonts w:ascii="仿宋_GB2312" w:eastAsia="仿宋_GB2312" w:hAnsi="仿宋_GB2312" w:cs="仿宋_GB2312" w:hint="eastAsia"/>
                <w:color w:val="auto"/>
                <w:kern w:val="0"/>
                <w:szCs w:val="21"/>
              </w:rPr>
              <w:t>某年某地区活产数×</w:t>
            </w:r>
            <w:r>
              <w:rPr>
                <w:rFonts w:ascii="仿宋_GB2312" w:eastAsia="仿宋_GB2312" w:hAnsi="仿宋_GB2312" w:cs="仿宋_GB2312"/>
                <w:color w:val="auto"/>
                <w:kern w:val="0"/>
                <w:szCs w:val="21"/>
              </w:rPr>
              <w:t>1000</w:t>
            </w:r>
            <w:r>
              <w:rPr>
                <w:rFonts w:ascii="仿宋_GB2312" w:eastAsia="仿宋_GB2312" w:hAnsi="仿宋_GB2312" w:cs="仿宋_GB2312" w:hint="eastAsia"/>
                <w:color w:val="auto"/>
                <w:kern w:val="0"/>
                <w:szCs w:val="21"/>
              </w:rPr>
              <w:t>。</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妇幼处</w:t>
            </w:r>
          </w:p>
        </w:tc>
      </w:tr>
      <w:tr w:rsidR="00DA4085" w:rsidTr="00DA4085">
        <w:trPr>
          <w:cantSplit/>
          <w:trHeight w:val="90"/>
          <w:jc w:val="center"/>
        </w:trPr>
        <w:tc>
          <w:tcPr>
            <w:tcW w:w="988" w:type="dxa"/>
            <w:vMerge/>
            <w:vAlign w:val="center"/>
          </w:tcPr>
          <w:p w:rsidR="00DA4085" w:rsidRDefault="00DA4085" w:rsidP="00C74369">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7</w:t>
            </w:r>
            <w:r>
              <w:rPr>
                <w:rFonts w:ascii="仿宋_GB2312" w:eastAsia="仿宋_GB2312" w:hAnsi="仿宋_GB2312" w:cs="仿宋_GB2312"/>
                <w:color w:val="auto"/>
                <w:kern w:val="0"/>
                <w:szCs w:val="21"/>
              </w:rPr>
              <w:t>3</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5岁以下儿童死亡率（‰）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指该年该地区5岁以下儿童死亡数占某年某地区活产数的比例。5 岁以下儿童死亡数指出生至不满5周岁的儿童死亡人数。</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该年该地区5岁以下儿童死亡数/某年某地区活产数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kern w:val="0"/>
                <w:szCs w:val="21"/>
              </w:rPr>
            </w:pPr>
            <w:r>
              <w:rPr>
                <w:rFonts w:ascii="CESI黑体-GB2312" w:eastAsia="CESI黑体-GB2312" w:hAnsi="CESI黑体-GB2312" w:cs="CESI黑体-GB2312" w:hint="eastAsia"/>
                <w:color w:val="auto"/>
                <w:szCs w:val="21"/>
              </w:rPr>
              <w:t>妇幼处</w:t>
            </w:r>
          </w:p>
        </w:tc>
      </w:tr>
      <w:tr w:rsidR="00DA4085" w:rsidTr="00DA4085">
        <w:trPr>
          <w:cantSplit/>
          <w:trHeight w:val="90"/>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7</w:t>
            </w:r>
            <w:r>
              <w:rPr>
                <w:rFonts w:ascii="仿宋_GB2312" w:eastAsia="仿宋_GB2312" w:hAnsi="仿宋_GB2312" w:cs="仿宋_GB2312"/>
                <w:color w:val="auto"/>
                <w:kern w:val="0"/>
                <w:szCs w:val="21"/>
              </w:rPr>
              <w:t>4</w:t>
            </w:r>
            <w:r>
              <w:rPr>
                <w:rFonts w:ascii="Arial" w:eastAsia="仿宋_GB2312" w:hAnsi="Arial" w:cs="Arial"/>
                <w:color w:val="auto"/>
                <w:kern w:val="0"/>
                <w:szCs w:val="21"/>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孕产妇死亡率（1/10万）</w:t>
            </w:r>
          </w:p>
        </w:tc>
        <w:tc>
          <w:tcPr>
            <w:tcW w:w="5811" w:type="dxa"/>
            <w:vAlign w:val="center"/>
          </w:tcPr>
          <w:p w:rsidR="00DA4085" w:rsidRDefault="00DA4085">
            <w:pPr>
              <w:snapToGrid w:val="0"/>
              <w:spacing w:after="0" w:line="240" w:lineRule="auto"/>
              <w:rPr>
                <w:rFonts w:ascii="仿宋_GB2312" w:eastAsia="仿宋_GB2312" w:hAnsi="DengXian" w:cs="仿宋_GB2312"/>
                <w:color w:val="auto"/>
                <w:kern w:val="0"/>
                <w:szCs w:val="21"/>
                <w:lang/>
              </w:rPr>
            </w:pPr>
            <w:r>
              <w:rPr>
                <w:rFonts w:ascii="仿宋_GB2312" w:eastAsia="仿宋_GB2312" w:hAnsi="DengXian" w:cs="仿宋_GB2312"/>
                <w:color w:val="auto"/>
                <w:kern w:val="0"/>
                <w:szCs w:val="21"/>
                <w:lang/>
              </w:rPr>
              <w:t>指该年该地区孕产妇死亡数占某年某地区活产数的比例。孕产妇死亡人数指妇女在妊娠期至妊娠结束后42天以内，由于任何与妊娠或妊娠处理有关的或由此而加重了的原因导致的死亡称为孕产妇死亡，不包括意外事故死亡。</w:t>
            </w:r>
          </w:p>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color w:val="auto"/>
                <w:kern w:val="0"/>
                <w:szCs w:val="21"/>
                <w:lang/>
              </w:rPr>
              <w:t>该年该地区孕产妇死亡人数/某年某地区活产数</w:t>
            </w:r>
            <w:r>
              <w:rPr>
                <w:rFonts w:ascii="仿宋_GB2312" w:eastAsia="仿宋_GB2312" w:hAnsi="DengXian" w:cs="仿宋_GB2312"/>
                <w:color w:val="auto"/>
                <w:kern w:val="0"/>
                <w:szCs w:val="21"/>
                <w:lang/>
              </w:rPr>
              <w:t>×</w:t>
            </w:r>
            <w:r>
              <w:rPr>
                <w:rFonts w:ascii="仿宋_GB2312" w:eastAsia="仿宋_GB2312" w:hAnsi="DengXian" w:cs="仿宋_GB2312"/>
                <w:color w:val="auto"/>
                <w:kern w:val="0"/>
                <w:szCs w:val="21"/>
                <w:lang/>
              </w:rPr>
              <w:t>10</w:t>
            </w:r>
            <w:r>
              <w:rPr>
                <w:rFonts w:ascii="仿宋_GB2312" w:eastAsia="仿宋_GB2312" w:hAnsi="DengXian" w:cs="仿宋_GB2312" w:hint="eastAsia"/>
                <w:color w:val="auto"/>
                <w:kern w:val="0"/>
                <w:szCs w:val="21"/>
                <w:lang/>
              </w:rPr>
              <w:t>0000。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省卫生健康委</w:t>
            </w:r>
          </w:p>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妇幼处</w:t>
            </w:r>
          </w:p>
        </w:tc>
      </w:tr>
      <w:tr w:rsidR="00DA4085" w:rsidTr="00DA4085">
        <w:trPr>
          <w:cantSplit/>
          <w:trHeight w:val="90"/>
          <w:jc w:val="center"/>
        </w:trPr>
        <w:tc>
          <w:tcPr>
            <w:tcW w:w="988" w:type="dxa"/>
            <w:vMerge/>
            <w:vAlign w:val="center"/>
          </w:tcPr>
          <w:p w:rsidR="00DA4085" w:rsidRDefault="00DA4085">
            <w:pPr>
              <w:snapToGrid w:val="0"/>
              <w:spacing w:after="0" w:line="240" w:lineRule="auto"/>
              <w:jc w:val="center"/>
              <w:rPr>
                <w:rFonts w:ascii="CESI黑体-GB2312" w:eastAsia="CESI黑体-GB2312" w:hAnsi="CESI黑体-GB2312" w:cs="CESI黑体-GB2312"/>
                <w:color w:val="auto"/>
                <w:kern w:val="0"/>
                <w:szCs w:val="21"/>
                <w:lang/>
              </w:rPr>
            </w:pPr>
          </w:p>
        </w:tc>
        <w:tc>
          <w:tcPr>
            <w:tcW w:w="992" w:type="dxa"/>
            <w:vAlign w:val="center"/>
          </w:tcPr>
          <w:p w:rsidR="00DA4085" w:rsidRDefault="00DA4085">
            <w:pPr>
              <w:snapToGrid w:val="0"/>
              <w:spacing w:after="0" w:line="240" w:lineRule="auto"/>
              <w:jc w:val="center"/>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7</w:t>
            </w:r>
            <w:r>
              <w:rPr>
                <w:rFonts w:ascii="仿宋_GB2312" w:eastAsia="仿宋_GB2312" w:hAnsi="仿宋_GB2312" w:cs="仿宋_GB2312"/>
                <w:color w:val="auto"/>
                <w:kern w:val="0"/>
                <w:szCs w:val="21"/>
              </w:rPr>
              <w:t>5</w:t>
            </w:r>
            <w:r>
              <w:rPr>
                <w:rFonts w:ascii="仿宋_GB2312" w:eastAsia="仿宋_GB2312" w:hAnsi="仿宋_GB2312" w:cs="仿宋_GB2312" w:hint="eastAsia"/>
                <w:color w:val="auto"/>
                <w:kern w:val="0"/>
                <w:szCs w:val="21"/>
                <w:lang/>
              </w:rPr>
              <w:t>＊</w:t>
            </w:r>
          </w:p>
        </w:tc>
        <w:tc>
          <w:tcPr>
            <w:tcW w:w="2977" w:type="dxa"/>
            <w:gridSpan w:val="2"/>
            <w:vAlign w:val="center"/>
          </w:tcPr>
          <w:p w:rsidR="00DA4085" w:rsidRDefault="00DA4085">
            <w:pPr>
              <w:snapToGrid w:val="0"/>
              <w:spacing w:after="0"/>
              <w:rPr>
                <w:rFonts w:ascii="仿宋_GB2312" w:eastAsia="仿宋_GB2312" w:hAnsi="仿宋_GB2312" w:cs="仿宋_GB2312"/>
                <w:color w:val="auto"/>
                <w:kern w:val="0"/>
                <w:szCs w:val="21"/>
              </w:rPr>
            </w:pPr>
            <w:r>
              <w:rPr>
                <w:rFonts w:ascii="仿宋_GB2312" w:eastAsia="仿宋_GB2312" w:hAnsi="仿宋_GB2312" w:cs="仿宋_GB2312" w:hint="eastAsia"/>
                <w:color w:val="auto"/>
                <w:kern w:val="0"/>
                <w:szCs w:val="21"/>
              </w:rPr>
              <w:t>城乡居民达到《国民体质测定标准》合格以上的人数比例（%）</w:t>
            </w:r>
          </w:p>
        </w:tc>
        <w:tc>
          <w:tcPr>
            <w:tcW w:w="5811" w:type="dxa"/>
            <w:vAlign w:val="center"/>
          </w:tcPr>
          <w:p w:rsidR="00DA4085" w:rsidRDefault="00DA4085">
            <w:pPr>
              <w:snapToGrid w:val="0"/>
              <w:spacing w:after="0" w:line="240" w:lineRule="auto"/>
              <w:rPr>
                <w:rFonts w:ascii="仿宋_GB2312" w:eastAsia="仿宋_GB2312" w:hAnsi="仿宋_GB2312" w:cs="仿宋_GB2312"/>
                <w:color w:val="auto"/>
                <w:kern w:val="0"/>
                <w:szCs w:val="21"/>
              </w:rPr>
            </w:pPr>
            <w:r>
              <w:rPr>
                <w:rFonts w:ascii="仿宋_GB2312" w:eastAsia="仿宋_GB2312" w:hAnsi="DengXian" w:cs="仿宋_GB2312" w:hint="eastAsia"/>
                <w:color w:val="auto"/>
                <w:kern w:val="0"/>
                <w:szCs w:val="21"/>
                <w:lang/>
              </w:rPr>
              <w:t>全省达到《国民体质测定标准》合格等级以上的人数百分比。</w:t>
            </w:r>
            <w:r>
              <w:rPr>
                <w:rFonts w:ascii="仿宋_GB2312" w:eastAsia="仿宋_GB2312" w:hAnsi="DengXian" w:cs="仿宋_GB2312" w:hint="eastAsia"/>
                <w:color w:val="auto"/>
                <w:kern w:val="0"/>
                <w:szCs w:val="21"/>
                <w:lang/>
              </w:rPr>
              <w:br/>
            </w:r>
            <w:r>
              <w:rPr>
                <w:rFonts w:ascii="仿宋_GB2312" w:eastAsia="仿宋_GB2312" w:hAnsi="仿宋_GB2312" w:cs="仿宋_GB2312" w:hint="eastAsia"/>
                <w:color w:val="auto"/>
                <w:kern w:val="0"/>
                <w:szCs w:val="21"/>
              </w:rPr>
              <w:t>某年某地调查城乡居民达到《国民体质测定标准》合格以上的人数/被调查总人数×100。</w:t>
            </w:r>
          </w:p>
        </w:tc>
        <w:tc>
          <w:tcPr>
            <w:tcW w:w="2268" w:type="dxa"/>
            <w:vAlign w:val="center"/>
          </w:tcPr>
          <w:p w:rsidR="00DA4085" w:rsidRDefault="00DA4085">
            <w:pPr>
              <w:snapToGrid w:val="0"/>
              <w:spacing w:after="0" w:line="240" w:lineRule="auto"/>
              <w:jc w:val="center"/>
              <w:rPr>
                <w:rFonts w:ascii="CESI黑体-GB2312" w:eastAsia="CESI黑体-GB2312" w:hAnsi="CESI黑体-GB2312" w:cs="CESI黑体-GB2312"/>
                <w:color w:val="auto"/>
                <w:szCs w:val="21"/>
              </w:rPr>
            </w:pPr>
            <w:r>
              <w:rPr>
                <w:rFonts w:ascii="CESI黑体-GB2312" w:eastAsia="CESI黑体-GB2312" w:hAnsi="CESI黑体-GB2312" w:cs="CESI黑体-GB2312" w:hint="eastAsia"/>
                <w:color w:val="auto"/>
                <w:szCs w:val="21"/>
              </w:rPr>
              <w:t>省旅游和文化广电体育厅</w:t>
            </w:r>
          </w:p>
        </w:tc>
      </w:tr>
    </w:tbl>
    <w:p w:rsidR="0095121C" w:rsidRDefault="009F03AE">
      <w:pPr>
        <w:snapToGrid w:val="0"/>
        <w:spacing w:after="0" w:line="240" w:lineRule="auto"/>
        <w:ind w:firstLineChars="200" w:firstLine="440"/>
        <w:rPr>
          <w:rFonts w:ascii="仿宋_GB2312" w:eastAsia="仿宋_GB2312" w:hAnsi="仿宋_GB2312" w:cs="仿宋_GB2312"/>
          <w:color w:val="auto"/>
          <w:kern w:val="0"/>
          <w:szCs w:val="21"/>
          <w:lang/>
        </w:rPr>
      </w:pPr>
      <w:r>
        <w:rPr>
          <w:rFonts w:ascii="仿宋_GB2312" w:eastAsia="仿宋_GB2312" w:hAnsi="仿宋_GB2312" w:cs="仿宋_GB2312" w:hint="eastAsia"/>
          <w:color w:val="auto"/>
          <w:kern w:val="0"/>
          <w:szCs w:val="21"/>
          <w:lang/>
        </w:rPr>
        <w:t>备注：序号后加＊为健康海南2023年</w:t>
      </w:r>
      <w:r>
        <w:rPr>
          <w:rFonts w:ascii="仿宋_GB2312" w:eastAsia="仿宋_GB2312" w:hAnsi="仿宋_GB2312" w:cs="仿宋_GB2312"/>
          <w:color w:val="auto"/>
          <w:kern w:val="0"/>
          <w:szCs w:val="21"/>
          <w:lang/>
        </w:rPr>
        <w:t>考核</w:t>
      </w:r>
      <w:r>
        <w:rPr>
          <w:rFonts w:ascii="仿宋_GB2312" w:eastAsia="仿宋_GB2312" w:hAnsi="仿宋_GB2312" w:cs="仿宋_GB2312" w:hint="eastAsia"/>
          <w:color w:val="auto"/>
          <w:kern w:val="0"/>
          <w:szCs w:val="21"/>
          <w:lang/>
        </w:rPr>
        <w:t>指标。</w:t>
      </w:r>
    </w:p>
    <w:p w:rsidR="0095121C" w:rsidRDefault="0095121C">
      <w:pPr>
        <w:rPr>
          <w:color w:val="auto"/>
        </w:rPr>
      </w:pPr>
    </w:p>
    <w:sectPr w:rsidR="0095121C" w:rsidSect="009F03AE">
      <w:footerReference w:type="default" r:id="rId8"/>
      <w:pgSz w:w="16838" w:h="11906" w:orient="landscape" w:code="9"/>
      <w:pgMar w:top="1474" w:right="1440" w:bottom="1474"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9B" w:rsidRDefault="00C26C9B">
      <w:pPr>
        <w:spacing w:line="240" w:lineRule="auto"/>
      </w:pPr>
      <w:r>
        <w:separator/>
      </w:r>
    </w:p>
  </w:endnote>
  <w:endnote w:type="continuationSeparator" w:id="1">
    <w:p w:rsidR="00C26C9B" w:rsidRDefault="00C26C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script"/>
    <w:pitch w:val="default"/>
    <w:sig w:usb0="00000000" w:usb1="00000000" w:usb2="00000012" w:usb3="00000000" w:csb0="00040001" w:csb1="00000000"/>
  </w:font>
  <w:font w:name="CESI黑体-GB2312">
    <w:altName w:val="黑体"/>
    <w:charset w:val="86"/>
    <w:family w:val="auto"/>
    <w:pitch w:val="default"/>
    <w:sig w:usb0="00000000" w:usb1="00000000" w:usb2="00000012" w:usb3="00000000" w:csb0="0004000F" w:csb1="00000000"/>
  </w:font>
  <w:font w:name="DengXian">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AE" w:rsidRDefault="00366E45">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F03AE" w:rsidRDefault="00366E45">
                <w:pPr>
                  <w:pStyle w:val="a4"/>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sidR="009F03AE">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3B462F">
                  <w:rPr>
                    <w:rFonts w:ascii="仿宋_GB2312" w:eastAsia="仿宋_GB2312" w:hAnsi="仿宋_GB2312" w:cs="仿宋_GB2312"/>
                    <w:noProof/>
                    <w:sz w:val="24"/>
                    <w:szCs w:val="24"/>
                  </w:rPr>
                  <w:t>1</w:t>
                </w:r>
                <w:r>
                  <w:rPr>
                    <w:rFonts w:ascii="仿宋_GB2312" w:eastAsia="仿宋_GB2312" w:hAnsi="仿宋_GB2312" w:cs="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9B" w:rsidRDefault="00C26C9B">
      <w:pPr>
        <w:spacing w:after="0"/>
      </w:pPr>
      <w:r>
        <w:separator/>
      </w:r>
    </w:p>
  </w:footnote>
  <w:footnote w:type="continuationSeparator" w:id="1">
    <w:p w:rsidR="00C26C9B" w:rsidRDefault="00C26C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docVars>
    <w:docVar w:name="commondata" w:val="eyJoZGlkIjoiNGJiMDc5ZWUyNTE1YjNkNjBjYzcyYTU4ZGYyMGZmODMifQ=="/>
  </w:docVars>
  <w:rsids>
    <w:rsidRoot w:val="00B259D8"/>
    <w:rsid w:val="83FD150A"/>
    <w:rsid w:val="8EDBEA11"/>
    <w:rsid w:val="8F6F2C1B"/>
    <w:rsid w:val="8FFF8726"/>
    <w:rsid w:val="9F9F986E"/>
    <w:rsid w:val="9FEF60DB"/>
    <w:rsid w:val="9FFD78A9"/>
    <w:rsid w:val="A77D64D8"/>
    <w:rsid w:val="A98E1D0B"/>
    <w:rsid w:val="AE6D90BC"/>
    <w:rsid w:val="AEF9D28E"/>
    <w:rsid w:val="AFF3806D"/>
    <w:rsid w:val="B3FDE80F"/>
    <w:rsid w:val="BEFE9BCF"/>
    <w:rsid w:val="BF75432C"/>
    <w:rsid w:val="BF9FC237"/>
    <w:rsid w:val="CFFD3EA7"/>
    <w:rsid w:val="D3DE9607"/>
    <w:rsid w:val="D7DF18C8"/>
    <w:rsid w:val="DEBF8789"/>
    <w:rsid w:val="DEDF2391"/>
    <w:rsid w:val="DF277B48"/>
    <w:rsid w:val="DF77AF37"/>
    <w:rsid w:val="DF9FDAA8"/>
    <w:rsid w:val="DFDB8AA0"/>
    <w:rsid w:val="DFDC5848"/>
    <w:rsid w:val="DFDD0CD7"/>
    <w:rsid w:val="DFED3684"/>
    <w:rsid w:val="EA8F1509"/>
    <w:rsid w:val="EB3FF27D"/>
    <w:rsid w:val="EB7FB6C0"/>
    <w:rsid w:val="EC7F616E"/>
    <w:rsid w:val="EF861141"/>
    <w:rsid w:val="EFBF2B0D"/>
    <w:rsid w:val="EFDE876B"/>
    <w:rsid w:val="F7671E8A"/>
    <w:rsid w:val="F777DF93"/>
    <w:rsid w:val="F7FB6ECA"/>
    <w:rsid w:val="F7FC919D"/>
    <w:rsid w:val="F9DF541C"/>
    <w:rsid w:val="FAFF3099"/>
    <w:rsid w:val="FBCE491B"/>
    <w:rsid w:val="FBF2D0CB"/>
    <w:rsid w:val="FCFB254A"/>
    <w:rsid w:val="FCFB8BAA"/>
    <w:rsid w:val="FDDD756C"/>
    <w:rsid w:val="FDEF266D"/>
    <w:rsid w:val="FEBD2611"/>
    <w:rsid w:val="FEF7E5A5"/>
    <w:rsid w:val="FEFF02DA"/>
    <w:rsid w:val="FF1771A1"/>
    <w:rsid w:val="FF62314D"/>
    <w:rsid w:val="FF7FF860"/>
    <w:rsid w:val="FFECD155"/>
    <w:rsid w:val="FFEE9C1B"/>
    <w:rsid w:val="FFF78E03"/>
    <w:rsid w:val="FFF97198"/>
    <w:rsid w:val="FFFB1910"/>
    <w:rsid w:val="FFFBEDFD"/>
    <w:rsid w:val="FFFE01F7"/>
    <w:rsid w:val="FFFEDF2D"/>
    <w:rsid w:val="0002144F"/>
    <w:rsid w:val="00027EA1"/>
    <w:rsid w:val="00035541"/>
    <w:rsid w:val="0004557D"/>
    <w:rsid w:val="00065986"/>
    <w:rsid w:val="000B3DD2"/>
    <w:rsid w:val="00147E94"/>
    <w:rsid w:val="00173C5D"/>
    <w:rsid w:val="00197F9F"/>
    <w:rsid w:val="001F4299"/>
    <w:rsid w:val="0020093A"/>
    <w:rsid w:val="00220A80"/>
    <w:rsid w:val="00224B69"/>
    <w:rsid w:val="00237F23"/>
    <w:rsid w:val="002C7212"/>
    <w:rsid w:val="002E2E65"/>
    <w:rsid w:val="002E2F0F"/>
    <w:rsid w:val="00366E45"/>
    <w:rsid w:val="003B462F"/>
    <w:rsid w:val="003E372A"/>
    <w:rsid w:val="003F4BD0"/>
    <w:rsid w:val="0045560A"/>
    <w:rsid w:val="004A1408"/>
    <w:rsid w:val="004C6D1D"/>
    <w:rsid w:val="004F6ABA"/>
    <w:rsid w:val="00505CE6"/>
    <w:rsid w:val="005325DF"/>
    <w:rsid w:val="00571CD7"/>
    <w:rsid w:val="00576CF2"/>
    <w:rsid w:val="00593AB1"/>
    <w:rsid w:val="005A463B"/>
    <w:rsid w:val="005F7FE1"/>
    <w:rsid w:val="0063139B"/>
    <w:rsid w:val="006E573B"/>
    <w:rsid w:val="006E770C"/>
    <w:rsid w:val="00712266"/>
    <w:rsid w:val="00717487"/>
    <w:rsid w:val="007427BE"/>
    <w:rsid w:val="00890A98"/>
    <w:rsid w:val="00914C17"/>
    <w:rsid w:val="00933AC9"/>
    <w:rsid w:val="00933CDC"/>
    <w:rsid w:val="0095121C"/>
    <w:rsid w:val="009545B4"/>
    <w:rsid w:val="009843D8"/>
    <w:rsid w:val="00984C9A"/>
    <w:rsid w:val="00993E57"/>
    <w:rsid w:val="009F03AE"/>
    <w:rsid w:val="009F7B8B"/>
    <w:rsid w:val="00A013F9"/>
    <w:rsid w:val="00A47EF1"/>
    <w:rsid w:val="00AA795C"/>
    <w:rsid w:val="00AE18E4"/>
    <w:rsid w:val="00AE6490"/>
    <w:rsid w:val="00B259D8"/>
    <w:rsid w:val="00B261E7"/>
    <w:rsid w:val="00B315B6"/>
    <w:rsid w:val="00B41705"/>
    <w:rsid w:val="00B67AF7"/>
    <w:rsid w:val="00C002DF"/>
    <w:rsid w:val="00C10659"/>
    <w:rsid w:val="00C140D8"/>
    <w:rsid w:val="00C26C9B"/>
    <w:rsid w:val="00C34D37"/>
    <w:rsid w:val="00CF3AEC"/>
    <w:rsid w:val="00D05BE5"/>
    <w:rsid w:val="00D16331"/>
    <w:rsid w:val="00D220AC"/>
    <w:rsid w:val="00D32AB8"/>
    <w:rsid w:val="00D36A33"/>
    <w:rsid w:val="00D62372"/>
    <w:rsid w:val="00DA4085"/>
    <w:rsid w:val="00DC1870"/>
    <w:rsid w:val="00E02FE8"/>
    <w:rsid w:val="00E04EE0"/>
    <w:rsid w:val="00E76A6B"/>
    <w:rsid w:val="00E83BAD"/>
    <w:rsid w:val="00EA1B26"/>
    <w:rsid w:val="00F05EE5"/>
    <w:rsid w:val="00F9717F"/>
    <w:rsid w:val="00FD04D7"/>
    <w:rsid w:val="051F632A"/>
    <w:rsid w:val="076331C2"/>
    <w:rsid w:val="0C615E2F"/>
    <w:rsid w:val="1AF52DDC"/>
    <w:rsid w:val="1FFF2F6E"/>
    <w:rsid w:val="21BD0E25"/>
    <w:rsid w:val="2DFE9941"/>
    <w:rsid w:val="2F6AB661"/>
    <w:rsid w:val="3AFBBD65"/>
    <w:rsid w:val="3B27503D"/>
    <w:rsid w:val="3DDF30BA"/>
    <w:rsid w:val="3EBFDB89"/>
    <w:rsid w:val="3EFFE616"/>
    <w:rsid w:val="3F2A2404"/>
    <w:rsid w:val="3FAEBEC3"/>
    <w:rsid w:val="4974DE5C"/>
    <w:rsid w:val="4FBD67D7"/>
    <w:rsid w:val="57D7BD4A"/>
    <w:rsid w:val="5AFF723F"/>
    <w:rsid w:val="5BE6AE69"/>
    <w:rsid w:val="5BEF0DA8"/>
    <w:rsid w:val="5DEE4DE6"/>
    <w:rsid w:val="5E9DC0A4"/>
    <w:rsid w:val="5EDE36CD"/>
    <w:rsid w:val="5FEFFFD2"/>
    <w:rsid w:val="5FF9602A"/>
    <w:rsid w:val="5FFD91D3"/>
    <w:rsid w:val="61DEAE2E"/>
    <w:rsid w:val="61E4097A"/>
    <w:rsid w:val="643F4B36"/>
    <w:rsid w:val="64FF8744"/>
    <w:rsid w:val="67F36110"/>
    <w:rsid w:val="6B7FC8E7"/>
    <w:rsid w:val="6BEF3777"/>
    <w:rsid w:val="6CA1A743"/>
    <w:rsid w:val="6DBEAEC2"/>
    <w:rsid w:val="6DFB4657"/>
    <w:rsid w:val="6F979975"/>
    <w:rsid w:val="6FFFA595"/>
    <w:rsid w:val="72EFD37B"/>
    <w:rsid w:val="73CE4289"/>
    <w:rsid w:val="757E64D9"/>
    <w:rsid w:val="75EA442E"/>
    <w:rsid w:val="76DE0A6B"/>
    <w:rsid w:val="77DC4674"/>
    <w:rsid w:val="78AB9AD0"/>
    <w:rsid w:val="78F6C34B"/>
    <w:rsid w:val="7A714B76"/>
    <w:rsid w:val="7AFF88FB"/>
    <w:rsid w:val="7BE82AE9"/>
    <w:rsid w:val="7BEE82AD"/>
    <w:rsid w:val="7BFD9013"/>
    <w:rsid w:val="7BFF036E"/>
    <w:rsid w:val="7CFD1E5B"/>
    <w:rsid w:val="7DEFA165"/>
    <w:rsid w:val="7E9FE1F7"/>
    <w:rsid w:val="7F3FDD67"/>
    <w:rsid w:val="7F4FDF1C"/>
    <w:rsid w:val="7F8D10E1"/>
    <w:rsid w:val="7FAC0291"/>
    <w:rsid w:val="7FB7B67D"/>
    <w:rsid w:val="7FE71BA3"/>
    <w:rsid w:val="7FEF958D"/>
    <w:rsid w:val="7FEFC28D"/>
    <w:rsid w:val="7FF10E91"/>
    <w:rsid w:val="7FFF01CE"/>
    <w:rsid w:val="7FFFA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45"/>
    <w:pPr>
      <w:spacing w:after="160" w:line="259" w:lineRule="auto"/>
    </w:pPr>
    <w:rPr>
      <w:rFonts w:ascii="Calibri" w:eastAsia="Calibri" w:hAnsi="Calibri" w:cs="Calibri"/>
      <w:color w:val="000000"/>
      <w:kern w:val="2"/>
      <w:sz w:val="22"/>
      <w:szCs w:val="22"/>
    </w:rPr>
  </w:style>
  <w:style w:type="paragraph" w:styleId="1">
    <w:name w:val="heading 1"/>
    <w:next w:val="a"/>
    <w:link w:val="1Char"/>
    <w:uiPriority w:val="9"/>
    <w:unhideWhenUsed/>
    <w:qFormat/>
    <w:rsid w:val="00366E45"/>
    <w:pPr>
      <w:keepNext/>
      <w:keepLines/>
      <w:spacing w:after="91" w:line="259" w:lineRule="auto"/>
      <w:ind w:left="10" w:right="3" w:hanging="10"/>
      <w:jc w:val="center"/>
      <w:outlineLvl w:val="0"/>
    </w:pPr>
    <w:rPr>
      <w:rFonts w:ascii="微软雅黑" w:eastAsia="微软雅黑" w:hAnsi="微软雅黑" w:cs="微软雅黑"/>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66E45"/>
    <w:pPr>
      <w:spacing w:after="0" w:line="240" w:lineRule="auto"/>
    </w:pPr>
    <w:rPr>
      <w:sz w:val="18"/>
      <w:szCs w:val="18"/>
    </w:rPr>
  </w:style>
  <w:style w:type="paragraph" w:styleId="a4">
    <w:name w:val="footer"/>
    <w:basedOn w:val="a"/>
    <w:uiPriority w:val="99"/>
    <w:semiHidden/>
    <w:unhideWhenUsed/>
    <w:qFormat/>
    <w:rsid w:val="00366E45"/>
    <w:pPr>
      <w:tabs>
        <w:tab w:val="center" w:pos="4153"/>
        <w:tab w:val="right" w:pos="8306"/>
      </w:tabs>
      <w:snapToGrid w:val="0"/>
    </w:pPr>
    <w:rPr>
      <w:sz w:val="18"/>
    </w:rPr>
  </w:style>
  <w:style w:type="paragraph" w:styleId="a5">
    <w:name w:val="header"/>
    <w:basedOn w:val="a"/>
    <w:uiPriority w:val="99"/>
    <w:semiHidden/>
    <w:unhideWhenUsed/>
    <w:qFormat/>
    <w:rsid w:val="00366E4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6">
    <w:name w:val="Normal (Web)"/>
    <w:basedOn w:val="a"/>
    <w:qFormat/>
    <w:rsid w:val="00366E45"/>
    <w:pPr>
      <w:spacing w:before="100" w:beforeAutospacing="1" w:after="100" w:afterAutospacing="1"/>
    </w:pPr>
    <w:rPr>
      <w:rFonts w:cs="Times New Roman"/>
      <w:kern w:val="0"/>
      <w:sz w:val="24"/>
    </w:rPr>
  </w:style>
  <w:style w:type="character" w:customStyle="1" w:styleId="1Char">
    <w:name w:val="标题 1 Char"/>
    <w:link w:val="1"/>
    <w:qFormat/>
    <w:rsid w:val="00366E45"/>
    <w:rPr>
      <w:rFonts w:ascii="微软雅黑" w:eastAsia="微软雅黑" w:hAnsi="微软雅黑" w:cs="微软雅黑"/>
      <w:color w:val="000000"/>
      <w:sz w:val="44"/>
    </w:rPr>
  </w:style>
  <w:style w:type="character" w:customStyle="1" w:styleId="Char">
    <w:name w:val="批注框文本 Char"/>
    <w:basedOn w:val="a0"/>
    <w:link w:val="a3"/>
    <w:uiPriority w:val="99"/>
    <w:semiHidden/>
    <w:qFormat/>
    <w:rsid w:val="00366E45"/>
    <w:rPr>
      <w:rFonts w:ascii="Calibri" w:eastAsia="Calibri" w:hAnsi="Calibri" w:cs="Calibri"/>
      <w:color w:val="000000"/>
      <w:kern w:val="2"/>
      <w:sz w:val="18"/>
      <w:szCs w:val="18"/>
    </w:rPr>
  </w:style>
  <w:style w:type="paragraph" w:customStyle="1" w:styleId="10">
    <w:name w:val="修订1"/>
    <w:hidden/>
    <w:uiPriority w:val="99"/>
    <w:semiHidden/>
    <w:qFormat/>
    <w:rsid w:val="00366E45"/>
    <w:rPr>
      <w:rFonts w:ascii="Calibri" w:eastAsia="Calibri" w:hAnsi="Calibri" w:cs="Calibri"/>
      <w:color w:val="000000"/>
      <w:kern w:val="2"/>
      <w:sz w:val="22"/>
      <w:szCs w:val="22"/>
    </w:rPr>
  </w:style>
  <w:style w:type="paragraph" w:customStyle="1" w:styleId="2">
    <w:name w:val="修订2"/>
    <w:hidden/>
    <w:uiPriority w:val="99"/>
    <w:semiHidden/>
    <w:qFormat/>
    <w:rsid w:val="00366E45"/>
    <w:rPr>
      <w:rFonts w:ascii="Calibri" w:eastAsia="Calibri" w:hAnsi="Calibri" w:cs="Calibri"/>
      <w:color w:val="000000"/>
      <w:kern w:val="2"/>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8334D74-656E-4EBC-8E6E-9CC16F0D04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9</cp:revision>
  <cp:lastPrinted>2023-12-06T08:06:00Z</cp:lastPrinted>
  <dcterms:created xsi:type="dcterms:W3CDTF">2023-08-16T10:11:00Z</dcterms:created>
  <dcterms:modified xsi:type="dcterms:W3CDTF">2023-12-06T08:35:00Z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7CF525F4500E4DB0ACA04973BD70A764</vt:lpwstr>
  </property>
</Properties>
</file>