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CE351">
      <w:pPr>
        <w:pStyle w:val="6"/>
        <w:spacing w:before="0" w:beforeAutospacing="0" w:after="0" w:afterAutospacing="0" w:line="600" w:lineRule="exact"/>
        <w:rPr>
          <w:rFonts w:ascii="黑体" w:hAnsi="黑体" w:eastAsia="黑体" w:cs="仿宋_GB2312"/>
          <w:color w:val="auto"/>
          <w:kern w:val="2"/>
          <w:sz w:val="32"/>
          <w:szCs w:val="32"/>
        </w:rPr>
      </w:pPr>
      <w:r>
        <w:rPr>
          <w:rFonts w:hint="eastAsia" w:ascii="黑体" w:hAnsi="黑体" w:eastAsia="黑体" w:cs="仿宋_GB2312"/>
          <w:color w:val="auto"/>
          <w:kern w:val="2"/>
          <w:sz w:val="32"/>
          <w:szCs w:val="32"/>
        </w:rPr>
        <w:t>附</w:t>
      </w:r>
      <w:r>
        <w:rPr>
          <w:rFonts w:ascii="黑体" w:hAnsi="黑体" w:eastAsia="黑体" w:cs="仿宋_GB2312"/>
          <w:color w:val="auto"/>
          <w:kern w:val="2"/>
          <w:sz w:val="32"/>
          <w:szCs w:val="32"/>
        </w:rPr>
        <w:t>件</w:t>
      </w:r>
      <w:r>
        <w:rPr>
          <w:rFonts w:hint="eastAsia" w:ascii="黑体" w:hAnsi="黑体" w:eastAsia="黑体" w:cs="仿宋_GB2312"/>
          <w:color w:val="auto"/>
          <w:kern w:val="2"/>
          <w:sz w:val="32"/>
          <w:szCs w:val="32"/>
        </w:rPr>
        <w:t>1</w:t>
      </w:r>
    </w:p>
    <w:p w14:paraId="3A777DD7">
      <w:pPr>
        <w:pStyle w:val="6"/>
        <w:spacing w:before="0" w:beforeAutospacing="0" w:after="0" w:afterAutospacing="0" w:line="600" w:lineRule="exact"/>
        <w:ind w:firstLine="880" w:firstLineChars="200"/>
        <w:rPr>
          <w:rFonts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 xml:space="preserve">               202</w:t>
      </w:r>
      <w:r>
        <w:rPr>
          <w:rFonts w:ascii="方正小标宋_GBK" w:hAnsi="方正小标宋_GBK" w:eastAsia="方正小标宋_GBK" w:cs="方正小标宋_GBK"/>
          <w:color w:val="auto"/>
          <w:sz w:val="44"/>
          <w:szCs w:val="44"/>
        </w:rPr>
        <w:t>3</w:t>
      </w:r>
      <w:r>
        <w:rPr>
          <w:rFonts w:hint="eastAsia" w:ascii="方正小标宋_GBK" w:hAnsi="方正小标宋_GBK" w:eastAsia="方正小标宋_GBK" w:cs="方正小标宋_GBK"/>
          <w:color w:val="auto"/>
          <w:sz w:val="44"/>
          <w:szCs w:val="44"/>
        </w:rPr>
        <w:t>年健康海南行动暨人均预期寿命提升行动</w:t>
      </w:r>
    </w:p>
    <w:p w14:paraId="15A5B85A">
      <w:pPr>
        <w:pStyle w:val="6"/>
        <w:spacing w:before="0" w:beforeAutospacing="0" w:after="0" w:afterAutospacing="0" w:line="600" w:lineRule="exact"/>
        <w:jc w:val="center"/>
        <w:rPr>
          <w:rFonts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监测评估指标体系</w:t>
      </w:r>
    </w:p>
    <w:p w14:paraId="670FE077">
      <w:pPr>
        <w:snapToGrid w:val="0"/>
        <w:spacing w:line="216" w:lineRule="auto"/>
        <w:jc w:val="center"/>
        <w:rPr>
          <w:rFonts w:ascii="方正小标宋简体" w:hAnsi="方正小标宋_GBK" w:eastAsia="方正小标宋简体"/>
          <w:color w:val="auto"/>
          <w:sz w:val="42"/>
        </w:rPr>
      </w:pPr>
    </w:p>
    <w:tbl>
      <w:tblPr>
        <w:tblStyle w:val="7"/>
        <w:tblW w:w="13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8"/>
        <w:gridCol w:w="992"/>
        <w:gridCol w:w="1701"/>
        <w:gridCol w:w="1276"/>
        <w:gridCol w:w="5811"/>
        <w:gridCol w:w="2268"/>
      </w:tblGrid>
      <w:tr w14:paraId="76D5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8" w:hRule="atLeast"/>
          <w:tblHeader/>
          <w:jc w:val="center"/>
        </w:trPr>
        <w:tc>
          <w:tcPr>
            <w:tcW w:w="988" w:type="dxa"/>
            <w:vMerge w:val="restart"/>
            <w:vAlign w:val="center"/>
          </w:tcPr>
          <w:p w14:paraId="1B157335">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维度</w:t>
            </w:r>
          </w:p>
        </w:tc>
        <w:tc>
          <w:tcPr>
            <w:tcW w:w="992" w:type="dxa"/>
            <w:vMerge w:val="restart"/>
            <w:vAlign w:val="center"/>
          </w:tcPr>
          <w:p w14:paraId="36F7CA97">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序号</w:t>
            </w:r>
          </w:p>
        </w:tc>
        <w:tc>
          <w:tcPr>
            <w:tcW w:w="2977" w:type="dxa"/>
            <w:gridSpan w:val="2"/>
            <w:vMerge w:val="restart"/>
            <w:vAlign w:val="center"/>
          </w:tcPr>
          <w:p w14:paraId="75EAD004">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指      标</w:t>
            </w:r>
          </w:p>
        </w:tc>
        <w:tc>
          <w:tcPr>
            <w:tcW w:w="5811" w:type="dxa"/>
            <w:vMerge w:val="restart"/>
            <w:vAlign w:val="center"/>
          </w:tcPr>
          <w:p w14:paraId="0143B528">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指标内涵与计算方法</w:t>
            </w:r>
          </w:p>
        </w:tc>
        <w:tc>
          <w:tcPr>
            <w:tcW w:w="2268" w:type="dxa"/>
            <w:vMerge w:val="restart"/>
            <w:vAlign w:val="center"/>
          </w:tcPr>
          <w:p w14:paraId="5DE292C3">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责任单位（黑体标注为数据报送单位）</w:t>
            </w:r>
          </w:p>
        </w:tc>
      </w:tr>
      <w:tr w14:paraId="3350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tblHeader/>
          <w:jc w:val="center"/>
        </w:trPr>
        <w:tc>
          <w:tcPr>
            <w:tcW w:w="988" w:type="dxa"/>
            <w:vMerge w:val="continue"/>
            <w:vAlign w:val="center"/>
          </w:tcPr>
          <w:p w14:paraId="4131EC56">
            <w:pPr>
              <w:snapToGrid w:val="0"/>
              <w:jc w:val="center"/>
              <w:rPr>
                <w:rFonts w:ascii="CESI黑体-GB2312" w:hAnsi="CESI黑体-GB2312" w:eastAsia="CESI黑体-GB2312" w:cs="CESI黑体-GB2312"/>
                <w:color w:val="auto"/>
                <w:kern w:val="0"/>
                <w:szCs w:val="21"/>
              </w:rPr>
            </w:pPr>
          </w:p>
        </w:tc>
        <w:tc>
          <w:tcPr>
            <w:tcW w:w="992" w:type="dxa"/>
            <w:vMerge w:val="continue"/>
            <w:vAlign w:val="center"/>
          </w:tcPr>
          <w:p w14:paraId="43BBCE3C">
            <w:pPr>
              <w:snapToGrid w:val="0"/>
              <w:jc w:val="center"/>
              <w:rPr>
                <w:rFonts w:ascii="CESI黑体-GB2312" w:hAnsi="CESI黑体-GB2312" w:eastAsia="CESI黑体-GB2312" w:cs="CESI黑体-GB2312"/>
                <w:color w:val="auto"/>
                <w:kern w:val="0"/>
                <w:szCs w:val="21"/>
              </w:rPr>
            </w:pPr>
          </w:p>
        </w:tc>
        <w:tc>
          <w:tcPr>
            <w:tcW w:w="2977" w:type="dxa"/>
            <w:gridSpan w:val="2"/>
            <w:vMerge w:val="continue"/>
            <w:vAlign w:val="center"/>
          </w:tcPr>
          <w:p w14:paraId="293F6488">
            <w:pPr>
              <w:snapToGrid w:val="0"/>
              <w:jc w:val="center"/>
              <w:rPr>
                <w:rFonts w:ascii="CESI黑体-GB2312" w:hAnsi="CESI黑体-GB2312" w:eastAsia="CESI黑体-GB2312" w:cs="CESI黑体-GB2312"/>
                <w:color w:val="auto"/>
                <w:kern w:val="0"/>
                <w:szCs w:val="21"/>
              </w:rPr>
            </w:pPr>
          </w:p>
        </w:tc>
        <w:tc>
          <w:tcPr>
            <w:tcW w:w="5811" w:type="dxa"/>
            <w:vMerge w:val="continue"/>
            <w:vAlign w:val="center"/>
          </w:tcPr>
          <w:p w14:paraId="2FAF7421">
            <w:pPr>
              <w:snapToGrid w:val="0"/>
              <w:jc w:val="center"/>
              <w:rPr>
                <w:rFonts w:ascii="CESI黑体-GB2312" w:hAnsi="CESI黑体-GB2312" w:eastAsia="CESI黑体-GB2312" w:cs="CESI黑体-GB2312"/>
                <w:color w:val="auto"/>
                <w:szCs w:val="21"/>
              </w:rPr>
            </w:pPr>
          </w:p>
        </w:tc>
        <w:tc>
          <w:tcPr>
            <w:tcW w:w="2268" w:type="dxa"/>
            <w:vMerge w:val="continue"/>
            <w:vAlign w:val="center"/>
          </w:tcPr>
          <w:p w14:paraId="75F80A60">
            <w:pPr>
              <w:snapToGrid w:val="0"/>
              <w:jc w:val="center"/>
              <w:rPr>
                <w:rFonts w:ascii="CESI黑体-GB2312" w:hAnsi="CESI黑体-GB2312" w:eastAsia="CESI黑体-GB2312" w:cs="CESI黑体-GB2312"/>
                <w:color w:val="auto"/>
                <w:szCs w:val="21"/>
              </w:rPr>
            </w:pPr>
          </w:p>
        </w:tc>
      </w:tr>
      <w:tr w14:paraId="2B33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restart"/>
            <w:vAlign w:val="center"/>
          </w:tcPr>
          <w:p w14:paraId="57B022E6">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健康影响因素控制</w:t>
            </w:r>
          </w:p>
          <w:p w14:paraId="69EAAA80">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659C2BA5">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w:t>
            </w:r>
          </w:p>
        </w:tc>
        <w:tc>
          <w:tcPr>
            <w:tcW w:w="2977" w:type="dxa"/>
            <w:gridSpan w:val="2"/>
            <w:vAlign w:val="center"/>
          </w:tcPr>
          <w:p w14:paraId="289103BA">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居民健康素养水平（%）</w:t>
            </w:r>
          </w:p>
        </w:tc>
        <w:tc>
          <w:tcPr>
            <w:tcW w:w="5811" w:type="dxa"/>
            <w:vAlign w:val="center"/>
          </w:tcPr>
          <w:p w14:paraId="4AE0F513">
            <w:pPr>
              <w:snapToGrid w:val="0"/>
              <w:spacing w:after="0" w:line="240" w:lineRule="auto"/>
              <w:rPr>
                <w:rFonts w:ascii="仿宋_GB2312" w:hAnsi="仿宋_GB2312" w:eastAsia="仿宋_GB2312" w:cs="仿宋_GB2312"/>
                <w:color w:val="auto"/>
              </w:rPr>
            </w:pPr>
            <w:r>
              <w:rPr>
                <w:rFonts w:ascii="仿宋_GB2312" w:hAnsi="仿宋_GB2312" w:eastAsia="仿宋_GB2312" w:cs="仿宋_GB2312"/>
                <w:color w:val="auto"/>
              </w:rPr>
              <w:t>健康素养是指个人获取和理解基本健康信息和服务，并运用这些信息和服务</w:t>
            </w:r>
            <w:r>
              <w:rPr>
                <w:rFonts w:hint="eastAsia" w:ascii="仿宋_GB2312" w:hAnsi="仿宋_GB2312" w:eastAsia="仿宋_GB2312" w:cs="仿宋_GB2312"/>
                <w:color w:val="auto"/>
              </w:rPr>
              <w:t>做</w:t>
            </w:r>
            <w:r>
              <w:rPr>
                <w:rFonts w:ascii="仿宋_GB2312" w:hAnsi="仿宋_GB2312" w:eastAsia="仿宋_GB2312" w:cs="仿宋_GB2312"/>
                <w:color w:val="auto"/>
              </w:rPr>
              <w:t>出正确决策，以维护和促进自身健康的能力。</w:t>
            </w:r>
          </w:p>
          <w:p w14:paraId="7F35888C">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根据人口特征加权计算后，具备基本健康素养的人数/监测人群总人数×100。</w:t>
            </w:r>
          </w:p>
        </w:tc>
        <w:tc>
          <w:tcPr>
            <w:tcW w:w="2268" w:type="dxa"/>
            <w:vAlign w:val="center"/>
          </w:tcPr>
          <w:p w14:paraId="4B14AFD1">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省卫生健康委</w:t>
            </w:r>
          </w:p>
          <w:p w14:paraId="131D940A">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健康促进处</w:t>
            </w:r>
          </w:p>
        </w:tc>
      </w:tr>
      <w:tr w14:paraId="39E1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26" w:hRule="atLeast"/>
          <w:jc w:val="center"/>
        </w:trPr>
        <w:tc>
          <w:tcPr>
            <w:tcW w:w="988" w:type="dxa"/>
            <w:vMerge w:val="continue"/>
            <w:vAlign w:val="center"/>
          </w:tcPr>
          <w:p w14:paraId="6019BC22">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0512FB5B">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w:t>
            </w:r>
          </w:p>
        </w:tc>
        <w:tc>
          <w:tcPr>
            <w:tcW w:w="2977" w:type="dxa"/>
            <w:gridSpan w:val="2"/>
            <w:vAlign w:val="center"/>
          </w:tcPr>
          <w:p w14:paraId="0261C4CD">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构</w:t>
            </w:r>
            <w:r>
              <w:rPr>
                <w:rFonts w:ascii="仿宋_GB2312" w:hAnsi="仿宋_GB2312" w:eastAsia="仿宋_GB2312" w:cs="仿宋_GB2312"/>
                <w:color w:val="auto"/>
                <w:kern w:val="0"/>
                <w:szCs w:val="21"/>
              </w:rPr>
              <w:t>建健康科普知识发布和传播机制</w:t>
            </w:r>
          </w:p>
        </w:tc>
        <w:tc>
          <w:tcPr>
            <w:tcW w:w="5811" w:type="dxa"/>
            <w:vAlign w:val="center"/>
          </w:tcPr>
          <w:p w14:paraId="057A1EB5">
            <w:pPr>
              <w:snapToGrid w:val="0"/>
              <w:spacing w:after="0" w:line="240" w:lineRule="auto"/>
              <w:rPr>
                <w:rFonts w:ascii="仿宋_GB2312" w:hAnsi="仿宋_GB2312" w:eastAsia="仿宋_GB2312" w:cs="仿宋_GB2312"/>
                <w:color w:val="auto"/>
              </w:rPr>
            </w:pPr>
            <w:r>
              <w:rPr>
                <w:rFonts w:hint="eastAsia" w:ascii="仿宋_GB2312" w:hAnsi="仿宋_GB2312" w:eastAsia="仿宋_GB2312" w:cs="仿宋_GB2312"/>
                <w:color w:val="auto"/>
              </w:rPr>
              <w:t>构</w:t>
            </w:r>
            <w:r>
              <w:rPr>
                <w:rFonts w:ascii="仿宋_GB2312" w:hAnsi="仿宋_GB2312" w:eastAsia="仿宋_GB2312" w:cs="仿宋_GB2312"/>
                <w:color w:val="auto"/>
              </w:rPr>
              <w:t>建健康科普知识发布和传播的机制。</w:t>
            </w:r>
            <w:r>
              <w:rPr>
                <w:rFonts w:hint="eastAsia" w:ascii="仿宋_GB2312" w:hAnsi="仿宋_GB2312" w:eastAsia="仿宋_GB2312" w:cs="仿宋_GB2312"/>
                <w:color w:val="auto"/>
              </w:rPr>
              <w:t>计算方</w:t>
            </w:r>
            <w:r>
              <w:rPr>
                <w:rFonts w:ascii="仿宋_GB2312" w:hAnsi="仿宋_GB2312" w:eastAsia="仿宋_GB2312" w:cs="仿宋_GB2312"/>
                <w:color w:val="auto"/>
              </w:rPr>
              <w:t>法：是否</w:t>
            </w:r>
            <w:r>
              <w:rPr>
                <w:rFonts w:hint="eastAsia" w:ascii="仿宋_GB2312" w:hAnsi="仿宋_GB2312" w:eastAsia="仿宋_GB2312" w:cs="仿宋_GB2312"/>
                <w:color w:val="auto"/>
              </w:rPr>
              <w:t>构建</w:t>
            </w:r>
            <w:r>
              <w:rPr>
                <w:rFonts w:ascii="仿宋_GB2312" w:hAnsi="仿宋_GB2312" w:eastAsia="仿宋_GB2312" w:cs="仿宋_GB2312"/>
                <w:color w:val="auto"/>
              </w:rPr>
              <w:t>（佐证材料）。</w:t>
            </w:r>
          </w:p>
        </w:tc>
        <w:tc>
          <w:tcPr>
            <w:tcW w:w="2268" w:type="dxa"/>
            <w:vAlign w:val="center"/>
          </w:tcPr>
          <w:p w14:paraId="7D4C8DC4">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省卫生健康委</w:t>
            </w:r>
          </w:p>
          <w:p w14:paraId="394D5DA5">
            <w:pPr>
              <w:snapToGrid w:val="0"/>
              <w:spacing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kern w:val="0"/>
                <w:szCs w:val="21"/>
              </w:rPr>
              <w:t>健康促进处</w:t>
            </w:r>
          </w:p>
        </w:tc>
      </w:tr>
      <w:tr w14:paraId="688C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833" w:hRule="atLeast"/>
          <w:jc w:val="center"/>
        </w:trPr>
        <w:tc>
          <w:tcPr>
            <w:tcW w:w="988" w:type="dxa"/>
            <w:vMerge w:val="continue"/>
            <w:vAlign w:val="center"/>
          </w:tcPr>
          <w:p w14:paraId="02B47D47">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370E1116">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3</w:t>
            </w:r>
          </w:p>
        </w:tc>
        <w:tc>
          <w:tcPr>
            <w:tcW w:w="2977" w:type="dxa"/>
            <w:gridSpan w:val="2"/>
            <w:vAlign w:val="center"/>
          </w:tcPr>
          <w:p w14:paraId="27F05E86">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经常参加体育锻炼人数比例（%）</w:t>
            </w:r>
          </w:p>
        </w:tc>
        <w:tc>
          <w:tcPr>
            <w:tcW w:w="5811" w:type="dxa"/>
            <w:vAlign w:val="center"/>
          </w:tcPr>
          <w:p w14:paraId="4F7B8FC0">
            <w:pPr>
              <w:snapToGrid w:val="0"/>
              <w:spacing w:after="0" w:line="240" w:lineRule="auto"/>
              <w:rPr>
                <w:rFonts w:ascii="仿宋_GB2312" w:hAnsi="仿宋_GB2312" w:eastAsia="仿宋_GB2312" w:cs="仿宋_GB2312"/>
                <w:color w:val="auto"/>
              </w:rPr>
            </w:pPr>
            <w:r>
              <w:rPr>
                <w:rFonts w:ascii="仿宋_GB2312" w:hAnsi="仿宋_GB2312" w:eastAsia="仿宋_GB2312" w:cs="仿宋_GB2312"/>
                <w:color w:val="auto"/>
              </w:rPr>
              <w:t>指每周参加体育锻炼频度3次及以上，每次体育锻炼持续时间30分钟及以上，每次体育锻炼的运动强度达到中等及以上的人口比例（含在校学生）。其中，中等运动强度是指在运动时心率达到最大心率的64%～76%的运动强度（最大心率等于220减去年龄）。</w:t>
            </w:r>
          </w:p>
          <w:p w14:paraId="4E2C7EF8">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经常参加体育锻炼的人数比例=经常参加体育锻炼的人数（含学生）/年末人口数（含学生）×100。</w:t>
            </w:r>
          </w:p>
        </w:tc>
        <w:tc>
          <w:tcPr>
            <w:tcW w:w="2268" w:type="dxa"/>
            <w:vAlign w:val="center"/>
          </w:tcPr>
          <w:p w14:paraId="5ABEED38">
            <w:pPr>
              <w:snapToGrid w:val="0"/>
              <w:spacing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省旅游和文化广电体育厅</w:t>
            </w:r>
          </w:p>
        </w:tc>
      </w:tr>
      <w:tr w14:paraId="285C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7" w:hRule="atLeast"/>
          <w:jc w:val="center"/>
        </w:trPr>
        <w:tc>
          <w:tcPr>
            <w:tcW w:w="988" w:type="dxa"/>
            <w:vMerge w:val="continue"/>
            <w:vAlign w:val="center"/>
          </w:tcPr>
          <w:p w14:paraId="3701AA4A">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70380BF2">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4</w:t>
            </w:r>
            <w:r>
              <w:rPr>
                <w:rFonts w:hint="eastAsia" w:ascii="仿宋_GB2312" w:hAnsi="仿宋_GB2312" w:eastAsia="仿宋_GB2312" w:cs="仿宋_GB2312"/>
                <w:color w:val="auto"/>
                <w:kern w:val="0"/>
                <w:szCs w:val="21"/>
              </w:rPr>
              <w:t>＊</w:t>
            </w:r>
          </w:p>
        </w:tc>
        <w:tc>
          <w:tcPr>
            <w:tcW w:w="2977" w:type="dxa"/>
            <w:gridSpan w:val="2"/>
            <w:vAlign w:val="center"/>
          </w:tcPr>
          <w:p w14:paraId="6E87C3F8">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人均体育场地面积（平方米）</w:t>
            </w:r>
          </w:p>
        </w:tc>
        <w:tc>
          <w:tcPr>
            <w:tcW w:w="5811" w:type="dxa"/>
            <w:vAlign w:val="center"/>
          </w:tcPr>
          <w:p w14:paraId="2785C1CF">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体育场地面积指可供开展体育训练、比赛、健身活动的场地有效面积。</w:t>
            </w:r>
          </w:p>
          <w:p w14:paraId="14CC64B9">
            <w:pPr>
              <w:snapToGrid w:val="0"/>
              <w:spacing w:after="0" w:line="240" w:lineRule="auto"/>
              <w:rPr>
                <w:rFonts w:ascii="仿宋_GB2312" w:hAnsi="仿宋_GB2312" w:eastAsia="仿宋_GB2312" w:cs="仿宋_GB2312"/>
                <w:color w:val="auto"/>
                <w:kern w:val="0"/>
                <w:szCs w:val="21"/>
              </w:rPr>
            </w:pPr>
            <w:r>
              <w:rPr>
                <w:rFonts w:hint="eastAsia" w:ascii="仿宋_GB2312" w:hAnsi="等线" w:eastAsia="仿宋_GB2312" w:cs="仿宋_GB2312"/>
                <w:color w:val="auto"/>
                <w:kern w:val="0"/>
                <w:szCs w:val="21"/>
              </w:rPr>
              <w:t xml:space="preserve">体育场地面积/区域常住人口数。  </w:t>
            </w:r>
          </w:p>
        </w:tc>
        <w:tc>
          <w:tcPr>
            <w:tcW w:w="2268" w:type="dxa"/>
            <w:vAlign w:val="center"/>
          </w:tcPr>
          <w:p w14:paraId="2AAA379E">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省旅游和文化广电体育厅</w:t>
            </w:r>
          </w:p>
        </w:tc>
      </w:tr>
      <w:tr w14:paraId="47A9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988" w:type="dxa"/>
            <w:vMerge w:val="restart"/>
            <w:vAlign w:val="center"/>
          </w:tcPr>
          <w:p w14:paraId="4E0D5A3F">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健康影响因素控制</w:t>
            </w:r>
          </w:p>
          <w:p w14:paraId="065A1EEE">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4036EE96">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5</w:t>
            </w:r>
            <w:r>
              <w:rPr>
                <w:rFonts w:hint="eastAsia" w:ascii="仿宋_GB2312" w:hAnsi="仿宋_GB2312" w:eastAsia="仿宋_GB2312" w:cs="仿宋_GB2312"/>
                <w:color w:val="auto"/>
                <w:kern w:val="0"/>
                <w:szCs w:val="21"/>
              </w:rPr>
              <w:t>＊</w:t>
            </w:r>
          </w:p>
        </w:tc>
        <w:tc>
          <w:tcPr>
            <w:tcW w:w="2977" w:type="dxa"/>
            <w:gridSpan w:val="2"/>
            <w:vAlign w:val="center"/>
          </w:tcPr>
          <w:p w14:paraId="5765501F">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15岁以上人群吸烟率（%）</w:t>
            </w:r>
          </w:p>
        </w:tc>
        <w:tc>
          <w:tcPr>
            <w:tcW w:w="5811" w:type="dxa"/>
            <w:vAlign w:val="center"/>
          </w:tcPr>
          <w:p w14:paraId="21D4B6C3">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调查15岁及以上人群中现在吸烟者所占比例。</w:t>
            </w:r>
          </w:p>
          <w:p w14:paraId="7C952C9B">
            <w:pPr>
              <w:snapToGrid w:val="0"/>
              <w:spacing w:after="0" w:line="240" w:lineRule="auto"/>
              <w:rPr>
                <w:rFonts w:ascii="仿宋_GB2312" w:hAnsi="仿宋_GB2312" w:eastAsia="仿宋_GB2312" w:cs="仿宋_GB2312"/>
                <w:color w:val="auto"/>
                <w:kern w:val="0"/>
                <w:szCs w:val="21"/>
              </w:rPr>
            </w:pPr>
            <w:r>
              <w:rPr>
                <w:rFonts w:hint="eastAsia" w:ascii="仿宋_GB2312" w:hAnsi="等线" w:eastAsia="仿宋_GB2312" w:cs="仿宋_GB2312"/>
                <w:color w:val="auto"/>
                <w:kern w:val="0"/>
                <w:szCs w:val="21"/>
              </w:rPr>
              <w:t>15岁及以上现在吸烟者/15岁及以上人口数的比例×100。</w:t>
            </w:r>
          </w:p>
        </w:tc>
        <w:tc>
          <w:tcPr>
            <w:tcW w:w="2268" w:type="dxa"/>
            <w:vAlign w:val="center"/>
          </w:tcPr>
          <w:p w14:paraId="65F0577D">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省爱卫办</w:t>
            </w:r>
          </w:p>
        </w:tc>
      </w:tr>
      <w:tr w14:paraId="4E7F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988" w:type="dxa"/>
            <w:vMerge w:val="continue"/>
            <w:vAlign w:val="center"/>
          </w:tcPr>
          <w:p w14:paraId="10CA900B">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78887F10">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6</w:t>
            </w:r>
          </w:p>
        </w:tc>
        <w:tc>
          <w:tcPr>
            <w:tcW w:w="2977" w:type="dxa"/>
            <w:gridSpan w:val="2"/>
            <w:vAlign w:val="center"/>
          </w:tcPr>
          <w:p w14:paraId="47B9E15E">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无烟党政机关建成率（%）</w:t>
            </w:r>
          </w:p>
        </w:tc>
        <w:tc>
          <w:tcPr>
            <w:tcW w:w="5811" w:type="dxa"/>
            <w:vAlign w:val="center"/>
          </w:tcPr>
          <w:p w14:paraId="43DADCDF">
            <w:pPr>
              <w:spacing w:after="0" w:line="240" w:lineRule="auto"/>
              <w:textAlignment w:val="center"/>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无烟党政机关是指至少满足以下四个基本要求的党政机关：制订无烟机关建设管理制度；室内区域全面禁止吸烟，若有室外吸烟区应当规范设置；机关范围内禁止销售烟草制品，无烟草广告；机关无烟草赞助。</w:t>
            </w:r>
          </w:p>
          <w:p w14:paraId="439FA11F">
            <w:pPr>
              <w:spacing w:after="0" w:line="240" w:lineRule="auto"/>
              <w:textAlignment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无烟党政机关数量/党政机关总数×100。</w:t>
            </w:r>
          </w:p>
        </w:tc>
        <w:tc>
          <w:tcPr>
            <w:tcW w:w="2268" w:type="dxa"/>
            <w:vAlign w:val="center"/>
          </w:tcPr>
          <w:p w14:paraId="272C4812">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省爱卫办</w:t>
            </w:r>
          </w:p>
        </w:tc>
      </w:tr>
      <w:tr w14:paraId="6D52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1" w:hRule="atLeast"/>
          <w:jc w:val="center"/>
        </w:trPr>
        <w:tc>
          <w:tcPr>
            <w:tcW w:w="988" w:type="dxa"/>
            <w:vMerge w:val="continue"/>
            <w:vAlign w:val="center"/>
          </w:tcPr>
          <w:p w14:paraId="0EA35D82">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6FAADDCB">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7</w:t>
            </w:r>
          </w:p>
        </w:tc>
        <w:tc>
          <w:tcPr>
            <w:tcW w:w="2977" w:type="dxa"/>
            <w:gridSpan w:val="2"/>
            <w:vAlign w:val="center"/>
          </w:tcPr>
          <w:p w14:paraId="594FD99C">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居民心理健康素养水平（%）</w:t>
            </w:r>
          </w:p>
        </w:tc>
        <w:tc>
          <w:tcPr>
            <w:tcW w:w="5811" w:type="dxa"/>
            <w:vAlign w:val="center"/>
          </w:tcPr>
          <w:p w14:paraId="180029AF">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根据国家卫生健康委发布的《心理健康素养十条》，居民对心理健康核心知识的知晓情况、认可程度、行为变化等。</w:t>
            </w:r>
          </w:p>
          <w:p w14:paraId="0AAFAEE7">
            <w:pPr>
              <w:snapToGrid w:val="0"/>
              <w:spacing w:after="0" w:line="240" w:lineRule="auto"/>
              <w:rPr>
                <w:rFonts w:ascii="仿宋_GB2312" w:hAnsi="仿宋_GB2312" w:eastAsia="仿宋_GB2312" w:cs="仿宋_GB2312"/>
                <w:color w:val="auto"/>
                <w:szCs w:val="21"/>
              </w:rPr>
            </w:pPr>
            <w:r>
              <w:rPr>
                <w:rFonts w:hint="eastAsia" w:ascii="仿宋_GB2312" w:hAnsi="等线" w:eastAsia="仿宋_GB2312" w:cs="仿宋_GB2312"/>
                <w:color w:val="auto"/>
                <w:kern w:val="0"/>
                <w:szCs w:val="21"/>
              </w:rPr>
              <w:t>心理健康素养达标人数/被调查人数×100。</w:t>
            </w:r>
          </w:p>
        </w:tc>
        <w:tc>
          <w:tcPr>
            <w:tcW w:w="2268" w:type="dxa"/>
            <w:vAlign w:val="center"/>
          </w:tcPr>
          <w:p w14:paraId="54F8FEF4">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省卫生健康委医政处</w:t>
            </w:r>
          </w:p>
        </w:tc>
      </w:tr>
      <w:tr w14:paraId="74B2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02" w:hRule="atLeast"/>
          <w:jc w:val="center"/>
        </w:trPr>
        <w:tc>
          <w:tcPr>
            <w:tcW w:w="988" w:type="dxa"/>
            <w:vMerge w:val="continue"/>
            <w:vAlign w:val="center"/>
          </w:tcPr>
          <w:p w14:paraId="799CBA50">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602B6A8D">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8</w:t>
            </w:r>
          </w:p>
        </w:tc>
        <w:tc>
          <w:tcPr>
            <w:tcW w:w="2977" w:type="dxa"/>
            <w:gridSpan w:val="2"/>
            <w:vAlign w:val="center"/>
          </w:tcPr>
          <w:p w14:paraId="465C6B5F">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精神科执业（助理）医师（名/10万人）</w:t>
            </w:r>
          </w:p>
        </w:tc>
        <w:tc>
          <w:tcPr>
            <w:tcW w:w="5811" w:type="dxa"/>
            <w:vAlign w:val="center"/>
          </w:tcPr>
          <w:p w14:paraId="72D3C61C">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每10万人中可提供服务的精神科执业（助理）医师人数。</w:t>
            </w:r>
          </w:p>
          <w:p w14:paraId="7EB6C698">
            <w:pPr>
              <w:snapToGrid w:val="0"/>
              <w:spacing w:after="0" w:line="240" w:lineRule="auto"/>
              <w:rPr>
                <w:rFonts w:ascii="仿宋_GB2312" w:hAnsi="仿宋_GB2312" w:eastAsia="仿宋_GB2312" w:cs="仿宋_GB2312"/>
                <w:color w:val="auto"/>
                <w:kern w:val="0"/>
                <w:szCs w:val="21"/>
              </w:rPr>
            </w:pPr>
            <w:r>
              <w:rPr>
                <w:rFonts w:hint="eastAsia" w:ascii="仿宋_GB2312" w:hAnsi="等线" w:eastAsia="仿宋_GB2312" w:cs="仿宋_GB2312"/>
                <w:color w:val="auto"/>
                <w:kern w:val="0"/>
                <w:szCs w:val="21"/>
              </w:rPr>
              <w:t>我省</w:t>
            </w:r>
            <w:r>
              <w:rPr>
                <w:rFonts w:hint="eastAsia" w:ascii="仿宋_GB2312" w:hAnsi="仿宋_GB2312" w:eastAsia="仿宋_GB2312" w:cs="仿宋_GB2312"/>
                <w:color w:val="auto"/>
                <w:kern w:val="0"/>
                <w:szCs w:val="21"/>
              </w:rPr>
              <w:t>精神科执业（助理）医师人数/人口总数×10</w:t>
            </w:r>
            <w:r>
              <w:rPr>
                <w:rFonts w:ascii="仿宋_GB2312" w:hAnsi="仿宋_GB2312" w:eastAsia="仿宋_GB2312" w:cs="仿宋_GB2312"/>
                <w:color w:val="auto"/>
                <w:kern w:val="0"/>
                <w:szCs w:val="21"/>
              </w:rPr>
              <w:t>0000</w:t>
            </w:r>
            <w:r>
              <w:rPr>
                <w:rFonts w:hint="eastAsia" w:ascii="仿宋_GB2312" w:hAnsi="仿宋_GB2312" w:eastAsia="仿宋_GB2312" w:cs="仿宋_GB2312"/>
                <w:color w:val="auto"/>
                <w:kern w:val="0"/>
                <w:szCs w:val="21"/>
              </w:rPr>
              <w:t>。</w:t>
            </w:r>
          </w:p>
        </w:tc>
        <w:tc>
          <w:tcPr>
            <w:tcW w:w="2268" w:type="dxa"/>
            <w:vAlign w:val="center"/>
          </w:tcPr>
          <w:p w14:paraId="7EC32C07">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省卫生健康委医政处</w:t>
            </w:r>
          </w:p>
        </w:tc>
      </w:tr>
      <w:tr w14:paraId="79A3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vAlign w:val="center"/>
          </w:tcPr>
          <w:p w14:paraId="3896B18A">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10754A21">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9</w:t>
            </w:r>
            <w:r>
              <w:rPr>
                <w:rFonts w:hint="eastAsia" w:ascii="仿宋_GB2312" w:hAnsi="仿宋_GB2312" w:eastAsia="仿宋_GB2312" w:cs="仿宋_GB2312"/>
                <w:color w:val="auto"/>
                <w:kern w:val="0"/>
                <w:szCs w:val="21"/>
              </w:rPr>
              <w:t>＊</w:t>
            </w:r>
          </w:p>
        </w:tc>
        <w:tc>
          <w:tcPr>
            <w:tcW w:w="2977" w:type="dxa"/>
            <w:gridSpan w:val="2"/>
            <w:vAlign w:val="center"/>
          </w:tcPr>
          <w:p w14:paraId="189C2C77">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居民饮用水水质达标率（%）</w:t>
            </w:r>
          </w:p>
        </w:tc>
        <w:tc>
          <w:tcPr>
            <w:tcW w:w="5811" w:type="dxa"/>
            <w:vAlign w:val="center"/>
          </w:tcPr>
          <w:p w14:paraId="44441E3C">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根据传染病防治法，供水单位供应的饮用水应符合生活饮用水卫生标准相关要求。包括出厂水和末梢水水质达标状况。</w:t>
            </w:r>
          </w:p>
          <w:p w14:paraId="6E281733">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符合生活饮用水卫生标准要求的水样数量/监测的水样数量×100</w:t>
            </w:r>
            <w:r>
              <w:rPr>
                <w:rFonts w:ascii="仿宋_GB2312" w:hAnsi="仿宋_GB2312" w:eastAsia="仿宋_GB2312" w:cs="仿宋_GB2312"/>
                <w:color w:val="auto"/>
                <w:kern w:val="0"/>
                <w:szCs w:val="21"/>
              </w:rPr>
              <w:t>。</w:t>
            </w:r>
          </w:p>
        </w:tc>
        <w:tc>
          <w:tcPr>
            <w:tcW w:w="2268" w:type="dxa"/>
            <w:vAlign w:val="center"/>
          </w:tcPr>
          <w:p w14:paraId="70974211">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w:t>
            </w:r>
            <w:r>
              <w:rPr>
                <w:rFonts w:ascii="CESI黑体-GB2312" w:hAnsi="CESI黑体-GB2312" w:eastAsia="CESI黑体-GB2312" w:cs="CESI黑体-GB2312"/>
                <w:color w:val="auto"/>
                <w:szCs w:val="21"/>
              </w:rPr>
              <w:t>疾控</w:t>
            </w:r>
            <w:r>
              <w:rPr>
                <w:rFonts w:hint="eastAsia" w:ascii="CESI黑体-GB2312" w:hAnsi="CESI黑体-GB2312" w:eastAsia="CESI黑体-GB2312" w:cs="CESI黑体-GB2312"/>
                <w:color w:val="auto"/>
                <w:szCs w:val="21"/>
              </w:rPr>
              <w:t>局，</w:t>
            </w:r>
            <w:r>
              <w:rPr>
                <w:rFonts w:ascii="仿宋_GB2312" w:hAnsi="仿宋_GB2312" w:eastAsia="仿宋_GB2312" w:cs="仿宋_GB2312"/>
                <w:color w:val="auto"/>
                <w:kern w:val="0"/>
                <w:szCs w:val="21"/>
              </w:rPr>
              <w:t>省</w:t>
            </w:r>
            <w:r>
              <w:rPr>
                <w:rFonts w:hint="eastAsia" w:ascii="仿宋_GB2312" w:hAnsi="仿宋_GB2312" w:eastAsia="仿宋_GB2312" w:cs="仿宋_GB2312"/>
                <w:color w:val="auto"/>
                <w:kern w:val="0"/>
                <w:szCs w:val="21"/>
              </w:rPr>
              <w:t>住建厅，省水务厅</w:t>
            </w:r>
          </w:p>
        </w:tc>
      </w:tr>
      <w:tr w14:paraId="7CC2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13" w:hRule="atLeast"/>
          <w:jc w:val="center"/>
        </w:trPr>
        <w:tc>
          <w:tcPr>
            <w:tcW w:w="988" w:type="dxa"/>
            <w:vMerge w:val="continue"/>
            <w:vAlign w:val="center"/>
          </w:tcPr>
          <w:p w14:paraId="314222BE">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54460181">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10</w:t>
            </w:r>
            <w:r>
              <w:rPr>
                <w:rFonts w:hint="eastAsia" w:ascii="仿宋_GB2312" w:hAnsi="仿宋_GB2312" w:eastAsia="仿宋_GB2312" w:cs="仿宋_GB2312"/>
                <w:color w:val="auto"/>
                <w:kern w:val="0"/>
                <w:szCs w:val="21"/>
              </w:rPr>
              <w:t>＊</w:t>
            </w:r>
          </w:p>
        </w:tc>
        <w:tc>
          <w:tcPr>
            <w:tcW w:w="2977" w:type="dxa"/>
            <w:gridSpan w:val="2"/>
            <w:vAlign w:val="center"/>
          </w:tcPr>
          <w:p w14:paraId="30AE33C1">
            <w:pPr>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农村自来水普及率（%）</w:t>
            </w:r>
          </w:p>
        </w:tc>
        <w:tc>
          <w:tcPr>
            <w:tcW w:w="5811" w:type="dxa"/>
            <w:vAlign w:val="center"/>
          </w:tcPr>
          <w:p w14:paraId="48340D5D">
            <w:pPr>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某区域农村集中供水工程和城市供水管网延伸工程供水到户（含小区或院子）的农村人口占农村供水总人口的比例。</w:t>
            </w:r>
          </w:p>
          <w:p w14:paraId="1B2B3370">
            <w:pPr>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农村集中供水工程与城市供水管网延伸工程供水到户（含小区或院子）的农村人口之和/农村供水总人口×100。</w:t>
            </w:r>
          </w:p>
        </w:tc>
        <w:tc>
          <w:tcPr>
            <w:tcW w:w="2268" w:type="dxa"/>
            <w:vAlign w:val="center"/>
          </w:tcPr>
          <w:p w14:paraId="25BE2BDB">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省水务厅</w:t>
            </w:r>
          </w:p>
        </w:tc>
      </w:tr>
      <w:tr w14:paraId="62DA6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24" w:hRule="atLeast"/>
          <w:jc w:val="center"/>
        </w:trPr>
        <w:tc>
          <w:tcPr>
            <w:tcW w:w="988" w:type="dxa"/>
            <w:vMerge w:val="continue"/>
            <w:vAlign w:val="center"/>
          </w:tcPr>
          <w:p w14:paraId="649065AB">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65C60F9D">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11</w:t>
            </w:r>
            <w:r>
              <w:rPr>
                <w:rFonts w:hint="eastAsia" w:ascii="仿宋_GB2312" w:hAnsi="仿宋_GB2312" w:eastAsia="仿宋_GB2312" w:cs="仿宋_GB2312"/>
                <w:color w:val="auto"/>
                <w:kern w:val="0"/>
                <w:szCs w:val="21"/>
              </w:rPr>
              <w:t>＊</w:t>
            </w:r>
          </w:p>
        </w:tc>
        <w:tc>
          <w:tcPr>
            <w:tcW w:w="2977" w:type="dxa"/>
            <w:gridSpan w:val="2"/>
            <w:vAlign w:val="center"/>
          </w:tcPr>
          <w:p w14:paraId="5BF43C22">
            <w:pPr>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地表水质量达到或好于Ⅲ类水体比例（%）</w:t>
            </w:r>
          </w:p>
        </w:tc>
        <w:tc>
          <w:tcPr>
            <w:tcW w:w="5811" w:type="dxa"/>
            <w:vAlign w:val="center"/>
          </w:tcPr>
          <w:p w14:paraId="2AC07E2A">
            <w:pPr>
              <w:spacing w:after="0" w:line="240" w:lineRule="auto"/>
              <w:rPr>
                <w:rFonts w:ascii="仿宋_GB2312" w:hAnsi="等线" w:eastAsia="仿宋_GB2312" w:cs="仿宋_GB2312"/>
                <w:color w:val="auto"/>
                <w:kern w:val="0"/>
                <w:szCs w:val="21"/>
              </w:rPr>
            </w:pPr>
            <w:r>
              <w:rPr>
                <w:rFonts w:hint="eastAsia" w:ascii="仿宋_GB2312" w:hAnsi="仿宋_GB2312" w:eastAsia="仿宋_GB2312" w:cs="仿宋_GB2312"/>
                <w:color w:val="auto"/>
                <w:kern w:val="0"/>
                <w:szCs w:val="21"/>
              </w:rPr>
              <w:t xml:space="preserve">行政区域内地表水国考监测断面或点位中水质为Ⅰ-Ⅲ类的水体比例。 </w:t>
            </w:r>
          </w:p>
        </w:tc>
        <w:tc>
          <w:tcPr>
            <w:tcW w:w="2268" w:type="dxa"/>
            <w:vAlign w:val="center"/>
          </w:tcPr>
          <w:p w14:paraId="1DDDD133">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省生态环境厅</w:t>
            </w:r>
          </w:p>
        </w:tc>
      </w:tr>
      <w:tr w14:paraId="705D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24" w:hRule="atLeast"/>
          <w:jc w:val="center"/>
        </w:trPr>
        <w:tc>
          <w:tcPr>
            <w:tcW w:w="988" w:type="dxa"/>
            <w:vMerge w:val="continue"/>
            <w:vAlign w:val="center"/>
          </w:tcPr>
          <w:p w14:paraId="1509944E">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3FF3A85E">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12</w:t>
            </w:r>
            <w:r>
              <w:rPr>
                <w:rFonts w:hint="eastAsia" w:ascii="仿宋_GB2312" w:hAnsi="仿宋_GB2312" w:eastAsia="仿宋_GB2312" w:cs="仿宋_GB2312"/>
                <w:color w:val="auto"/>
                <w:kern w:val="0"/>
                <w:szCs w:val="21"/>
              </w:rPr>
              <w:t>＊</w:t>
            </w:r>
          </w:p>
        </w:tc>
        <w:tc>
          <w:tcPr>
            <w:tcW w:w="2977" w:type="dxa"/>
            <w:gridSpan w:val="2"/>
            <w:vAlign w:val="center"/>
          </w:tcPr>
          <w:p w14:paraId="00E3C9FE">
            <w:pPr>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农村卫生厕所普及率（%）</w:t>
            </w:r>
          </w:p>
        </w:tc>
        <w:tc>
          <w:tcPr>
            <w:tcW w:w="5811" w:type="dxa"/>
            <w:vAlign w:val="center"/>
          </w:tcPr>
          <w:p w14:paraId="53CC53B0">
            <w:pPr>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使用卫生厕所的农户数占当地总农户数的百分比。</w:t>
            </w:r>
          </w:p>
          <w:p w14:paraId="5407332B">
            <w:pPr>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农村卫生厕所普及率=使用卫生厕所的农户数/当地总农户数×100。</w:t>
            </w:r>
          </w:p>
        </w:tc>
        <w:tc>
          <w:tcPr>
            <w:tcW w:w="2268" w:type="dxa"/>
            <w:vAlign w:val="center"/>
          </w:tcPr>
          <w:p w14:paraId="5CFAD4C0">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省住建厅</w:t>
            </w:r>
          </w:p>
        </w:tc>
      </w:tr>
      <w:tr w14:paraId="548F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3" w:hRule="atLeast"/>
          <w:jc w:val="center"/>
        </w:trPr>
        <w:tc>
          <w:tcPr>
            <w:tcW w:w="988" w:type="dxa"/>
            <w:vMerge w:val="restart"/>
            <w:vAlign w:val="center"/>
          </w:tcPr>
          <w:p w14:paraId="087FEF6F">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健康影响因素控制</w:t>
            </w:r>
          </w:p>
          <w:p w14:paraId="00032C0C">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4CC82445">
            <w:pPr>
              <w:snapToGrid w:val="0"/>
              <w:spacing w:after="0" w:line="240" w:lineRule="auto"/>
              <w:jc w:val="center"/>
              <w:rPr>
                <w:rFonts w:ascii="仿宋_GB2312" w:hAnsi="仿宋_GB2312" w:eastAsia="仿宋_GB2312" w:cs="仿宋_GB2312"/>
                <w:color w:val="000000" w:themeColor="text1"/>
                <w:kern w:val="0"/>
                <w:szCs w:val="21"/>
              </w:rPr>
            </w:pPr>
            <w:r>
              <w:rPr>
                <w:rFonts w:ascii="仿宋_GB2312" w:hAnsi="仿宋_GB2312" w:eastAsia="仿宋_GB2312" w:cs="仿宋_GB2312"/>
                <w:color w:val="000000" w:themeColor="text1"/>
                <w:kern w:val="0"/>
                <w:szCs w:val="21"/>
              </w:rPr>
              <w:t>13</w:t>
            </w:r>
            <w:r>
              <w:rPr>
                <w:rFonts w:hint="eastAsia" w:ascii="仿宋_GB2312" w:hAnsi="仿宋_GB2312" w:eastAsia="仿宋_GB2312" w:cs="仿宋_GB2312"/>
                <w:color w:val="000000" w:themeColor="text1"/>
                <w:kern w:val="0"/>
                <w:szCs w:val="21"/>
              </w:rPr>
              <w:t>＊</w:t>
            </w:r>
          </w:p>
        </w:tc>
        <w:tc>
          <w:tcPr>
            <w:tcW w:w="2977" w:type="dxa"/>
            <w:gridSpan w:val="2"/>
            <w:vAlign w:val="center"/>
          </w:tcPr>
          <w:p w14:paraId="53FCEA66">
            <w:pPr>
              <w:spacing w:after="0"/>
              <w:rPr>
                <w:rFonts w:ascii="仿宋_GB2312" w:hAnsi="仿宋_GB2312" w:eastAsia="仿宋_GB2312" w:cs="仿宋_GB2312"/>
                <w:color w:val="000000" w:themeColor="text1"/>
                <w:kern w:val="0"/>
                <w:szCs w:val="21"/>
              </w:rPr>
            </w:pPr>
            <w:r>
              <w:rPr>
                <w:rFonts w:hint="eastAsia" w:ascii="仿宋_GB2312" w:hAnsi="仿宋_GB2312" w:eastAsia="仿宋_GB2312" w:cs="仿宋_GB2312"/>
                <w:color w:val="000000" w:themeColor="text1"/>
                <w:kern w:val="0"/>
                <w:szCs w:val="21"/>
              </w:rPr>
              <w:t>生活垃圾回收利用率（%）</w:t>
            </w:r>
          </w:p>
        </w:tc>
        <w:tc>
          <w:tcPr>
            <w:tcW w:w="5811" w:type="dxa"/>
            <w:vAlign w:val="center"/>
          </w:tcPr>
          <w:p w14:paraId="2CA7B0C0">
            <w:pPr>
              <w:snapToGrid w:val="0"/>
              <w:spacing w:after="0" w:line="240" w:lineRule="auto"/>
              <w:rPr>
                <w:rFonts w:ascii="仿宋_GB2312" w:hAnsi="仿宋_GB2312" w:eastAsia="仿宋_GB2312" w:cs="仿宋_GB2312"/>
                <w:color w:val="FF0000"/>
                <w:kern w:val="0"/>
                <w:szCs w:val="21"/>
              </w:rPr>
            </w:pPr>
            <w:r>
              <w:rPr>
                <w:rFonts w:hint="eastAsia" w:ascii="仿宋_GB2312" w:hAnsi="仿宋_GB2312" w:eastAsia="仿宋_GB2312" w:cs="仿宋_GB2312"/>
                <w:color w:val="auto"/>
                <w:kern w:val="0"/>
                <w:szCs w:val="21"/>
              </w:rPr>
              <w:t>辖区内生活垃圾实现回收利用的比例。生活垃圾回收利用率=（可回收物清运量+厨余垃圾清运量）/生活垃圾清运总量×100%。</w:t>
            </w:r>
          </w:p>
        </w:tc>
        <w:tc>
          <w:tcPr>
            <w:tcW w:w="2268" w:type="dxa"/>
            <w:vAlign w:val="center"/>
          </w:tcPr>
          <w:p w14:paraId="082ACA83">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省住建厅</w:t>
            </w:r>
          </w:p>
        </w:tc>
      </w:tr>
      <w:tr w14:paraId="744A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48" w:hRule="atLeast"/>
          <w:jc w:val="center"/>
        </w:trPr>
        <w:tc>
          <w:tcPr>
            <w:tcW w:w="988" w:type="dxa"/>
            <w:vMerge w:val="continue"/>
            <w:vAlign w:val="center"/>
          </w:tcPr>
          <w:p w14:paraId="6E8BD9D5">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773FADC5">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14</w:t>
            </w:r>
            <w:r>
              <w:rPr>
                <w:rFonts w:hint="eastAsia" w:ascii="仿宋_GB2312" w:hAnsi="仿宋_GB2312" w:eastAsia="仿宋_GB2312" w:cs="仿宋_GB2312"/>
                <w:color w:val="auto"/>
                <w:kern w:val="0"/>
                <w:szCs w:val="21"/>
              </w:rPr>
              <w:t>＊</w:t>
            </w:r>
          </w:p>
        </w:tc>
        <w:tc>
          <w:tcPr>
            <w:tcW w:w="2977" w:type="dxa"/>
            <w:gridSpan w:val="2"/>
            <w:vAlign w:val="center"/>
          </w:tcPr>
          <w:p w14:paraId="36ECC468">
            <w:pPr>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城市人均公园绿地面积（平方米）</w:t>
            </w:r>
          </w:p>
        </w:tc>
        <w:tc>
          <w:tcPr>
            <w:tcW w:w="5811" w:type="dxa"/>
            <w:vAlign w:val="center"/>
          </w:tcPr>
          <w:p w14:paraId="4716DA9A">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公园绿地指向公众开放，以游憩为主要功能，兼具生态、景观、文教和应急避险等功能，有一定游憩和服务设施的绿地。</w:t>
            </w:r>
          </w:p>
          <w:p w14:paraId="5EE59C1E">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城市人均公园绿地面积：城区公园绿地面积/（户籍人口+暂住人口）。</w:t>
            </w:r>
          </w:p>
        </w:tc>
        <w:tc>
          <w:tcPr>
            <w:tcW w:w="2268" w:type="dxa"/>
            <w:vAlign w:val="center"/>
          </w:tcPr>
          <w:p w14:paraId="5E4DAE4D">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省住建厅</w:t>
            </w:r>
          </w:p>
        </w:tc>
      </w:tr>
      <w:tr w14:paraId="25B5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48" w:hRule="atLeast"/>
          <w:jc w:val="center"/>
        </w:trPr>
        <w:tc>
          <w:tcPr>
            <w:tcW w:w="988" w:type="dxa"/>
            <w:vMerge w:val="continue"/>
            <w:vAlign w:val="center"/>
          </w:tcPr>
          <w:p w14:paraId="6AB2878E">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1023A549">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15</w:t>
            </w:r>
            <w:r>
              <w:rPr>
                <w:rFonts w:hint="eastAsia" w:ascii="仿宋_GB2312" w:hAnsi="仿宋_GB2312" w:eastAsia="仿宋_GB2312" w:cs="仿宋_GB2312"/>
                <w:color w:val="auto"/>
                <w:kern w:val="0"/>
                <w:szCs w:val="21"/>
              </w:rPr>
              <w:t>＊</w:t>
            </w:r>
          </w:p>
        </w:tc>
        <w:tc>
          <w:tcPr>
            <w:tcW w:w="2977" w:type="dxa"/>
            <w:gridSpan w:val="2"/>
            <w:vAlign w:val="center"/>
          </w:tcPr>
          <w:p w14:paraId="769991B6">
            <w:pPr>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市县空气质量优良天数比率（%）</w:t>
            </w:r>
          </w:p>
        </w:tc>
        <w:tc>
          <w:tcPr>
            <w:tcW w:w="5811" w:type="dxa"/>
            <w:vAlign w:val="center"/>
          </w:tcPr>
          <w:p w14:paraId="689A52E1">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全省18个市县环境空气污染指数达到或优于国家质量二级标准的天数占总天数的比例。省</w:t>
            </w:r>
            <w:r>
              <w:rPr>
                <w:rFonts w:ascii="仿宋_GB2312" w:hAnsi="仿宋_GB2312" w:eastAsia="仿宋_GB2312" w:cs="仿宋_GB2312"/>
                <w:color w:val="auto"/>
                <w:kern w:val="0"/>
                <w:szCs w:val="21"/>
              </w:rPr>
              <w:t>级数据</w:t>
            </w:r>
            <w:r>
              <w:rPr>
                <w:rFonts w:hint="eastAsia" w:ascii="仿宋_GB2312" w:hAnsi="仿宋_GB2312" w:eastAsia="仿宋_GB2312" w:cs="仿宋_GB2312"/>
                <w:color w:val="auto"/>
                <w:kern w:val="0"/>
                <w:szCs w:val="21"/>
              </w:rPr>
              <w:t>由</w:t>
            </w:r>
            <w:r>
              <w:rPr>
                <w:rFonts w:ascii="仿宋_GB2312" w:hAnsi="仿宋_GB2312" w:eastAsia="仿宋_GB2312" w:cs="仿宋_GB2312"/>
                <w:color w:val="auto"/>
                <w:kern w:val="0"/>
                <w:szCs w:val="21"/>
              </w:rPr>
              <w:t>地级市</w:t>
            </w:r>
            <w:r>
              <w:rPr>
                <w:rFonts w:hint="eastAsia" w:ascii="仿宋_GB2312" w:hAnsi="仿宋_GB2312" w:eastAsia="仿宋_GB2312" w:cs="仿宋_GB2312"/>
                <w:color w:val="auto"/>
                <w:kern w:val="0"/>
                <w:szCs w:val="21"/>
              </w:rPr>
              <w:t>数</w:t>
            </w:r>
            <w:r>
              <w:rPr>
                <w:rFonts w:ascii="仿宋_GB2312" w:hAnsi="仿宋_GB2312" w:eastAsia="仿宋_GB2312" w:cs="仿宋_GB2312"/>
                <w:color w:val="auto"/>
                <w:kern w:val="0"/>
                <w:szCs w:val="21"/>
              </w:rPr>
              <w:t>据形成。</w:t>
            </w:r>
          </w:p>
        </w:tc>
        <w:tc>
          <w:tcPr>
            <w:tcW w:w="2268" w:type="dxa"/>
            <w:vAlign w:val="center"/>
          </w:tcPr>
          <w:p w14:paraId="123BC4BB">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省生态环境厅</w:t>
            </w:r>
          </w:p>
        </w:tc>
      </w:tr>
      <w:tr w14:paraId="5066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48" w:hRule="atLeast"/>
          <w:jc w:val="center"/>
        </w:trPr>
        <w:tc>
          <w:tcPr>
            <w:tcW w:w="988" w:type="dxa"/>
            <w:vMerge w:val="continue"/>
            <w:vAlign w:val="center"/>
          </w:tcPr>
          <w:p w14:paraId="33121472">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5927A335">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16</w:t>
            </w:r>
          </w:p>
        </w:tc>
        <w:tc>
          <w:tcPr>
            <w:tcW w:w="2977" w:type="dxa"/>
            <w:gridSpan w:val="2"/>
            <w:vAlign w:val="center"/>
          </w:tcPr>
          <w:p w14:paraId="52EECDCB">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居民环境与健康素养水平（%）</w:t>
            </w:r>
          </w:p>
        </w:tc>
        <w:tc>
          <w:tcPr>
            <w:tcW w:w="5811" w:type="dxa"/>
            <w:vAlign w:val="center"/>
          </w:tcPr>
          <w:p w14:paraId="14F72234">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生态环境与健康素养指公民认识到生态环境的价值及其对健康的影响，了解生态环境保护与健康风险防范必要知识，践行绿色健康生活方式，并具备一定保护生态环境、维护自身健康的行动能力。</w:t>
            </w:r>
          </w:p>
          <w:p w14:paraId="335F8C21">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具备生态环境与健康素养的人数/监测人群总人数×100。</w:t>
            </w:r>
          </w:p>
        </w:tc>
        <w:tc>
          <w:tcPr>
            <w:tcW w:w="2268" w:type="dxa"/>
            <w:vAlign w:val="center"/>
          </w:tcPr>
          <w:p w14:paraId="1711FBF3">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省生</w:t>
            </w:r>
            <w:r>
              <w:rPr>
                <w:rFonts w:ascii="CESI黑体-GB2312" w:hAnsi="CESI黑体-GB2312" w:eastAsia="CESI黑体-GB2312" w:cs="CESI黑体-GB2312"/>
                <w:color w:val="auto"/>
                <w:szCs w:val="21"/>
              </w:rPr>
              <w:t>态环境厅</w:t>
            </w:r>
          </w:p>
        </w:tc>
      </w:tr>
      <w:tr w14:paraId="5632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4" w:hRule="atLeast"/>
          <w:jc w:val="center"/>
        </w:trPr>
        <w:tc>
          <w:tcPr>
            <w:tcW w:w="988" w:type="dxa"/>
            <w:vMerge w:val="continue"/>
            <w:vAlign w:val="center"/>
          </w:tcPr>
          <w:p w14:paraId="5273A4C7">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1DBE3B38">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w:t>
            </w:r>
            <w:r>
              <w:rPr>
                <w:rFonts w:ascii="仿宋_GB2312" w:hAnsi="仿宋_GB2312" w:eastAsia="仿宋_GB2312" w:cs="仿宋_GB2312"/>
                <w:color w:val="auto"/>
                <w:kern w:val="0"/>
                <w:szCs w:val="21"/>
              </w:rPr>
              <w:t>7</w:t>
            </w:r>
            <w:r>
              <w:rPr>
                <w:rFonts w:hint="eastAsia" w:ascii="仿宋_GB2312" w:hAnsi="仿宋_GB2312" w:eastAsia="仿宋_GB2312" w:cs="仿宋_GB2312"/>
                <w:color w:val="auto"/>
                <w:kern w:val="0"/>
                <w:szCs w:val="21"/>
              </w:rPr>
              <w:t>＊</w:t>
            </w:r>
          </w:p>
        </w:tc>
        <w:tc>
          <w:tcPr>
            <w:tcW w:w="2977" w:type="dxa"/>
            <w:gridSpan w:val="2"/>
            <w:vAlign w:val="center"/>
          </w:tcPr>
          <w:p w14:paraId="73B3AFB7">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食品安全评价性抽检合格率（%）</w:t>
            </w:r>
          </w:p>
        </w:tc>
        <w:tc>
          <w:tcPr>
            <w:tcW w:w="5811" w:type="dxa"/>
            <w:vAlign w:val="center"/>
          </w:tcPr>
          <w:p w14:paraId="2C0E90A8">
            <w:pPr>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评价性抽检合格批次/评价性抽检批次×100。</w:t>
            </w:r>
          </w:p>
          <w:p w14:paraId="68191442">
            <w:pPr>
              <w:snapToGrid w:val="0"/>
              <w:spacing w:after="0" w:line="240" w:lineRule="auto"/>
              <w:rPr>
                <w:rFonts w:ascii="仿宋_GB2312" w:hAnsi="仿宋_GB2312" w:eastAsia="仿宋_GB2312" w:cs="仿宋_GB2312"/>
                <w:color w:val="auto"/>
                <w:szCs w:val="21"/>
              </w:rPr>
            </w:pPr>
          </w:p>
        </w:tc>
        <w:tc>
          <w:tcPr>
            <w:tcW w:w="2268" w:type="dxa"/>
            <w:vAlign w:val="center"/>
          </w:tcPr>
          <w:p w14:paraId="6154F419">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省市场监督管理局</w:t>
            </w:r>
          </w:p>
        </w:tc>
      </w:tr>
      <w:tr w14:paraId="2959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27" w:hRule="atLeast"/>
          <w:jc w:val="center"/>
        </w:trPr>
        <w:tc>
          <w:tcPr>
            <w:tcW w:w="988" w:type="dxa"/>
            <w:vMerge w:val="continue"/>
            <w:vAlign w:val="center"/>
          </w:tcPr>
          <w:p w14:paraId="7895D8BE">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3FB37C7C">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w:t>
            </w:r>
            <w:r>
              <w:rPr>
                <w:rFonts w:ascii="仿宋_GB2312" w:hAnsi="仿宋_GB2312" w:eastAsia="仿宋_GB2312" w:cs="仿宋_GB2312"/>
                <w:color w:val="auto"/>
                <w:kern w:val="0"/>
                <w:szCs w:val="21"/>
              </w:rPr>
              <w:t>8</w:t>
            </w:r>
            <w:r>
              <w:rPr>
                <w:rFonts w:hint="eastAsia" w:ascii="仿宋_GB2312" w:hAnsi="仿宋_GB2312" w:eastAsia="仿宋_GB2312" w:cs="仿宋_GB2312"/>
                <w:color w:val="auto"/>
                <w:kern w:val="0"/>
                <w:szCs w:val="21"/>
              </w:rPr>
              <w:t>＊</w:t>
            </w:r>
          </w:p>
        </w:tc>
        <w:tc>
          <w:tcPr>
            <w:tcW w:w="2977" w:type="dxa"/>
            <w:gridSpan w:val="2"/>
            <w:vAlign w:val="center"/>
          </w:tcPr>
          <w:p w14:paraId="47C6EB35">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道路交通事故死亡率（1/10万）</w:t>
            </w:r>
          </w:p>
        </w:tc>
        <w:tc>
          <w:tcPr>
            <w:tcW w:w="5811" w:type="dxa"/>
            <w:vAlign w:val="center"/>
          </w:tcPr>
          <w:p w14:paraId="4C967CA9">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自然年统计周期，行政区域内平均每10万人中因道路交通事故死亡人数。</w:t>
            </w:r>
          </w:p>
          <w:p w14:paraId="24596A14">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道路交通事故死亡率=行政区域内因道路交通事故死亡人数/行政区域内常住人口数×100000。</w:t>
            </w:r>
          </w:p>
        </w:tc>
        <w:tc>
          <w:tcPr>
            <w:tcW w:w="2268" w:type="dxa"/>
            <w:vAlign w:val="center"/>
          </w:tcPr>
          <w:p w14:paraId="077F2E6F">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省公安厅</w:t>
            </w:r>
          </w:p>
        </w:tc>
      </w:tr>
      <w:tr w14:paraId="342E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988" w:type="dxa"/>
            <w:vMerge w:val="continue"/>
            <w:vAlign w:val="center"/>
          </w:tcPr>
          <w:p w14:paraId="16B7948D">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2B651105">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19</w:t>
            </w:r>
          </w:p>
        </w:tc>
        <w:tc>
          <w:tcPr>
            <w:tcW w:w="2977" w:type="dxa"/>
            <w:gridSpan w:val="2"/>
            <w:vAlign w:val="center"/>
          </w:tcPr>
          <w:p w14:paraId="3D683A6B">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全省累计认证“绿色食品、有机农产品、地理标志农产品”数量</w:t>
            </w:r>
          </w:p>
        </w:tc>
        <w:tc>
          <w:tcPr>
            <w:tcW w:w="5811" w:type="dxa"/>
            <w:vAlign w:val="center"/>
          </w:tcPr>
          <w:p w14:paraId="56EF0921">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绿色食品、有机农产品、地理标志农产品年认证数量加上年度累计达到数量。</w:t>
            </w:r>
          </w:p>
        </w:tc>
        <w:tc>
          <w:tcPr>
            <w:tcW w:w="2268" w:type="dxa"/>
            <w:vAlign w:val="center"/>
          </w:tcPr>
          <w:p w14:paraId="32F56187">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省农业农村厅</w:t>
            </w:r>
          </w:p>
        </w:tc>
      </w:tr>
      <w:tr w14:paraId="5ED50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988" w:type="dxa"/>
            <w:vAlign w:val="center"/>
          </w:tcPr>
          <w:p w14:paraId="4BA01797">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健康影响因素控制</w:t>
            </w:r>
          </w:p>
        </w:tc>
        <w:tc>
          <w:tcPr>
            <w:tcW w:w="992" w:type="dxa"/>
            <w:vAlign w:val="center"/>
          </w:tcPr>
          <w:p w14:paraId="764B3EDD">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20</w:t>
            </w:r>
          </w:p>
        </w:tc>
        <w:tc>
          <w:tcPr>
            <w:tcW w:w="2977" w:type="dxa"/>
            <w:gridSpan w:val="2"/>
            <w:vAlign w:val="center"/>
          </w:tcPr>
          <w:p w14:paraId="251527BB">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农产品质量安全例行监测总体合格率（%）</w:t>
            </w:r>
          </w:p>
        </w:tc>
        <w:tc>
          <w:tcPr>
            <w:tcW w:w="5811" w:type="dxa"/>
            <w:vAlign w:val="center"/>
          </w:tcPr>
          <w:p w14:paraId="00766991">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由省农业农村厅组织开展的农产品（含种植业产品、畜禽产品、水产品）质量安全例行监测的数据综合计算。</w:t>
            </w:r>
          </w:p>
        </w:tc>
        <w:tc>
          <w:tcPr>
            <w:tcW w:w="2268" w:type="dxa"/>
            <w:vAlign w:val="center"/>
          </w:tcPr>
          <w:p w14:paraId="7FE577B1">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省农业农村厅</w:t>
            </w:r>
          </w:p>
        </w:tc>
      </w:tr>
      <w:tr w14:paraId="6760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0" w:hRule="atLeast"/>
          <w:jc w:val="center"/>
        </w:trPr>
        <w:tc>
          <w:tcPr>
            <w:tcW w:w="988" w:type="dxa"/>
            <w:vMerge w:val="restart"/>
            <w:vAlign w:val="center"/>
          </w:tcPr>
          <w:p w14:paraId="27E10711">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重点人群健康促进</w:t>
            </w:r>
          </w:p>
          <w:p w14:paraId="17179382">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57D5F947">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w:t>
            </w:r>
            <w:r>
              <w:rPr>
                <w:rFonts w:ascii="仿宋_GB2312" w:hAnsi="仿宋_GB2312" w:eastAsia="仿宋_GB2312" w:cs="仿宋_GB2312"/>
                <w:color w:val="auto"/>
                <w:kern w:val="0"/>
                <w:szCs w:val="21"/>
              </w:rPr>
              <w:t>1</w:t>
            </w:r>
            <w:r>
              <w:rPr>
                <w:rFonts w:hint="eastAsia" w:ascii="仿宋_GB2312" w:hAnsi="仿宋_GB2312" w:eastAsia="仿宋_GB2312" w:cs="仿宋_GB2312"/>
                <w:color w:val="auto"/>
                <w:kern w:val="0"/>
                <w:szCs w:val="21"/>
              </w:rPr>
              <w:t>＊</w:t>
            </w:r>
          </w:p>
        </w:tc>
        <w:tc>
          <w:tcPr>
            <w:tcW w:w="2977" w:type="dxa"/>
            <w:gridSpan w:val="2"/>
            <w:vAlign w:val="center"/>
          </w:tcPr>
          <w:p w14:paraId="08A18D9D">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产前筛查率（%）</w:t>
            </w:r>
          </w:p>
        </w:tc>
        <w:tc>
          <w:tcPr>
            <w:tcW w:w="5811" w:type="dxa"/>
            <w:vAlign w:val="center"/>
          </w:tcPr>
          <w:p w14:paraId="11EC8F8B">
            <w:pPr>
              <w:snapToGrid w:val="0"/>
              <w:spacing w:after="0" w:line="240" w:lineRule="auto"/>
              <w:rPr>
                <w:rFonts w:ascii="仿宋_GB2312" w:hAnsi="等线" w:eastAsia="仿宋_GB2312" w:cs="仿宋_GB2312"/>
                <w:color w:val="auto"/>
                <w:kern w:val="0"/>
                <w:szCs w:val="21"/>
              </w:rPr>
            </w:pPr>
            <w:r>
              <w:rPr>
                <w:rFonts w:ascii="仿宋_GB2312" w:hAnsi="等线" w:eastAsia="仿宋_GB2312" w:cs="仿宋_GB2312"/>
                <w:color w:val="auto"/>
                <w:kern w:val="0"/>
                <w:szCs w:val="21"/>
              </w:rPr>
              <w:t>指该年该地区孕产妇产前筛查人数与某年某地区产妇数之比。孕产妇产前筛查人数指该地区该统计年度内，在孕早期和孕中期（孕7-22周）用血清学方法筛查胎儿唐氏综合征（21-三体）、18-三体和神经管畸形或者用孕妇外周血胎儿游离 DNA 产前基因检测方法筛查胎儿唐氏综合征（21-三体）、18-三体和13-三体的孕产妇人数（暂不包括超声学筛查）。接受过多种筛查的，按1人统计。</w:t>
            </w:r>
          </w:p>
          <w:p w14:paraId="556D686D">
            <w:pPr>
              <w:snapToGrid w:val="0"/>
              <w:spacing w:after="0" w:line="240" w:lineRule="auto"/>
              <w:rPr>
                <w:color w:val="auto"/>
                <w:szCs w:val="21"/>
              </w:rPr>
            </w:pPr>
            <w:r>
              <w:rPr>
                <w:rFonts w:ascii="仿宋_GB2312" w:hAnsi="等线" w:eastAsia="仿宋_GB2312" w:cs="仿宋_GB2312"/>
                <w:color w:val="auto"/>
                <w:kern w:val="0"/>
                <w:szCs w:val="21"/>
              </w:rPr>
              <w:t>该年该地区孕产妇产前筛查人数/ 某年某地区产妇数×100</w:t>
            </w:r>
            <w:r>
              <w:rPr>
                <w:rFonts w:hint="eastAsia" w:ascii="仿宋_GB2312" w:hAnsi="仿宋_GB2312" w:eastAsia="仿宋_GB2312" w:cs="仿宋_GB2312"/>
                <w:color w:val="auto"/>
                <w:kern w:val="0"/>
                <w:szCs w:val="21"/>
              </w:rPr>
              <w:t>。</w:t>
            </w:r>
          </w:p>
        </w:tc>
        <w:tc>
          <w:tcPr>
            <w:tcW w:w="2268" w:type="dxa"/>
            <w:vAlign w:val="center"/>
          </w:tcPr>
          <w:p w14:paraId="46678860">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48F97DE7">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妇幼处</w:t>
            </w:r>
          </w:p>
        </w:tc>
      </w:tr>
      <w:tr w14:paraId="4EC7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vAlign w:val="center"/>
          </w:tcPr>
          <w:p w14:paraId="0C71357D">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7F2185DE">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w:t>
            </w:r>
            <w:r>
              <w:rPr>
                <w:rFonts w:ascii="仿宋_GB2312" w:hAnsi="仿宋_GB2312" w:eastAsia="仿宋_GB2312" w:cs="仿宋_GB2312"/>
                <w:color w:val="auto"/>
                <w:kern w:val="0"/>
                <w:szCs w:val="21"/>
              </w:rPr>
              <w:t>2</w:t>
            </w:r>
          </w:p>
        </w:tc>
        <w:tc>
          <w:tcPr>
            <w:tcW w:w="2977" w:type="dxa"/>
            <w:gridSpan w:val="2"/>
            <w:vAlign w:val="center"/>
          </w:tcPr>
          <w:p w14:paraId="46C2A292">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新生儿遗传代谢性疾病筛查率（%）</w:t>
            </w:r>
          </w:p>
        </w:tc>
        <w:tc>
          <w:tcPr>
            <w:tcW w:w="5811" w:type="dxa"/>
            <w:vAlign w:val="center"/>
          </w:tcPr>
          <w:p w14:paraId="31444311">
            <w:pPr>
              <w:snapToGrid w:val="0"/>
              <w:spacing w:after="0" w:line="240" w:lineRule="auto"/>
              <w:rPr>
                <w:rFonts w:ascii="仿宋_GB2312" w:hAnsi="等线" w:eastAsia="仿宋_GB2312" w:cs="仿宋_GB2312"/>
                <w:color w:val="auto"/>
                <w:kern w:val="0"/>
                <w:szCs w:val="21"/>
              </w:rPr>
            </w:pPr>
            <w:r>
              <w:rPr>
                <w:rFonts w:ascii="仿宋_GB2312" w:hAnsi="等线" w:eastAsia="仿宋_GB2312" w:cs="仿宋_GB2312"/>
                <w:color w:val="auto"/>
                <w:kern w:val="0"/>
                <w:szCs w:val="21"/>
              </w:rPr>
              <w:t>指该年该地区接受苯丙酮尿症和先天性甲状腺功能减低症筛查的新生儿数与某年某地区活产数之比。新生儿疾病筛查人数指该地区该统计年度内接受了苯丙酮尿症筛查、先天性甲状腺功能减低症筛查的新生儿数。接受多次筛查的新生儿按 1人统计。</w:t>
            </w:r>
          </w:p>
          <w:p w14:paraId="68380A25">
            <w:pPr>
              <w:snapToGrid w:val="0"/>
              <w:spacing w:after="0" w:line="240" w:lineRule="auto"/>
              <w:rPr>
                <w:rFonts w:ascii="仿宋_GB2312" w:hAnsi="仿宋_GB2312" w:eastAsia="仿宋_GB2312" w:cs="仿宋_GB2312"/>
                <w:color w:val="auto"/>
                <w:kern w:val="0"/>
                <w:szCs w:val="21"/>
              </w:rPr>
            </w:pPr>
            <w:r>
              <w:rPr>
                <w:rFonts w:ascii="仿宋_GB2312" w:hAnsi="等线" w:eastAsia="仿宋_GB2312" w:cs="仿宋_GB2312"/>
                <w:color w:val="auto"/>
                <w:kern w:val="0"/>
                <w:szCs w:val="21"/>
              </w:rPr>
              <w:t>该年该地区新生儿苯丙酮尿症、先天性甲状腺功能减低症筛查人数/某年某地区活产数×100</w:t>
            </w:r>
            <w:r>
              <w:rPr>
                <w:rFonts w:hint="eastAsia" w:ascii="仿宋_GB2312" w:hAnsi="仿宋_GB2312" w:eastAsia="仿宋_GB2312" w:cs="仿宋_GB2312"/>
                <w:color w:val="auto"/>
                <w:kern w:val="0"/>
                <w:szCs w:val="21"/>
              </w:rPr>
              <w:t>。</w:t>
            </w:r>
          </w:p>
        </w:tc>
        <w:tc>
          <w:tcPr>
            <w:tcW w:w="2268" w:type="dxa"/>
            <w:vAlign w:val="center"/>
          </w:tcPr>
          <w:p w14:paraId="6DCB3DD9">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2326E341">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妇幼处</w:t>
            </w:r>
          </w:p>
        </w:tc>
      </w:tr>
      <w:tr w14:paraId="77B82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988" w:type="dxa"/>
            <w:vMerge w:val="continue"/>
            <w:vAlign w:val="center"/>
          </w:tcPr>
          <w:p w14:paraId="0478203F">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470DEF09">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w:t>
            </w:r>
            <w:r>
              <w:rPr>
                <w:rFonts w:ascii="仿宋_GB2312" w:hAnsi="仿宋_GB2312" w:eastAsia="仿宋_GB2312" w:cs="仿宋_GB2312"/>
                <w:color w:val="auto"/>
                <w:kern w:val="0"/>
                <w:szCs w:val="21"/>
              </w:rPr>
              <w:t>3</w:t>
            </w:r>
          </w:p>
        </w:tc>
        <w:tc>
          <w:tcPr>
            <w:tcW w:w="2977" w:type="dxa"/>
            <w:gridSpan w:val="2"/>
            <w:vAlign w:val="center"/>
          </w:tcPr>
          <w:p w14:paraId="2AEE0661">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农村适龄妇女宫颈癌和乳腺癌筛查覆盖率（%）</w:t>
            </w:r>
          </w:p>
        </w:tc>
        <w:tc>
          <w:tcPr>
            <w:tcW w:w="5811" w:type="dxa"/>
            <w:vAlign w:val="center"/>
          </w:tcPr>
          <w:p w14:paraId="11B81790">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指已经开展农村适龄妇女“两癌”检查服务的县（区、市）占所有县（区、市）的比例。</w:t>
            </w:r>
          </w:p>
          <w:p w14:paraId="16042E1C">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开展适龄妇女宫颈癌和乳腺癌筛查的区县数/全省区县数×100。</w:t>
            </w:r>
          </w:p>
        </w:tc>
        <w:tc>
          <w:tcPr>
            <w:tcW w:w="2268" w:type="dxa"/>
            <w:vAlign w:val="center"/>
          </w:tcPr>
          <w:p w14:paraId="17468A04">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4EDE61AC">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妇幼处</w:t>
            </w:r>
          </w:p>
        </w:tc>
      </w:tr>
      <w:tr w14:paraId="18AD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72" w:hRule="atLeast"/>
          <w:jc w:val="center"/>
        </w:trPr>
        <w:tc>
          <w:tcPr>
            <w:tcW w:w="988" w:type="dxa"/>
            <w:vMerge w:val="continue"/>
            <w:vAlign w:val="center"/>
          </w:tcPr>
          <w:p w14:paraId="22FE2D86">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0A1EE1A5">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w:t>
            </w:r>
            <w:r>
              <w:rPr>
                <w:rFonts w:ascii="仿宋_GB2312" w:hAnsi="仿宋_GB2312" w:eastAsia="仿宋_GB2312" w:cs="仿宋_GB2312"/>
                <w:color w:val="auto"/>
                <w:kern w:val="0"/>
                <w:szCs w:val="21"/>
              </w:rPr>
              <w:t>4</w:t>
            </w:r>
          </w:p>
        </w:tc>
        <w:tc>
          <w:tcPr>
            <w:tcW w:w="2977" w:type="dxa"/>
            <w:gridSpan w:val="2"/>
            <w:vAlign w:val="center"/>
          </w:tcPr>
          <w:p w14:paraId="62A353A8">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孕产妇系统管理率（%）</w:t>
            </w:r>
          </w:p>
        </w:tc>
        <w:tc>
          <w:tcPr>
            <w:tcW w:w="5811" w:type="dxa"/>
            <w:vAlign w:val="center"/>
          </w:tcPr>
          <w:p w14:paraId="5534EA4A">
            <w:pPr>
              <w:snapToGrid w:val="0"/>
              <w:spacing w:after="0" w:line="240" w:lineRule="auto"/>
              <w:rPr>
                <w:rFonts w:ascii="仿宋_GB2312" w:hAnsi="等线" w:eastAsia="仿宋_GB2312" w:cs="仿宋_GB2312"/>
                <w:color w:val="auto"/>
                <w:kern w:val="0"/>
                <w:szCs w:val="21"/>
              </w:rPr>
            </w:pPr>
            <w:r>
              <w:rPr>
                <w:rFonts w:ascii="仿宋_GB2312" w:hAnsi="等线" w:eastAsia="仿宋_GB2312" w:cs="仿宋_GB2312"/>
                <w:color w:val="auto"/>
                <w:kern w:val="0"/>
                <w:szCs w:val="21"/>
              </w:rPr>
              <w:t>指该年该区地产妇系统管理人数与某年某地区活产数之比。产妇系统管理人数指该地区该统计年度内按系统管理要求，从妊娠至出院后1周内有过孕早期产前检查、至少5次产前检查、住院分娩和产后访视的产妇人数。</w:t>
            </w:r>
          </w:p>
          <w:p w14:paraId="2487A7FE">
            <w:pPr>
              <w:snapToGrid w:val="0"/>
              <w:spacing w:after="0" w:line="240" w:lineRule="auto"/>
              <w:rPr>
                <w:rFonts w:ascii="仿宋_GB2312" w:hAnsi="仿宋_GB2312" w:eastAsia="仿宋_GB2312" w:cs="仿宋_GB2312"/>
                <w:color w:val="auto"/>
                <w:kern w:val="0"/>
                <w:szCs w:val="21"/>
              </w:rPr>
            </w:pPr>
            <w:r>
              <w:rPr>
                <w:rFonts w:ascii="仿宋_GB2312" w:hAnsi="等线" w:eastAsia="仿宋_GB2312" w:cs="仿宋_GB2312"/>
                <w:color w:val="auto"/>
                <w:kern w:val="0"/>
                <w:szCs w:val="21"/>
              </w:rPr>
              <w:t>该年该地区产妇系统管理人数/某年某地活产数×100</w:t>
            </w:r>
            <w:r>
              <w:rPr>
                <w:rFonts w:hint="eastAsia" w:ascii="仿宋_GB2312" w:hAnsi="仿宋_GB2312" w:eastAsia="仿宋_GB2312" w:cs="仿宋_GB2312"/>
                <w:color w:val="auto"/>
                <w:kern w:val="0"/>
                <w:szCs w:val="21"/>
              </w:rPr>
              <w:t>。</w:t>
            </w:r>
          </w:p>
        </w:tc>
        <w:tc>
          <w:tcPr>
            <w:tcW w:w="2268" w:type="dxa"/>
            <w:vAlign w:val="center"/>
          </w:tcPr>
          <w:p w14:paraId="3DF693D9">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2C555674">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妇幼处</w:t>
            </w:r>
          </w:p>
        </w:tc>
      </w:tr>
      <w:tr w14:paraId="0A5D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72" w:hRule="atLeast"/>
          <w:jc w:val="center"/>
        </w:trPr>
        <w:tc>
          <w:tcPr>
            <w:tcW w:w="988" w:type="dxa"/>
            <w:vMerge w:val="restart"/>
            <w:vAlign w:val="center"/>
          </w:tcPr>
          <w:p w14:paraId="541C04AE">
            <w:pPr>
              <w:snapToGrid w:val="0"/>
              <w:spacing w:after="0" w:line="240" w:lineRule="auto"/>
              <w:jc w:val="center"/>
              <w:rPr>
                <w:rFonts w:ascii="CESI黑体-GB2312" w:hAnsi="CESI黑体-GB2312" w:eastAsia="CESI黑体-GB2312" w:cs="CESI黑体-GB2312"/>
                <w:color w:val="auto"/>
                <w:kern w:val="0"/>
                <w:szCs w:val="21"/>
              </w:rPr>
            </w:pPr>
            <w:r>
              <w:rPr>
                <w:rFonts w:ascii="CESI黑体-GB2312" w:hAnsi="CESI黑体-GB2312" w:eastAsia="CESI黑体-GB2312" w:cs="CESI黑体-GB2312"/>
                <w:color w:val="auto"/>
                <w:kern w:val="0"/>
                <w:szCs w:val="21"/>
              </w:rPr>
              <w:t>重点人群健康促进</w:t>
            </w:r>
          </w:p>
        </w:tc>
        <w:tc>
          <w:tcPr>
            <w:tcW w:w="992" w:type="dxa"/>
            <w:vAlign w:val="center"/>
          </w:tcPr>
          <w:p w14:paraId="5C1CEBCC">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w:t>
            </w:r>
            <w:r>
              <w:rPr>
                <w:rFonts w:ascii="仿宋_GB2312" w:hAnsi="仿宋_GB2312" w:eastAsia="仿宋_GB2312" w:cs="仿宋_GB2312"/>
                <w:color w:val="auto"/>
                <w:kern w:val="0"/>
                <w:szCs w:val="21"/>
              </w:rPr>
              <w:t>5</w:t>
            </w:r>
          </w:p>
        </w:tc>
        <w:tc>
          <w:tcPr>
            <w:tcW w:w="2977" w:type="dxa"/>
            <w:gridSpan w:val="2"/>
            <w:vAlign w:val="center"/>
          </w:tcPr>
          <w:p w14:paraId="098056C3">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3岁以下儿童系统管理率（%）</w:t>
            </w:r>
          </w:p>
        </w:tc>
        <w:tc>
          <w:tcPr>
            <w:tcW w:w="5811" w:type="dxa"/>
            <w:vAlign w:val="center"/>
          </w:tcPr>
          <w:p w14:paraId="56C7BA36">
            <w:pPr>
              <w:snapToGrid w:val="0"/>
              <w:spacing w:after="0" w:line="240" w:lineRule="auto"/>
              <w:rPr>
                <w:rFonts w:ascii="仿宋_GB2312" w:hAnsi="等线" w:eastAsia="仿宋_GB2312" w:cs="仿宋_GB2312"/>
                <w:color w:val="auto"/>
                <w:kern w:val="0"/>
                <w:szCs w:val="21"/>
              </w:rPr>
            </w:pPr>
            <w:r>
              <w:rPr>
                <w:rFonts w:ascii="仿宋_GB2312" w:hAnsi="等线" w:eastAsia="仿宋_GB2312" w:cs="仿宋_GB2312"/>
                <w:color w:val="auto"/>
                <w:kern w:val="0"/>
                <w:szCs w:val="21"/>
              </w:rPr>
              <w:t>指该年该地区3岁以下儿童系统管理人数与某年某地区3岁以下儿童数之比。3 岁以下儿童系统管理人数指该统计年度内3岁以下儿童在本年度内按年龄要求接受生长监测或4</w:t>
            </w:r>
            <w:r>
              <w:rPr>
                <w:rFonts w:hint="eastAsia" w:ascii="仿宋_GB2312" w:hAnsi="等线" w:eastAsia="仿宋_GB2312" w:cs="仿宋_GB2312"/>
                <w:color w:val="auto"/>
                <w:kern w:val="0"/>
                <w:szCs w:val="21"/>
              </w:rPr>
              <w:t>:</w:t>
            </w:r>
            <w:r>
              <w:rPr>
                <w:rFonts w:ascii="仿宋_GB2312" w:hAnsi="等线" w:eastAsia="仿宋_GB2312" w:cs="仿宋_GB2312"/>
                <w:color w:val="auto"/>
                <w:kern w:val="0"/>
                <w:szCs w:val="21"/>
              </w:rPr>
              <w:t>2</w:t>
            </w:r>
            <w:r>
              <w:rPr>
                <w:rFonts w:hint="eastAsia" w:ascii="仿宋_GB2312" w:hAnsi="等线" w:eastAsia="仿宋_GB2312" w:cs="仿宋_GB2312"/>
                <w:color w:val="auto"/>
                <w:kern w:val="0"/>
                <w:szCs w:val="21"/>
              </w:rPr>
              <w:t>:</w:t>
            </w:r>
            <w:r>
              <w:rPr>
                <w:rFonts w:ascii="仿宋_GB2312" w:hAnsi="等线" w:eastAsia="仿宋_GB2312" w:cs="仿宋_GB2312"/>
                <w:color w:val="auto"/>
                <w:kern w:val="0"/>
                <w:szCs w:val="21"/>
              </w:rPr>
              <w:t>2体格检查（身高和体重等）的总人数。新生儿访视时的体检次数不包括在内。</w:t>
            </w:r>
          </w:p>
          <w:p w14:paraId="1F756BB1">
            <w:pPr>
              <w:snapToGrid w:val="0"/>
              <w:spacing w:after="0" w:line="240" w:lineRule="auto"/>
              <w:rPr>
                <w:rFonts w:ascii="仿宋_GB2312" w:hAnsi="仿宋_GB2312" w:eastAsia="仿宋_GB2312" w:cs="仿宋_GB2312"/>
                <w:color w:val="auto"/>
                <w:kern w:val="0"/>
                <w:szCs w:val="21"/>
              </w:rPr>
            </w:pPr>
            <w:r>
              <w:rPr>
                <w:rFonts w:ascii="仿宋_GB2312" w:hAnsi="等线" w:eastAsia="仿宋_GB2312" w:cs="仿宋_GB2312"/>
                <w:color w:val="auto"/>
                <w:kern w:val="0"/>
                <w:szCs w:val="21"/>
              </w:rPr>
              <w:t>该年该地区3岁以下儿童系统管理人数/某年某地区3岁以下儿童数×100</w:t>
            </w:r>
            <w:r>
              <w:rPr>
                <w:rFonts w:hint="eastAsia" w:ascii="仿宋_GB2312" w:hAnsi="等线" w:eastAsia="仿宋_GB2312" w:cs="仿宋_GB2312"/>
                <w:color w:val="auto"/>
                <w:kern w:val="0"/>
                <w:szCs w:val="21"/>
              </w:rPr>
              <w:t>。</w:t>
            </w:r>
          </w:p>
        </w:tc>
        <w:tc>
          <w:tcPr>
            <w:tcW w:w="2268" w:type="dxa"/>
            <w:vAlign w:val="center"/>
          </w:tcPr>
          <w:p w14:paraId="368A4F9B">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38735463">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妇幼处</w:t>
            </w:r>
          </w:p>
        </w:tc>
      </w:tr>
      <w:tr w14:paraId="5420B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72" w:hRule="atLeast"/>
          <w:jc w:val="center"/>
        </w:trPr>
        <w:tc>
          <w:tcPr>
            <w:tcW w:w="988" w:type="dxa"/>
            <w:vMerge w:val="continue"/>
            <w:vAlign w:val="center"/>
          </w:tcPr>
          <w:p w14:paraId="47C2A91A">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1080D0CF">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w:t>
            </w:r>
            <w:r>
              <w:rPr>
                <w:rFonts w:ascii="仿宋_GB2312" w:hAnsi="仿宋_GB2312" w:eastAsia="仿宋_GB2312" w:cs="仿宋_GB2312"/>
                <w:color w:val="auto"/>
                <w:kern w:val="0"/>
                <w:szCs w:val="21"/>
              </w:rPr>
              <w:t>6</w:t>
            </w:r>
          </w:p>
        </w:tc>
        <w:tc>
          <w:tcPr>
            <w:tcW w:w="2977" w:type="dxa"/>
            <w:gridSpan w:val="2"/>
            <w:vAlign w:val="center"/>
          </w:tcPr>
          <w:p w14:paraId="739302CF">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7岁以下儿童健康管理率（%）</w:t>
            </w:r>
          </w:p>
        </w:tc>
        <w:tc>
          <w:tcPr>
            <w:tcW w:w="5811" w:type="dxa"/>
            <w:vAlign w:val="center"/>
          </w:tcPr>
          <w:p w14:paraId="5A68CA6E">
            <w:pPr>
              <w:snapToGrid w:val="0"/>
              <w:spacing w:after="0" w:line="240" w:lineRule="auto"/>
              <w:rPr>
                <w:rFonts w:ascii="仿宋_GB2312" w:hAnsi="等线" w:eastAsia="仿宋_GB2312" w:cs="仿宋_GB2312"/>
                <w:color w:val="auto"/>
                <w:kern w:val="0"/>
                <w:szCs w:val="21"/>
              </w:rPr>
            </w:pPr>
            <w:r>
              <w:rPr>
                <w:rFonts w:ascii="仿宋_GB2312" w:hAnsi="等线" w:eastAsia="仿宋_GB2312" w:cs="仿宋_GB2312"/>
                <w:color w:val="auto"/>
                <w:kern w:val="0"/>
                <w:szCs w:val="21"/>
              </w:rPr>
              <w:t>指该年该地区7岁以下儿童健康管理人数与某年某地区7岁以下儿童数之比。7岁以下儿童健康管理人数指指该统计年度内7岁以下儿童接受1次及以上体格检查（身高和体重等）的总人数。一个儿童当年如接受了多次查体，也只按1人计算。</w:t>
            </w:r>
          </w:p>
          <w:p w14:paraId="42619D9E">
            <w:pPr>
              <w:snapToGrid w:val="0"/>
              <w:spacing w:after="0" w:line="240" w:lineRule="auto"/>
              <w:rPr>
                <w:rFonts w:ascii="仿宋_GB2312" w:hAnsi="仿宋_GB2312" w:eastAsia="仿宋_GB2312" w:cs="仿宋_GB2312"/>
                <w:color w:val="auto"/>
                <w:kern w:val="0"/>
                <w:szCs w:val="21"/>
              </w:rPr>
            </w:pPr>
            <w:r>
              <w:rPr>
                <w:rFonts w:ascii="仿宋_GB2312" w:hAnsi="等线" w:eastAsia="仿宋_GB2312" w:cs="仿宋_GB2312"/>
                <w:color w:val="auto"/>
                <w:kern w:val="0"/>
                <w:szCs w:val="21"/>
              </w:rPr>
              <w:t>该年该地区7岁以下儿童健康管理人数/某年某地区7岁以下儿童数×100</w:t>
            </w:r>
            <w:r>
              <w:rPr>
                <w:rFonts w:hint="eastAsia" w:ascii="仿宋_GB2312" w:hAnsi="仿宋_GB2312" w:eastAsia="仿宋_GB2312" w:cs="仿宋_GB2312"/>
                <w:color w:val="auto"/>
                <w:kern w:val="0"/>
                <w:szCs w:val="21"/>
              </w:rPr>
              <w:t>。</w:t>
            </w:r>
          </w:p>
        </w:tc>
        <w:tc>
          <w:tcPr>
            <w:tcW w:w="2268" w:type="dxa"/>
            <w:vAlign w:val="center"/>
          </w:tcPr>
          <w:p w14:paraId="7D548D88">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1A90456F">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妇幼处</w:t>
            </w:r>
          </w:p>
        </w:tc>
      </w:tr>
      <w:tr w14:paraId="5A04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72" w:hRule="atLeast"/>
          <w:jc w:val="center"/>
        </w:trPr>
        <w:tc>
          <w:tcPr>
            <w:tcW w:w="988" w:type="dxa"/>
            <w:vMerge w:val="continue"/>
            <w:vAlign w:val="center"/>
          </w:tcPr>
          <w:p w14:paraId="694F3250">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69748226">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2</w:t>
            </w:r>
            <w:r>
              <w:rPr>
                <w:rFonts w:ascii="仿宋_GB2312" w:hAnsi="仿宋_GB2312" w:eastAsia="仿宋_GB2312" w:cs="仿宋_GB2312"/>
                <w:color w:val="auto"/>
                <w:szCs w:val="21"/>
              </w:rPr>
              <w:t>7</w:t>
            </w:r>
            <w:r>
              <w:rPr>
                <w:rFonts w:hint="eastAsia" w:ascii="仿宋_GB2312" w:hAnsi="仿宋_GB2312" w:eastAsia="仿宋_GB2312" w:cs="仿宋_GB2312"/>
                <w:color w:val="auto"/>
                <w:kern w:val="0"/>
                <w:szCs w:val="21"/>
              </w:rPr>
              <w:t>＊</w:t>
            </w:r>
          </w:p>
        </w:tc>
        <w:tc>
          <w:tcPr>
            <w:tcW w:w="2977" w:type="dxa"/>
            <w:gridSpan w:val="2"/>
            <w:vAlign w:val="center"/>
          </w:tcPr>
          <w:p w14:paraId="7EFBCCF5">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市县学生体质健康标准达标优良率（%）</w:t>
            </w:r>
          </w:p>
        </w:tc>
        <w:tc>
          <w:tcPr>
            <w:tcW w:w="5811" w:type="dxa"/>
            <w:vAlign w:val="center"/>
          </w:tcPr>
          <w:p w14:paraId="4DF7399B">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《国家学生体质健康标准》是测量学生体质健康状况和锻炼效果的评价标准，该指标指达到优良标准的学生数占参加评定学生总人数的比例。</w:t>
            </w:r>
          </w:p>
          <w:p w14:paraId="7796290F">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学生体质综合评定总分80分及以上学生数/参加评定学生总人数×100。</w:t>
            </w:r>
          </w:p>
        </w:tc>
        <w:tc>
          <w:tcPr>
            <w:tcW w:w="2268" w:type="dxa"/>
            <w:vAlign w:val="center"/>
          </w:tcPr>
          <w:p w14:paraId="09EE10D5">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省教育厅</w:t>
            </w:r>
          </w:p>
        </w:tc>
      </w:tr>
      <w:tr w14:paraId="25D6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637" w:hRule="atLeast"/>
          <w:jc w:val="center"/>
        </w:trPr>
        <w:tc>
          <w:tcPr>
            <w:tcW w:w="988" w:type="dxa"/>
            <w:vMerge w:val="continue"/>
            <w:vAlign w:val="center"/>
          </w:tcPr>
          <w:p w14:paraId="2100FA22">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3A98A64F">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rPr>
              <w:t>2</w:t>
            </w:r>
            <w:r>
              <w:rPr>
                <w:rFonts w:ascii="仿宋_GB2312" w:hAnsi="仿宋_GB2312" w:eastAsia="仿宋_GB2312" w:cs="仿宋_GB2312"/>
                <w:color w:val="auto"/>
              </w:rPr>
              <w:t>8</w:t>
            </w:r>
            <w:r>
              <w:rPr>
                <w:rFonts w:hint="eastAsia" w:ascii="仿宋_GB2312" w:hAnsi="仿宋_GB2312" w:eastAsia="仿宋_GB2312" w:cs="仿宋_GB2312"/>
                <w:color w:val="auto"/>
                <w:kern w:val="0"/>
                <w:szCs w:val="21"/>
              </w:rPr>
              <w:t>＊</w:t>
            </w:r>
          </w:p>
        </w:tc>
        <w:tc>
          <w:tcPr>
            <w:tcW w:w="2977" w:type="dxa"/>
            <w:gridSpan w:val="2"/>
            <w:vAlign w:val="center"/>
          </w:tcPr>
          <w:p w14:paraId="12FF02EF">
            <w:pPr>
              <w:snapToGrid w:val="0"/>
              <w:spacing w:after="0"/>
              <w:rPr>
                <w:rFonts w:ascii="仿宋_GB2312" w:hAnsi="仿宋_GB2312" w:eastAsia="仿宋_GB2312" w:cs="仿宋_GB2312"/>
                <w:color w:val="auto"/>
                <w:spacing w:val="-10"/>
                <w:kern w:val="0"/>
                <w:szCs w:val="21"/>
              </w:rPr>
            </w:pPr>
            <w:r>
              <w:rPr>
                <w:rFonts w:hint="eastAsia" w:ascii="仿宋_GB2312" w:hAnsi="仿宋_GB2312" w:eastAsia="仿宋_GB2312" w:cs="仿宋_GB2312"/>
                <w:color w:val="auto"/>
              </w:rPr>
              <w:t>儿童青少年总体近视率（%）</w:t>
            </w:r>
          </w:p>
        </w:tc>
        <w:tc>
          <w:tcPr>
            <w:tcW w:w="5811" w:type="dxa"/>
            <w:vAlign w:val="center"/>
          </w:tcPr>
          <w:p w14:paraId="1C9CF397">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rPr>
              <w:t>儿童青少年总体近视率。</w:t>
            </w:r>
          </w:p>
          <w:p w14:paraId="7E86B389">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各市县儿童青少年近视总数/各市县儿童青少年总数×100。</w:t>
            </w:r>
          </w:p>
        </w:tc>
        <w:tc>
          <w:tcPr>
            <w:tcW w:w="2268" w:type="dxa"/>
            <w:vAlign w:val="center"/>
          </w:tcPr>
          <w:p w14:paraId="4604E710">
            <w:pPr>
              <w:snapToGrid w:val="0"/>
              <w:spacing w:after="0" w:line="240" w:lineRule="auto"/>
              <w:jc w:val="center"/>
              <w:rPr>
                <w:rFonts w:ascii="仿宋_GB2312" w:hAnsi="仿宋_GB2312" w:eastAsia="CESI黑体-GB2312" w:cs="仿宋_GB2312"/>
                <w:color w:val="auto"/>
                <w:kern w:val="0"/>
                <w:szCs w:val="21"/>
              </w:rPr>
            </w:pPr>
            <w:r>
              <w:rPr>
                <w:rFonts w:hint="eastAsia" w:ascii="CESI黑体-GB2312" w:hAnsi="CESI黑体-GB2312" w:eastAsia="CESI黑体-GB2312" w:cs="CESI黑体-GB2312"/>
                <w:color w:val="auto"/>
                <w:szCs w:val="21"/>
              </w:rPr>
              <w:t>省疾控局</w:t>
            </w:r>
          </w:p>
        </w:tc>
      </w:tr>
      <w:tr w14:paraId="64D8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vAlign w:val="center"/>
          </w:tcPr>
          <w:p w14:paraId="0A4466FD">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6AD4A532">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29</w:t>
            </w:r>
            <w:r>
              <w:rPr>
                <w:rFonts w:hint="eastAsia" w:ascii="仿宋_GB2312" w:hAnsi="仿宋_GB2312" w:eastAsia="仿宋_GB2312" w:cs="仿宋_GB2312"/>
                <w:color w:val="auto"/>
                <w:kern w:val="0"/>
                <w:szCs w:val="21"/>
              </w:rPr>
              <w:t>＊</w:t>
            </w:r>
          </w:p>
        </w:tc>
        <w:tc>
          <w:tcPr>
            <w:tcW w:w="2977" w:type="dxa"/>
            <w:gridSpan w:val="2"/>
            <w:vAlign w:val="center"/>
          </w:tcPr>
          <w:p w14:paraId="17EA53B6">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配备专职校医或保健人员的中小学校比例（%）</w:t>
            </w:r>
          </w:p>
        </w:tc>
        <w:tc>
          <w:tcPr>
            <w:tcW w:w="5811" w:type="dxa"/>
            <w:vAlign w:val="center"/>
          </w:tcPr>
          <w:p w14:paraId="2FDA86B9">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配备专职校医或保健人员的中小学校数/中</w:t>
            </w:r>
            <w:r>
              <w:rPr>
                <w:rFonts w:ascii="仿宋_GB2312" w:hAnsi="仿宋_GB2312" w:eastAsia="仿宋_GB2312" w:cs="仿宋_GB2312"/>
                <w:color w:val="auto"/>
                <w:szCs w:val="21"/>
              </w:rPr>
              <w:t>小学校数</w:t>
            </w:r>
            <w:r>
              <w:rPr>
                <w:rFonts w:hint="eastAsia" w:ascii="仿宋_GB2312" w:hAnsi="仿宋_GB2312" w:eastAsia="仿宋_GB2312" w:cs="仿宋_GB2312"/>
                <w:color w:val="auto"/>
                <w:kern w:val="0"/>
                <w:szCs w:val="21"/>
              </w:rPr>
              <w:t>×100。</w:t>
            </w:r>
          </w:p>
        </w:tc>
        <w:tc>
          <w:tcPr>
            <w:tcW w:w="2268" w:type="dxa"/>
            <w:vAlign w:val="center"/>
          </w:tcPr>
          <w:p w14:paraId="08D4B0FA">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省教育厅</w:t>
            </w:r>
          </w:p>
        </w:tc>
      </w:tr>
      <w:tr w14:paraId="1CCC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restart"/>
            <w:tcBorders>
              <w:left w:val="single" w:color="000000" w:sz="4" w:space="0"/>
            </w:tcBorders>
            <w:vAlign w:val="center"/>
          </w:tcPr>
          <w:p w14:paraId="61E507AB">
            <w:pPr>
              <w:snapToGrid w:val="0"/>
              <w:spacing w:after="0" w:line="240" w:lineRule="auto"/>
              <w:jc w:val="center"/>
              <w:rPr>
                <w:rFonts w:ascii="CESI黑体-GB2312" w:hAnsi="CESI黑体-GB2312" w:eastAsia="CESI黑体-GB2312" w:cs="CESI黑体-GB2312"/>
                <w:color w:val="auto"/>
                <w:kern w:val="0"/>
                <w:szCs w:val="21"/>
              </w:rPr>
            </w:pPr>
            <w:r>
              <w:rPr>
                <w:rFonts w:ascii="CESI黑体-GB2312" w:hAnsi="CESI黑体-GB2312" w:eastAsia="CESI黑体-GB2312" w:cs="CESI黑体-GB2312"/>
                <w:color w:val="auto"/>
                <w:kern w:val="0"/>
                <w:szCs w:val="21"/>
              </w:rPr>
              <w:t>重点人群健康促进</w:t>
            </w:r>
          </w:p>
          <w:p w14:paraId="5E8CAC2A">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398CCC49">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30</w:t>
            </w:r>
            <w:r>
              <w:rPr>
                <w:rFonts w:hint="eastAsia" w:ascii="仿宋_GB2312" w:hAnsi="仿宋_GB2312" w:eastAsia="仿宋_GB2312" w:cs="仿宋_GB2312"/>
                <w:color w:val="auto"/>
                <w:kern w:val="0"/>
                <w:szCs w:val="21"/>
              </w:rPr>
              <w:t>＊</w:t>
            </w:r>
          </w:p>
        </w:tc>
        <w:tc>
          <w:tcPr>
            <w:tcW w:w="2977" w:type="dxa"/>
            <w:gridSpan w:val="2"/>
            <w:vAlign w:val="center"/>
          </w:tcPr>
          <w:p w14:paraId="3D3232C3">
            <w:pPr>
              <w:snapToGrid w:val="0"/>
              <w:spacing w:after="0"/>
              <w:rPr>
                <w:rFonts w:ascii="仿宋_GB2312" w:hAnsi="仿宋_GB2312" w:eastAsia="仿宋_GB2312" w:cs="仿宋_GB2312"/>
                <w:color w:val="auto"/>
                <w:spacing w:val="-10"/>
                <w:kern w:val="0"/>
                <w:szCs w:val="21"/>
              </w:rPr>
            </w:pPr>
            <w:r>
              <w:rPr>
                <w:rFonts w:hint="eastAsia" w:ascii="仿宋_GB2312" w:hAnsi="仿宋_GB2312" w:eastAsia="仿宋_GB2312" w:cs="仿宋_GB2312"/>
                <w:color w:val="auto"/>
                <w:szCs w:val="21"/>
              </w:rPr>
              <w:t>配备专职心理健康教育教师的中小学校比例（%）</w:t>
            </w:r>
          </w:p>
        </w:tc>
        <w:tc>
          <w:tcPr>
            <w:tcW w:w="5811" w:type="dxa"/>
            <w:vAlign w:val="center"/>
          </w:tcPr>
          <w:p w14:paraId="458AEA3A">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配备专兼职心理健康教育教师的中小学校数/中小学校数×100。</w:t>
            </w:r>
          </w:p>
        </w:tc>
        <w:tc>
          <w:tcPr>
            <w:tcW w:w="2268" w:type="dxa"/>
            <w:vAlign w:val="center"/>
          </w:tcPr>
          <w:p w14:paraId="78082A0A">
            <w:pPr>
              <w:snapToGrid w:val="0"/>
              <w:spacing w:after="0" w:line="240" w:lineRule="auto"/>
              <w:jc w:val="center"/>
              <w:rPr>
                <w:rFonts w:ascii="仿宋_GB2312" w:hAnsi="仿宋_GB2312" w:eastAsia="仿宋_GB2312" w:cs="仿宋_GB2312"/>
                <w:color w:val="auto"/>
                <w:kern w:val="0"/>
                <w:szCs w:val="21"/>
              </w:rPr>
            </w:pPr>
            <w:r>
              <w:rPr>
                <w:rFonts w:hint="eastAsia" w:ascii="CESI黑体-GB2312" w:hAnsi="CESI黑体-GB2312" w:eastAsia="CESI黑体-GB2312" w:cs="CESI黑体-GB2312"/>
                <w:color w:val="auto"/>
                <w:szCs w:val="21"/>
              </w:rPr>
              <w:t>省教育厅</w:t>
            </w:r>
          </w:p>
        </w:tc>
      </w:tr>
      <w:tr w14:paraId="105B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541" w:hRule="atLeast"/>
          <w:jc w:val="center"/>
        </w:trPr>
        <w:tc>
          <w:tcPr>
            <w:tcW w:w="988" w:type="dxa"/>
            <w:vMerge w:val="continue"/>
            <w:tcBorders>
              <w:left w:val="single" w:color="000000" w:sz="4" w:space="0"/>
            </w:tcBorders>
            <w:vAlign w:val="center"/>
          </w:tcPr>
          <w:p w14:paraId="6B3A8CDF">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72946783">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w:t>
            </w:r>
            <w:r>
              <w:rPr>
                <w:rFonts w:ascii="仿宋_GB2312" w:hAnsi="仿宋_GB2312" w:eastAsia="仿宋_GB2312" w:cs="仿宋_GB2312"/>
                <w:color w:val="auto"/>
                <w:kern w:val="0"/>
                <w:szCs w:val="21"/>
              </w:rPr>
              <w:t>1</w:t>
            </w:r>
            <w:r>
              <w:rPr>
                <w:rFonts w:ascii="Arial" w:hAnsi="Arial" w:eastAsia="仿宋_GB2312" w:cs="Arial"/>
                <w:color w:val="auto"/>
                <w:kern w:val="0"/>
                <w:szCs w:val="21"/>
              </w:rPr>
              <w:t>＊</w:t>
            </w:r>
          </w:p>
        </w:tc>
        <w:tc>
          <w:tcPr>
            <w:tcW w:w="2977" w:type="dxa"/>
            <w:gridSpan w:val="2"/>
            <w:vAlign w:val="center"/>
          </w:tcPr>
          <w:p w14:paraId="688F9DF7">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工作场所职业病危害因素监测合格率（%）</w:t>
            </w:r>
          </w:p>
        </w:tc>
        <w:tc>
          <w:tcPr>
            <w:tcW w:w="5811" w:type="dxa"/>
            <w:vAlign w:val="center"/>
          </w:tcPr>
          <w:p w14:paraId="20256F06">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工作场所职业病危害因素监测合格率=工作场所职业病危害因素合格岗位数/工作场所职业病危害因素检测岗位数。</w:t>
            </w:r>
          </w:p>
        </w:tc>
        <w:tc>
          <w:tcPr>
            <w:tcW w:w="2268" w:type="dxa"/>
            <w:vAlign w:val="center"/>
          </w:tcPr>
          <w:p w14:paraId="0DB19C1C">
            <w:pPr>
              <w:snapToGrid w:val="0"/>
              <w:spacing w:after="0" w:line="240" w:lineRule="auto"/>
              <w:jc w:val="center"/>
              <w:rPr>
                <w:rFonts w:ascii="CESI黑体-GB2312" w:hAnsi="CESI黑体-GB2312" w:eastAsia="CESI黑体-GB2312" w:cs="CESI黑体-GB2312"/>
                <w:color w:val="auto"/>
                <w:szCs w:val="21"/>
              </w:rPr>
            </w:pPr>
          </w:p>
          <w:p w14:paraId="5C0EAD25">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557AB578">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健康促进处</w:t>
            </w:r>
          </w:p>
        </w:tc>
      </w:tr>
      <w:tr w14:paraId="5ED0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2" w:hRule="atLeast"/>
          <w:jc w:val="center"/>
        </w:trPr>
        <w:tc>
          <w:tcPr>
            <w:tcW w:w="988" w:type="dxa"/>
            <w:vMerge w:val="continue"/>
            <w:tcBorders>
              <w:left w:val="single" w:color="000000" w:sz="4" w:space="0"/>
            </w:tcBorders>
            <w:vAlign w:val="center"/>
          </w:tcPr>
          <w:p w14:paraId="58BBB6A1">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227E3974">
            <w:pPr>
              <w:snapToGrid w:val="0"/>
              <w:spacing w:after="0" w:line="240" w:lineRule="auto"/>
              <w:jc w:val="center"/>
              <w:rPr>
                <w:rFonts w:ascii="仿宋_GB2312" w:hAnsi="仿宋_GB2312" w:eastAsia="仿宋_GB2312" w:cs="仿宋_GB2312"/>
                <w:color w:val="auto"/>
                <w:szCs w:val="21"/>
              </w:rPr>
            </w:pPr>
            <w:r>
              <w:rPr>
                <w:rFonts w:ascii="仿宋_GB2312" w:hAnsi="仿宋_GB2312" w:eastAsia="仿宋_GB2312" w:cs="仿宋_GB2312"/>
                <w:color w:val="auto"/>
                <w:kern w:val="0"/>
                <w:szCs w:val="21"/>
              </w:rPr>
              <w:t>32</w:t>
            </w:r>
            <w:r>
              <w:rPr>
                <w:rFonts w:ascii="Arial" w:hAnsi="Arial" w:eastAsia="仿宋_GB2312" w:cs="Arial"/>
                <w:color w:val="auto"/>
                <w:kern w:val="0"/>
                <w:szCs w:val="21"/>
              </w:rPr>
              <w:t>＊</w:t>
            </w:r>
          </w:p>
        </w:tc>
        <w:tc>
          <w:tcPr>
            <w:tcW w:w="2977" w:type="dxa"/>
            <w:gridSpan w:val="2"/>
            <w:vAlign w:val="center"/>
          </w:tcPr>
          <w:p w14:paraId="5DA22BCF">
            <w:pPr>
              <w:snapToGrid w:val="0"/>
              <w:spacing w:after="0"/>
              <w:rPr>
                <w:rFonts w:ascii="仿宋_GB2312" w:hAnsi="仿宋_GB2312" w:eastAsia="仿宋_GB2312" w:cs="仿宋_GB2312"/>
                <w:color w:val="auto"/>
                <w:szCs w:val="21"/>
              </w:rPr>
            </w:pPr>
            <w:r>
              <w:rPr>
                <w:rFonts w:hint="eastAsia" w:ascii="仿宋_GB2312" w:hAnsi="仿宋_GB2312" w:eastAsia="仿宋_GB2312" w:cs="仿宋_GB2312"/>
                <w:color w:val="auto"/>
                <w:kern w:val="0"/>
                <w:sz w:val="21"/>
                <w:szCs w:val="21"/>
              </w:rPr>
              <w:t>职业病危害项目申报率（%）</w:t>
            </w:r>
          </w:p>
        </w:tc>
        <w:tc>
          <w:tcPr>
            <w:tcW w:w="5811" w:type="dxa"/>
            <w:vAlign w:val="center"/>
          </w:tcPr>
          <w:p w14:paraId="4E1DA710">
            <w:pPr>
              <w:snapToGrid w:val="0"/>
              <w:spacing w:after="0" w:line="240" w:lineRule="auto"/>
              <w:rPr>
                <w:rFonts w:ascii="仿宋_GB2312" w:hAnsi="仿宋_GB2312" w:eastAsia="仿宋_GB2312" w:cs="仿宋_GB2312"/>
                <w:color w:val="auto"/>
                <w:szCs w:val="21"/>
              </w:rPr>
            </w:pPr>
            <w:r>
              <w:rPr>
                <w:rFonts w:hint="eastAsia" w:ascii="仿宋_GB2312" w:hAnsi="仿宋_GB2312" w:eastAsia="仿宋_GB2312" w:cs="仿宋_GB2312"/>
                <w:color w:val="auto"/>
                <w:kern w:val="0"/>
                <w:sz w:val="21"/>
                <w:szCs w:val="21"/>
              </w:rPr>
              <w:t>工业企业职业病危害项目申报率=申报职业病危害的工业企业数量/存在职业病危害的工业企业数量。</w:t>
            </w:r>
          </w:p>
        </w:tc>
        <w:tc>
          <w:tcPr>
            <w:tcW w:w="2268" w:type="dxa"/>
            <w:vAlign w:val="center"/>
          </w:tcPr>
          <w:p w14:paraId="48D69F20">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116810D5">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健康促进处</w:t>
            </w:r>
          </w:p>
        </w:tc>
      </w:tr>
      <w:tr w14:paraId="23B7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tcBorders>
              <w:left w:val="single" w:color="000000" w:sz="4" w:space="0"/>
            </w:tcBorders>
            <w:vAlign w:val="center"/>
          </w:tcPr>
          <w:p w14:paraId="548E3273">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5081791F">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w:t>
            </w:r>
            <w:r>
              <w:rPr>
                <w:rFonts w:ascii="仿宋_GB2312" w:hAnsi="仿宋_GB2312" w:eastAsia="仿宋_GB2312" w:cs="仿宋_GB2312"/>
                <w:color w:val="auto"/>
                <w:kern w:val="0"/>
                <w:szCs w:val="21"/>
              </w:rPr>
              <w:t>3</w:t>
            </w:r>
          </w:p>
        </w:tc>
        <w:tc>
          <w:tcPr>
            <w:tcW w:w="2977" w:type="dxa"/>
            <w:gridSpan w:val="2"/>
            <w:vAlign w:val="center"/>
          </w:tcPr>
          <w:p w14:paraId="065F0183">
            <w:pPr>
              <w:snapToGrid w:val="0"/>
              <w:spacing w:after="0"/>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rPr>
              <w:t>辖区职业健康检查和职业病诊断服务覆盖率（%）</w:t>
            </w:r>
          </w:p>
        </w:tc>
        <w:tc>
          <w:tcPr>
            <w:tcW w:w="5811" w:type="dxa"/>
            <w:vAlign w:val="center"/>
          </w:tcPr>
          <w:p w14:paraId="03543FD4">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设区的市至少有1家医疗卫生机构承担本辖区内职业病诊断工作，县级行政区域原则上至少有1家医疗卫生机构承担本辖区职业健康检查工作，实现“地市能诊断，县区能体检”。</w:t>
            </w:r>
          </w:p>
          <w:p w14:paraId="6DCD1E8B">
            <w:pPr>
              <w:snapToGrid w:val="0"/>
              <w:spacing w:after="0" w:line="240" w:lineRule="auto"/>
              <w:rPr>
                <w:rFonts w:ascii="仿宋_GB2312" w:hAnsi="仿宋_GB2312" w:eastAsia="仿宋_GB2312" w:cs="仿宋_GB2312"/>
                <w:color w:val="auto"/>
                <w:szCs w:val="21"/>
              </w:rPr>
            </w:pPr>
            <w:r>
              <w:rPr>
                <w:rFonts w:ascii="仿宋_GB2312" w:hAnsi="仿宋_GB2312" w:eastAsia="仿宋_GB2312" w:cs="仿宋_GB2312"/>
                <w:color w:val="auto"/>
                <w:kern w:val="0"/>
                <w:szCs w:val="21"/>
              </w:rPr>
              <w:t>1.</w:t>
            </w:r>
            <w:r>
              <w:rPr>
                <w:rFonts w:hint="eastAsia" w:ascii="仿宋_GB2312" w:hAnsi="仿宋_GB2312" w:eastAsia="仿宋_GB2312" w:cs="仿宋_GB2312"/>
                <w:color w:val="auto"/>
                <w:kern w:val="0"/>
                <w:szCs w:val="21"/>
              </w:rPr>
              <w:t>职业健康检查服务覆盖率=本年度辖区内“至少有1家医疗卫生机构承担职业健康检查”的县区数/ 本年度辖区内原则上应当“至少有1家医疗卫生机构承担职业健康检查”的县区数×100；2.职业病诊断服务覆盖率=本年度辖区内至少有1家医疗卫生机构承担职业病诊断的设区的市的数量/ 本年度辖区内设区的市的数量×100。</w:t>
            </w:r>
          </w:p>
        </w:tc>
        <w:tc>
          <w:tcPr>
            <w:tcW w:w="2268" w:type="dxa"/>
            <w:vAlign w:val="center"/>
          </w:tcPr>
          <w:p w14:paraId="1B5CCE42">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2CB9CACC">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健康促进处</w:t>
            </w:r>
          </w:p>
        </w:tc>
      </w:tr>
      <w:tr w14:paraId="7D29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tcBorders>
              <w:left w:val="single" w:color="000000" w:sz="4" w:space="0"/>
            </w:tcBorders>
            <w:vAlign w:val="center"/>
          </w:tcPr>
          <w:p w14:paraId="1298F029">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02B57F72">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w:t>
            </w:r>
            <w:r>
              <w:rPr>
                <w:rFonts w:ascii="仿宋_GB2312" w:hAnsi="仿宋_GB2312" w:eastAsia="仿宋_GB2312" w:cs="仿宋_GB2312"/>
                <w:color w:val="auto"/>
                <w:kern w:val="0"/>
                <w:szCs w:val="21"/>
              </w:rPr>
              <w:t>4</w:t>
            </w:r>
          </w:p>
        </w:tc>
        <w:tc>
          <w:tcPr>
            <w:tcW w:w="2977" w:type="dxa"/>
            <w:gridSpan w:val="2"/>
            <w:vAlign w:val="center"/>
          </w:tcPr>
          <w:p w14:paraId="64BF2A1B">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65岁以上老年人规范化健康管理覆盖率(%)</w:t>
            </w:r>
          </w:p>
        </w:tc>
        <w:tc>
          <w:tcPr>
            <w:tcW w:w="5811" w:type="dxa"/>
            <w:vAlign w:val="center"/>
          </w:tcPr>
          <w:p w14:paraId="15206970">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指某年度辖区内65岁及以上常住居民接受规范化健康管理的比例。</w:t>
            </w:r>
          </w:p>
          <w:p w14:paraId="33061F25">
            <w:pPr>
              <w:snapToGrid w:val="0"/>
              <w:spacing w:after="0" w:line="240" w:lineRule="auto"/>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rPr>
              <w:t>年内辖区内65岁及以上常住居民接受规范化健康管理人数/年内辖区内65岁及以上常住居民人数×100。</w:t>
            </w:r>
          </w:p>
        </w:tc>
        <w:tc>
          <w:tcPr>
            <w:tcW w:w="2268" w:type="dxa"/>
            <w:vAlign w:val="center"/>
          </w:tcPr>
          <w:p w14:paraId="4EA969FD">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366EE85F">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基层处</w:t>
            </w:r>
          </w:p>
        </w:tc>
      </w:tr>
      <w:tr w14:paraId="2155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tcBorders>
              <w:left w:val="single" w:color="000000" w:sz="4" w:space="0"/>
            </w:tcBorders>
            <w:vAlign w:val="center"/>
          </w:tcPr>
          <w:p w14:paraId="1D87D1E0">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13AB6394">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w:t>
            </w:r>
            <w:r>
              <w:rPr>
                <w:rFonts w:ascii="仿宋_GB2312" w:hAnsi="仿宋_GB2312" w:eastAsia="仿宋_GB2312" w:cs="仿宋_GB2312"/>
                <w:color w:val="auto"/>
                <w:kern w:val="0"/>
                <w:szCs w:val="21"/>
              </w:rPr>
              <w:t>5</w:t>
            </w:r>
          </w:p>
        </w:tc>
        <w:tc>
          <w:tcPr>
            <w:tcW w:w="2977" w:type="dxa"/>
            <w:gridSpan w:val="2"/>
            <w:vAlign w:val="center"/>
          </w:tcPr>
          <w:p w14:paraId="1A4AA1DC">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医养结合机构数量（家）</w:t>
            </w:r>
          </w:p>
        </w:tc>
        <w:tc>
          <w:tcPr>
            <w:tcW w:w="5811" w:type="dxa"/>
            <w:vAlign w:val="center"/>
          </w:tcPr>
          <w:p w14:paraId="244E744D">
            <w:pPr>
              <w:snapToGrid w:val="0"/>
              <w:spacing w:after="0" w:line="240" w:lineRule="auto"/>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rPr>
              <w:t>指同时具备医疗卫生资质和养老服务能力的医疗卫生机构或养老机构）数量。</w:t>
            </w:r>
          </w:p>
        </w:tc>
        <w:tc>
          <w:tcPr>
            <w:tcW w:w="2268" w:type="dxa"/>
            <w:vAlign w:val="center"/>
          </w:tcPr>
          <w:p w14:paraId="36011F15">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12D9119D">
            <w:pPr>
              <w:snapToGrid w:val="0"/>
              <w:spacing w:after="0" w:line="240" w:lineRule="auto"/>
              <w:jc w:val="center"/>
              <w:rPr>
                <w:rFonts w:ascii="CESI黑体-GB2312" w:hAnsi="CESI黑体-GB2312" w:eastAsia="CESI黑体-GB2312" w:cs="CESI黑体-GB2312"/>
                <w:color w:val="auto"/>
                <w:kern w:val="0"/>
                <w:szCs w:val="21"/>
              </w:rPr>
            </w:pPr>
            <w:r>
              <w:rPr>
                <w:rFonts w:ascii="CESI黑体-GB2312" w:hAnsi="CESI黑体-GB2312" w:eastAsia="CESI黑体-GB2312" w:cs="CESI黑体-GB2312"/>
                <w:color w:val="auto"/>
                <w:szCs w:val="21"/>
              </w:rPr>
              <w:t>老龄处</w:t>
            </w:r>
          </w:p>
        </w:tc>
      </w:tr>
      <w:tr w14:paraId="3DED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restart"/>
            <w:tcBorders>
              <w:left w:val="single" w:color="000000" w:sz="4" w:space="0"/>
            </w:tcBorders>
            <w:vAlign w:val="center"/>
          </w:tcPr>
          <w:p w14:paraId="36EA9EE9">
            <w:pPr>
              <w:snapToGrid w:val="0"/>
              <w:spacing w:after="0" w:line="240" w:lineRule="auto"/>
              <w:jc w:val="center"/>
              <w:rPr>
                <w:rFonts w:ascii="CESI黑体-GB2312" w:hAnsi="CESI黑体-GB2312" w:eastAsia="CESI黑体-GB2312" w:cs="CESI黑体-GB2312"/>
                <w:color w:val="auto"/>
                <w:kern w:val="0"/>
                <w:szCs w:val="21"/>
              </w:rPr>
            </w:pPr>
            <w:r>
              <w:rPr>
                <w:rFonts w:ascii="CESI黑体-GB2312" w:hAnsi="CESI黑体-GB2312" w:eastAsia="CESI黑体-GB2312" w:cs="CESI黑体-GB2312"/>
                <w:color w:val="auto"/>
                <w:kern w:val="0"/>
                <w:szCs w:val="21"/>
              </w:rPr>
              <w:t>重点人群健康促进</w:t>
            </w:r>
          </w:p>
        </w:tc>
        <w:tc>
          <w:tcPr>
            <w:tcW w:w="992" w:type="dxa"/>
            <w:vAlign w:val="center"/>
          </w:tcPr>
          <w:p w14:paraId="6DC6A6F5">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w:t>
            </w:r>
            <w:r>
              <w:rPr>
                <w:rFonts w:ascii="仿宋_GB2312" w:hAnsi="仿宋_GB2312" w:eastAsia="仿宋_GB2312" w:cs="仿宋_GB2312"/>
                <w:color w:val="auto"/>
                <w:kern w:val="0"/>
                <w:szCs w:val="21"/>
              </w:rPr>
              <w:t>6</w:t>
            </w:r>
            <w:r>
              <w:rPr>
                <w:rFonts w:hint="eastAsia" w:ascii="仿宋_GB2312" w:hAnsi="仿宋_GB2312" w:eastAsia="仿宋_GB2312" w:cs="仿宋_GB2312"/>
                <w:color w:val="auto"/>
                <w:kern w:val="0"/>
                <w:szCs w:val="21"/>
              </w:rPr>
              <w:t>＊</w:t>
            </w:r>
          </w:p>
        </w:tc>
        <w:tc>
          <w:tcPr>
            <w:tcW w:w="2977" w:type="dxa"/>
            <w:gridSpan w:val="2"/>
            <w:vAlign w:val="center"/>
          </w:tcPr>
          <w:p w14:paraId="67DF33C5">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二级以上公立综合性医院设老年医学科比例（%）</w:t>
            </w:r>
          </w:p>
        </w:tc>
        <w:tc>
          <w:tcPr>
            <w:tcW w:w="5811" w:type="dxa"/>
            <w:vAlign w:val="center"/>
          </w:tcPr>
          <w:p w14:paraId="27288061">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设置老年医学科的二级以上综合性医院比例，综合性医院包括综合医院、中医医院、中西医结合医院和民族医院。</w:t>
            </w:r>
          </w:p>
          <w:p w14:paraId="455F78BF">
            <w:pPr>
              <w:snapToGrid w:val="0"/>
              <w:spacing w:after="0" w:line="240" w:lineRule="auto"/>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rPr>
              <w:t>设置老年医学科的二级以上公立综合性医院数/二级以上公立综合性医院数×100。</w:t>
            </w:r>
          </w:p>
        </w:tc>
        <w:tc>
          <w:tcPr>
            <w:tcW w:w="2268" w:type="dxa"/>
            <w:vAlign w:val="center"/>
          </w:tcPr>
          <w:p w14:paraId="5C136AD2">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0CD776D8">
            <w:pPr>
              <w:snapToGrid w:val="0"/>
              <w:spacing w:after="0" w:line="240" w:lineRule="auto"/>
              <w:jc w:val="center"/>
              <w:rPr>
                <w:rFonts w:ascii="仿宋_GB2312" w:hAnsi="仿宋_GB2312" w:eastAsia="仿宋_GB2312" w:cs="仿宋_GB2312"/>
                <w:color w:val="auto"/>
                <w:kern w:val="0"/>
                <w:szCs w:val="21"/>
              </w:rPr>
            </w:pPr>
            <w:r>
              <w:rPr>
                <w:rFonts w:ascii="CESI黑体-GB2312" w:hAnsi="CESI黑体-GB2312" w:eastAsia="CESI黑体-GB2312" w:cs="CESI黑体-GB2312"/>
                <w:color w:val="auto"/>
                <w:szCs w:val="21"/>
              </w:rPr>
              <w:t>老龄处</w:t>
            </w:r>
          </w:p>
        </w:tc>
      </w:tr>
      <w:tr w14:paraId="4E7E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tcBorders>
              <w:left w:val="single" w:color="000000" w:sz="4" w:space="0"/>
            </w:tcBorders>
            <w:vAlign w:val="center"/>
          </w:tcPr>
          <w:p w14:paraId="6CF4C121">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0E13D066">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w:t>
            </w:r>
            <w:r>
              <w:rPr>
                <w:rFonts w:ascii="仿宋_GB2312" w:hAnsi="仿宋_GB2312" w:eastAsia="仿宋_GB2312" w:cs="仿宋_GB2312"/>
                <w:color w:val="auto"/>
                <w:kern w:val="0"/>
                <w:szCs w:val="21"/>
              </w:rPr>
              <w:t>7</w:t>
            </w:r>
            <w:r>
              <w:rPr>
                <w:rFonts w:hint="eastAsia" w:ascii="仿宋_GB2312" w:hAnsi="仿宋_GB2312" w:eastAsia="仿宋_GB2312" w:cs="仿宋_GB2312"/>
                <w:color w:val="auto"/>
                <w:kern w:val="0"/>
                <w:szCs w:val="21"/>
              </w:rPr>
              <w:t>＊</w:t>
            </w:r>
          </w:p>
        </w:tc>
        <w:tc>
          <w:tcPr>
            <w:tcW w:w="2977" w:type="dxa"/>
            <w:gridSpan w:val="2"/>
            <w:vAlign w:val="center"/>
          </w:tcPr>
          <w:p w14:paraId="0240327F">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三级中医医院设置康复科比例（%）</w:t>
            </w:r>
          </w:p>
        </w:tc>
        <w:tc>
          <w:tcPr>
            <w:tcW w:w="5811" w:type="dxa"/>
            <w:vAlign w:val="center"/>
          </w:tcPr>
          <w:p w14:paraId="429B0B1B">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设置康复科的三级中医医院比例。</w:t>
            </w:r>
          </w:p>
          <w:p w14:paraId="1DB1160D">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设置康复科的三级中医医院数/三级中医医院数×100。</w:t>
            </w:r>
          </w:p>
        </w:tc>
        <w:tc>
          <w:tcPr>
            <w:tcW w:w="2268" w:type="dxa"/>
            <w:vAlign w:val="center"/>
          </w:tcPr>
          <w:p w14:paraId="5339CC44">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省中医药管理局</w:t>
            </w:r>
          </w:p>
        </w:tc>
      </w:tr>
      <w:tr w14:paraId="5925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tcBorders>
              <w:left w:val="single" w:color="000000" w:sz="4" w:space="0"/>
            </w:tcBorders>
            <w:vAlign w:val="center"/>
          </w:tcPr>
          <w:p w14:paraId="51F7E8C1">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0BFDA270">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w:t>
            </w:r>
            <w:r>
              <w:rPr>
                <w:rFonts w:ascii="仿宋_GB2312" w:hAnsi="仿宋_GB2312" w:eastAsia="仿宋_GB2312" w:cs="仿宋_GB2312"/>
                <w:color w:val="auto"/>
                <w:kern w:val="0"/>
                <w:szCs w:val="21"/>
              </w:rPr>
              <w:t>8</w:t>
            </w:r>
          </w:p>
        </w:tc>
        <w:tc>
          <w:tcPr>
            <w:tcW w:w="2977" w:type="dxa"/>
            <w:gridSpan w:val="2"/>
            <w:vAlign w:val="center"/>
          </w:tcPr>
          <w:p w14:paraId="5E3BC651">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新生儿听力筛查率（%）</w:t>
            </w:r>
          </w:p>
        </w:tc>
        <w:tc>
          <w:tcPr>
            <w:tcW w:w="5811" w:type="dxa"/>
            <w:vAlign w:val="center"/>
          </w:tcPr>
          <w:p w14:paraId="34DA8A9B">
            <w:pPr>
              <w:snapToGrid w:val="0"/>
              <w:spacing w:after="0" w:line="240" w:lineRule="auto"/>
              <w:jc w:val="both"/>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指</w:t>
            </w:r>
            <w:r>
              <w:rPr>
                <w:rFonts w:hint="eastAsia" w:ascii="仿宋_GB2312" w:hAnsi="等线" w:eastAsia="仿宋_GB2312" w:cs="仿宋_GB2312"/>
                <w:color w:val="auto"/>
                <w:kern w:val="0"/>
                <w:szCs w:val="21"/>
              </w:rPr>
              <w:t>该年该地区</w:t>
            </w:r>
            <w:r>
              <w:rPr>
                <w:rFonts w:hint="eastAsia" w:ascii="仿宋_GB2312" w:hAnsi="仿宋_GB2312" w:eastAsia="仿宋_GB2312" w:cs="仿宋_GB2312"/>
                <w:color w:val="auto"/>
                <w:kern w:val="0"/>
                <w:szCs w:val="21"/>
              </w:rPr>
              <w:t>接受听力障碍筛查的新生儿数</w:t>
            </w:r>
            <w:r>
              <w:rPr>
                <w:rFonts w:hint="eastAsia" w:ascii="仿宋_GB2312" w:hAnsi="等线" w:eastAsia="仿宋_GB2312" w:cs="仿宋_GB2312"/>
                <w:color w:val="auto"/>
                <w:kern w:val="0"/>
                <w:szCs w:val="21"/>
              </w:rPr>
              <w:t>与</w:t>
            </w:r>
            <w:r>
              <w:rPr>
                <w:rFonts w:hint="eastAsia" w:ascii="仿宋_GB2312" w:hAnsi="仿宋_GB2312" w:eastAsia="仿宋_GB2312" w:cs="仿宋_GB2312"/>
                <w:color w:val="auto"/>
                <w:kern w:val="0"/>
                <w:szCs w:val="21"/>
              </w:rPr>
              <w:t>某年某地</w:t>
            </w:r>
            <w:r>
              <w:rPr>
                <w:rFonts w:hint="eastAsia" w:ascii="仿宋_GB2312" w:hAnsi="等线" w:eastAsia="仿宋_GB2312" w:cs="仿宋_GB2312"/>
                <w:color w:val="auto"/>
                <w:kern w:val="0"/>
                <w:szCs w:val="21"/>
              </w:rPr>
              <w:t>区活产数之比</w:t>
            </w:r>
            <w:r>
              <w:rPr>
                <w:rFonts w:hint="eastAsia" w:ascii="仿宋_GB2312" w:hAnsi="仿宋_GB2312" w:eastAsia="仿宋_GB2312" w:cs="仿宋_GB2312"/>
                <w:color w:val="auto"/>
                <w:kern w:val="0"/>
                <w:szCs w:val="21"/>
              </w:rPr>
              <w:t>。新生儿听力障碍筛查人数指该地区该统计年度内接受了自动听性脑干反应和</w:t>
            </w:r>
            <w:r>
              <w:rPr>
                <w:rFonts w:ascii="仿宋_GB2312" w:hAnsi="仿宋_GB2312" w:eastAsia="仿宋_GB2312" w:cs="仿宋_GB2312"/>
                <w:color w:val="auto"/>
                <w:kern w:val="0"/>
                <w:szCs w:val="21"/>
              </w:rPr>
              <w:t>/或耳声发</w:t>
            </w:r>
            <w:r>
              <w:rPr>
                <w:rFonts w:hint="eastAsia" w:ascii="仿宋_GB2312" w:hAnsi="仿宋_GB2312" w:eastAsia="仿宋_GB2312" w:cs="仿宋_GB2312"/>
                <w:color w:val="auto"/>
                <w:kern w:val="0"/>
                <w:szCs w:val="21"/>
              </w:rPr>
              <w:t>射筛查的新生儿数。接受多次新生儿听力筛查的新生儿按</w:t>
            </w:r>
            <w:r>
              <w:rPr>
                <w:rFonts w:ascii="仿宋_GB2312" w:hAnsi="仿宋_GB2312" w:eastAsia="仿宋_GB2312" w:cs="仿宋_GB2312"/>
                <w:color w:val="auto"/>
                <w:kern w:val="0"/>
                <w:szCs w:val="21"/>
              </w:rPr>
              <w:t>1</w:t>
            </w:r>
            <w:r>
              <w:rPr>
                <w:rFonts w:hint="eastAsia" w:ascii="仿宋_GB2312" w:hAnsi="仿宋_GB2312" w:eastAsia="仿宋_GB2312" w:cs="仿宋_GB2312"/>
                <w:color w:val="auto"/>
                <w:kern w:val="0"/>
                <w:szCs w:val="21"/>
              </w:rPr>
              <w:t>人统计。</w:t>
            </w:r>
          </w:p>
          <w:p w14:paraId="58DFC4BF">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该年该地</w:t>
            </w:r>
            <w:r>
              <w:rPr>
                <w:rFonts w:hint="eastAsia" w:ascii="仿宋_GB2312" w:hAnsi="等线" w:eastAsia="仿宋_GB2312" w:cs="仿宋_GB2312"/>
                <w:color w:val="auto"/>
                <w:kern w:val="0"/>
                <w:szCs w:val="21"/>
              </w:rPr>
              <w:t>区</w:t>
            </w:r>
            <w:r>
              <w:rPr>
                <w:rFonts w:hint="eastAsia" w:ascii="仿宋_GB2312" w:hAnsi="仿宋_GB2312" w:eastAsia="仿宋_GB2312" w:cs="仿宋_GB2312"/>
                <w:color w:val="auto"/>
                <w:kern w:val="0"/>
                <w:szCs w:val="21"/>
              </w:rPr>
              <w:t>新生儿听力筛查人数</w:t>
            </w:r>
            <w:r>
              <w:rPr>
                <w:rFonts w:ascii="仿宋_GB2312" w:hAnsi="仿宋_GB2312" w:eastAsia="仿宋_GB2312" w:cs="仿宋_GB2312"/>
                <w:color w:val="auto"/>
                <w:kern w:val="0"/>
                <w:szCs w:val="21"/>
              </w:rPr>
              <w:t>/</w:t>
            </w:r>
            <w:r>
              <w:rPr>
                <w:rFonts w:hint="eastAsia" w:ascii="仿宋_GB2312" w:hAnsi="仿宋_GB2312" w:eastAsia="仿宋_GB2312" w:cs="仿宋_GB2312"/>
                <w:color w:val="auto"/>
                <w:kern w:val="0"/>
                <w:szCs w:val="21"/>
              </w:rPr>
              <w:t>某年某地</w:t>
            </w:r>
            <w:r>
              <w:rPr>
                <w:rFonts w:hint="eastAsia" w:ascii="仿宋_GB2312" w:hAnsi="等线" w:eastAsia="仿宋_GB2312" w:cs="仿宋_GB2312"/>
                <w:color w:val="auto"/>
                <w:kern w:val="0"/>
                <w:szCs w:val="21"/>
              </w:rPr>
              <w:t>区</w:t>
            </w:r>
            <w:r>
              <w:rPr>
                <w:rFonts w:hint="eastAsia" w:ascii="仿宋_GB2312" w:hAnsi="仿宋_GB2312" w:eastAsia="仿宋_GB2312" w:cs="仿宋_GB2312"/>
                <w:color w:val="auto"/>
                <w:kern w:val="0"/>
                <w:szCs w:val="21"/>
              </w:rPr>
              <w:t>活产数×</w:t>
            </w:r>
            <w:r>
              <w:rPr>
                <w:rFonts w:ascii="仿宋_GB2312" w:hAnsi="仿宋_GB2312" w:eastAsia="仿宋_GB2312" w:cs="仿宋_GB2312"/>
                <w:color w:val="auto"/>
                <w:kern w:val="0"/>
                <w:szCs w:val="21"/>
              </w:rPr>
              <w:t>100</w:t>
            </w:r>
            <w:r>
              <w:rPr>
                <w:rFonts w:hint="eastAsia" w:ascii="仿宋_GB2312" w:hAnsi="仿宋_GB2312" w:eastAsia="仿宋_GB2312" w:cs="仿宋_GB2312"/>
                <w:color w:val="auto"/>
                <w:kern w:val="0"/>
                <w:szCs w:val="21"/>
              </w:rPr>
              <w:t>。</w:t>
            </w:r>
          </w:p>
        </w:tc>
        <w:tc>
          <w:tcPr>
            <w:tcW w:w="2268" w:type="dxa"/>
            <w:vAlign w:val="center"/>
          </w:tcPr>
          <w:p w14:paraId="6E911345">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700C22C2">
            <w:pPr>
              <w:snapToGrid w:val="0"/>
              <w:spacing w:after="0" w:line="240" w:lineRule="auto"/>
              <w:jc w:val="center"/>
              <w:rPr>
                <w:rFonts w:ascii="仿宋_GB2312" w:hAnsi="仿宋_GB2312" w:eastAsia="仿宋_GB2312" w:cs="仿宋_GB2312"/>
                <w:color w:val="auto"/>
                <w:kern w:val="0"/>
                <w:szCs w:val="21"/>
              </w:rPr>
            </w:pPr>
            <w:r>
              <w:rPr>
                <w:rFonts w:hint="eastAsia" w:ascii="CESI黑体-GB2312" w:hAnsi="CESI黑体-GB2312" w:eastAsia="CESI黑体-GB2312" w:cs="CESI黑体-GB2312"/>
                <w:color w:val="auto"/>
                <w:szCs w:val="21"/>
              </w:rPr>
              <w:t>妇幼处</w:t>
            </w:r>
          </w:p>
        </w:tc>
      </w:tr>
      <w:tr w14:paraId="7769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tcBorders>
              <w:left w:val="single" w:color="000000" w:sz="4" w:space="0"/>
            </w:tcBorders>
            <w:vAlign w:val="center"/>
          </w:tcPr>
          <w:p w14:paraId="13232B8E">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49A854F7">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39</w:t>
            </w:r>
          </w:p>
        </w:tc>
        <w:tc>
          <w:tcPr>
            <w:tcW w:w="2977" w:type="dxa"/>
            <w:gridSpan w:val="2"/>
            <w:vAlign w:val="center"/>
          </w:tcPr>
          <w:p w14:paraId="7B494D12">
            <w:pPr>
              <w:snapToGrid w:val="0"/>
              <w:spacing w:after="0"/>
              <w:rPr>
                <w:rFonts w:ascii="仿宋_GB2312" w:hAnsi="仿宋_GB2312" w:eastAsia="仿宋_GB2312" w:cs="仿宋_GB2312"/>
                <w:color w:val="auto"/>
                <w:szCs w:val="21"/>
              </w:rPr>
            </w:pPr>
            <w:r>
              <w:rPr>
                <w:rFonts w:hint="eastAsia" w:ascii="仿宋_GB2312" w:hAnsi="仿宋_GB2312" w:eastAsia="仿宋_GB2312" w:cs="仿宋_GB2312"/>
                <w:color w:val="auto"/>
                <w:spacing w:val="-10"/>
                <w:kern w:val="0"/>
                <w:szCs w:val="21"/>
              </w:rPr>
              <w:t>残疾人精准康复服务率（%）</w:t>
            </w:r>
          </w:p>
        </w:tc>
        <w:tc>
          <w:tcPr>
            <w:tcW w:w="5811" w:type="dxa"/>
            <w:vAlign w:val="center"/>
          </w:tcPr>
          <w:p w14:paraId="272C6823">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有需求的残疾儿童和持证残疾人接受基本康复服务的比例。以上一年度残疾人基本服务状况和需求信息动态更新数据为基数（分母数），落实全省本年度需完成的接受基本康复服务的残疾儿童和持证残疾人数（分子数）确定本年度比例。</w:t>
            </w:r>
          </w:p>
        </w:tc>
        <w:tc>
          <w:tcPr>
            <w:tcW w:w="2268" w:type="dxa"/>
            <w:vAlign w:val="center"/>
          </w:tcPr>
          <w:p w14:paraId="078AA993">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省残联</w:t>
            </w:r>
          </w:p>
        </w:tc>
      </w:tr>
      <w:tr w14:paraId="628B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tcBorders>
              <w:left w:val="single" w:color="000000" w:sz="4" w:space="0"/>
            </w:tcBorders>
            <w:vAlign w:val="center"/>
          </w:tcPr>
          <w:p w14:paraId="398752E2">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5A94564F">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w:t>
            </w:r>
            <w:r>
              <w:rPr>
                <w:rFonts w:ascii="仿宋_GB2312" w:hAnsi="仿宋_GB2312" w:eastAsia="仿宋_GB2312" w:cs="仿宋_GB2312"/>
                <w:color w:val="auto"/>
                <w:kern w:val="0"/>
                <w:szCs w:val="21"/>
              </w:rPr>
              <w:t>0</w:t>
            </w:r>
            <w:r>
              <w:rPr>
                <w:rFonts w:hint="eastAsia" w:ascii="仿宋_GB2312" w:hAnsi="仿宋_GB2312" w:eastAsia="仿宋_GB2312" w:cs="仿宋_GB2312"/>
                <w:color w:val="auto"/>
                <w:kern w:val="0"/>
                <w:szCs w:val="21"/>
              </w:rPr>
              <w:t>＊</w:t>
            </w:r>
          </w:p>
        </w:tc>
        <w:tc>
          <w:tcPr>
            <w:tcW w:w="2977" w:type="dxa"/>
            <w:gridSpan w:val="2"/>
            <w:vAlign w:val="center"/>
          </w:tcPr>
          <w:p w14:paraId="3C05513B">
            <w:pPr>
              <w:snapToGrid w:val="0"/>
              <w:spacing w:after="0"/>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rPr>
              <w:t>中小学生溺亡率（1/10万）</w:t>
            </w:r>
          </w:p>
        </w:tc>
        <w:tc>
          <w:tcPr>
            <w:tcW w:w="5811" w:type="dxa"/>
            <w:vAlign w:val="center"/>
          </w:tcPr>
          <w:p w14:paraId="30CF0848">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中小学生溺亡率=年度内中小学生溺亡人数/年度内中小学生总数×</w:t>
            </w:r>
            <w:r>
              <w:rPr>
                <w:rFonts w:ascii="仿宋_GB2312" w:hAnsi="仿宋_GB2312" w:eastAsia="仿宋_GB2312" w:cs="仿宋_GB2312"/>
                <w:color w:val="auto"/>
                <w:kern w:val="0"/>
                <w:szCs w:val="21"/>
              </w:rPr>
              <w:t>10</w:t>
            </w:r>
            <w:r>
              <w:rPr>
                <w:rFonts w:hint="eastAsia" w:ascii="仿宋_GB2312" w:hAnsi="仿宋_GB2312" w:eastAsia="仿宋_GB2312" w:cs="仿宋_GB2312"/>
                <w:color w:val="auto"/>
                <w:kern w:val="0"/>
                <w:szCs w:val="21"/>
              </w:rPr>
              <w:t>0000。</w:t>
            </w:r>
          </w:p>
        </w:tc>
        <w:tc>
          <w:tcPr>
            <w:tcW w:w="2268" w:type="dxa"/>
            <w:vAlign w:val="center"/>
          </w:tcPr>
          <w:p w14:paraId="00B9943C">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省教育厅</w:t>
            </w:r>
          </w:p>
        </w:tc>
      </w:tr>
      <w:tr w14:paraId="693F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2" w:hRule="atLeast"/>
          <w:jc w:val="center"/>
        </w:trPr>
        <w:tc>
          <w:tcPr>
            <w:tcW w:w="988" w:type="dxa"/>
            <w:vMerge w:val="continue"/>
            <w:tcBorders>
              <w:left w:val="single" w:color="000000" w:sz="4" w:space="0"/>
            </w:tcBorders>
            <w:vAlign w:val="center"/>
          </w:tcPr>
          <w:p w14:paraId="539CEAF7">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7E3D74E2">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41</w:t>
            </w:r>
          </w:p>
        </w:tc>
        <w:tc>
          <w:tcPr>
            <w:tcW w:w="2977" w:type="dxa"/>
            <w:gridSpan w:val="2"/>
            <w:vAlign w:val="center"/>
          </w:tcPr>
          <w:p w14:paraId="17A5D92B">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年度养老机构护理型床位数占比（%）</w:t>
            </w:r>
          </w:p>
        </w:tc>
        <w:tc>
          <w:tcPr>
            <w:tcW w:w="5811" w:type="dxa"/>
            <w:vAlign w:val="center"/>
          </w:tcPr>
          <w:p w14:paraId="51961311">
            <w:pPr>
              <w:snapToGrid w:val="0"/>
              <w:spacing w:after="0" w:line="240" w:lineRule="auto"/>
              <w:rPr>
                <w:rFonts w:ascii="仿宋_GB2312" w:hAnsi="仿宋_GB2312" w:eastAsia="仿宋_GB2312" w:cs="仿宋_GB2312"/>
                <w:color w:val="auto"/>
              </w:rPr>
            </w:pPr>
            <w:r>
              <w:rPr>
                <w:rFonts w:ascii="仿宋_GB2312" w:hAnsi="仿宋_GB2312" w:eastAsia="仿宋_GB2312" w:cs="仿宋_GB2312"/>
                <w:color w:val="auto"/>
              </w:rPr>
              <w:t>各养老机构护理型床位是指养老机构内部具备照护失能、失智老年人服务需求,能够提供基本生活照护和与生活密切相关的医疗护理服务功能的床位设施。</w:t>
            </w:r>
          </w:p>
          <w:p w14:paraId="161DC9FF">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养老机构护理型床位数/养老机构总床位数×100。</w:t>
            </w:r>
          </w:p>
        </w:tc>
        <w:tc>
          <w:tcPr>
            <w:tcW w:w="2268" w:type="dxa"/>
            <w:vAlign w:val="center"/>
          </w:tcPr>
          <w:p w14:paraId="1D96BA2C">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kern w:val="0"/>
                <w:szCs w:val="21"/>
              </w:rPr>
              <w:t>省民政厅</w:t>
            </w:r>
          </w:p>
        </w:tc>
      </w:tr>
      <w:tr w14:paraId="7526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2" w:hRule="atLeast"/>
          <w:jc w:val="center"/>
        </w:trPr>
        <w:tc>
          <w:tcPr>
            <w:tcW w:w="988" w:type="dxa"/>
            <w:tcBorders>
              <w:left w:val="single" w:color="000000" w:sz="4" w:space="0"/>
            </w:tcBorders>
            <w:vAlign w:val="center"/>
          </w:tcPr>
          <w:p w14:paraId="761EC311">
            <w:pPr>
              <w:snapToGrid w:val="0"/>
              <w:spacing w:after="0" w:line="240" w:lineRule="auto"/>
              <w:jc w:val="center"/>
              <w:rPr>
                <w:rFonts w:ascii="CESI黑体-GB2312" w:hAnsi="CESI黑体-GB2312" w:eastAsia="CESI黑体-GB2312" w:cs="CESI黑体-GB2312"/>
                <w:color w:val="auto"/>
                <w:kern w:val="0"/>
                <w:szCs w:val="21"/>
              </w:rPr>
            </w:pPr>
            <w:r>
              <w:rPr>
                <w:rFonts w:ascii="CESI黑体-GB2312" w:hAnsi="CESI黑体-GB2312" w:eastAsia="CESI黑体-GB2312" w:cs="CESI黑体-GB2312"/>
                <w:color w:val="auto"/>
                <w:kern w:val="0"/>
                <w:szCs w:val="21"/>
              </w:rPr>
              <w:t>重大疾病防控</w:t>
            </w:r>
          </w:p>
          <w:p w14:paraId="7AF7D67D">
            <w:pPr>
              <w:snapToGrid w:val="0"/>
              <w:spacing w:after="0" w:line="240" w:lineRule="auto"/>
              <w:jc w:val="center"/>
              <w:rPr>
                <w:rFonts w:ascii="CESI黑体-GB2312" w:hAnsi="CESI黑体-GB2312" w:eastAsia="CESI黑体-GB2312" w:cs="CESI黑体-GB2312"/>
                <w:color w:val="auto"/>
                <w:kern w:val="0"/>
                <w:szCs w:val="21"/>
              </w:rPr>
            </w:pPr>
          </w:p>
        </w:tc>
        <w:tc>
          <w:tcPr>
            <w:tcW w:w="992" w:type="dxa"/>
            <w:tcBorders>
              <w:top w:val="single" w:color="000000" w:sz="4" w:space="0"/>
            </w:tcBorders>
            <w:vAlign w:val="center"/>
          </w:tcPr>
          <w:p w14:paraId="65118A66">
            <w:pPr>
              <w:snapToGrid w:val="0"/>
              <w:spacing w:after="0" w:line="240" w:lineRule="auto"/>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rPr>
              <w:t>4</w:t>
            </w:r>
            <w:r>
              <w:rPr>
                <w:rFonts w:ascii="仿宋_GB2312" w:hAnsi="仿宋_GB2312" w:eastAsia="仿宋_GB2312" w:cs="仿宋_GB2312"/>
                <w:color w:val="auto"/>
                <w:kern w:val="0"/>
                <w:szCs w:val="21"/>
              </w:rPr>
              <w:t>2</w:t>
            </w:r>
          </w:p>
        </w:tc>
        <w:tc>
          <w:tcPr>
            <w:tcW w:w="2977" w:type="dxa"/>
            <w:gridSpan w:val="2"/>
            <w:tcBorders>
              <w:top w:val="single" w:color="000000" w:sz="4" w:space="0"/>
            </w:tcBorders>
            <w:vAlign w:val="center"/>
          </w:tcPr>
          <w:p w14:paraId="31830E43">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心脑血管疾病死亡率（1/10万）</w:t>
            </w:r>
          </w:p>
        </w:tc>
        <w:tc>
          <w:tcPr>
            <w:tcW w:w="5811" w:type="dxa"/>
            <w:tcBorders>
              <w:top w:val="single" w:color="000000" w:sz="4" w:space="0"/>
            </w:tcBorders>
            <w:vAlign w:val="center"/>
          </w:tcPr>
          <w:p w14:paraId="073E8016">
            <w:pPr>
              <w:snapToGrid w:val="0"/>
              <w:spacing w:after="0" w:line="240" w:lineRule="auto"/>
              <w:rPr>
                <w:rFonts w:ascii="仿宋_GB2312" w:hAnsi="等线" w:eastAsia="仿宋_GB2312" w:cs="仿宋_GB2312"/>
                <w:color w:val="auto"/>
                <w:kern w:val="0"/>
                <w:szCs w:val="21"/>
              </w:rPr>
            </w:pPr>
            <w:r>
              <w:rPr>
                <w:rFonts w:ascii="仿宋_GB2312" w:hAnsi="等线" w:eastAsia="仿宋_GB2312" w:cs="仿宋_GB2312"/>
                <w:color w:val="auto"/>
                <w:kern w:val="0"/>
                <w:szCs w:val="21"/>
              </w:rPr>
              <w:t>在消除人口结构差异后，心血管疾病死亡在总人群中的发生频率。</w:t>
            </w:r>
          </w:p>
          <w:p w14:paraId="4A9CF7B3">
            <w:pPr>
              <w:snapToGrid w:val="0"/>
              <w:spacing w:after="0" w:line="240" w:lineRule="auto"/>
              <w:rPr>
                <w:rFonts w:ascii="仿宋_GB2312" w:hAnsi="仿宋_GB2312" w:eastAsia="仿宋_GB2312" w:cs="仿宋_GB2312"/>
                <w:color w:val="auto"/>
                <w:szCs w:val="21"/>
              </w:rPr>
            </w:pPr>
            <w:r>
              <w:rPr>
                <w:rFonts w:ascii="仿宋_GB2312" w:hAnsi="等线" w:eastAsia="仿宋_GB2312" w:cs="仿宋_GB2312"/>
                <w:color w:val="auto"/>
                <w:kern w:val="0"/>
                <w:szCs w:val="21"/>
              </w:rPr>
              <w:t>通过计算人群中年龄别（5岁一组）心脑血管疾病死亡率，采用2010年全国人口普查人口结构进行年龄标化。</w:t>
            </w:r>
          </w:p>
        </w:tc>
        <w:tc>
          <w:tcPr>
            <w:tcW w:w="2268" w:type="dxa"/>
            <w:tcBorders>
              <w:top w:val="single" w:color="000000" w:sz="4" w:space="0"/>
            </w:tcBorders>
            <w:vAlign w:val="center"/>
          </w:tcPr>
          <w:p w14:paraId="6C1F7F00">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44F6174D">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医疗应急处</w:t>
            </w:r>
          </w:p>
        </w:tc>
      </w:tr>
      <w:tr w14:paraId="6698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63" w:hRule="atLeast"/>
          <w:jc w:val="center"/>
        </w:trPr>
        <w:tc>
          <w:tcPr>
            <w:tcW w:w="988" w:type="dxa"/>
            <w:vMerge w:val="restart"/>
            <w:tcBorders>
              <w:left w:val="single" w:color="000000" w:sz="4" w:space="0"/>
            </w:tcBorders>
            <w:vAlign w:val="center"/>
          </w:tcPr>
          <w:p w14:paraId="06B0C1CC">
            <w:pPr>
              <w:snapToGrid w:val="0"/>
              <w:spacing w:after="0" w:line="240" w:lineRule="auto"/>
              <w:jc w:val="center"/>
              <w:rPr>
                <w:rFonts w:ascii="CESI黑体-GB2312" w:hAnsi="CESI黑体-GB2312" w:eastAsia="CESI黑体-GB2312" w:cs="CESI黑体-GB2312"/>
                <w:color w:val="auto"/>
                <w:kern w:val="0"/>
                <w:szCs w:val="21"/>
              </w:rPr>
            </w:pPr>
            <w:r>
              <w:rPr>
                <w:rFonts w:ascii="CESI黑体-GB2312" w:hAnsi="CESI黑体-GB2312" w:eastAsia="CESI黑体-GB2312" w:cs="CESI黑体-GB2312"/>
                <w:color w:val="auto"/>
                <w:kern w:val="0"/>
                <w:szCs w:val="21"/>
              </w:rPr>
              <w:t>重大疾病防控</w:t>
            </w:r>
          </w:p>
        </w:tc>
        <w:tc>
          <w:tcPr>
            <w:tcW w:w="992" w:type="dxa"/>
            <w:vAlign w:val="center"/>
          </w:tcPr>
          <w:p w14:paraId="6D163A86">
            <w:pPr>
              <w:snapToGrid w:val="0"/>
              <w:spacing w:after="0" w:line="240" w:lineRule="auto"/>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rPr>
              <w:t>4</w:t>
            </w:r>
            <w:r>
              <w:rPr>
                <w:rFonts w:ascii="仿宋_GB2312" w:hAnsi="仿宋_GB2312" w:eastAsia="仿宋_GB2312" w:cs="仿宋_GB2312"/>
                <w:color w:val="auto"/>
                <w:kern w:val="0"/>
                <w:szCs w:val="21"/>
              </w:rPr>
              <w:t>3</w:t>
            </w:r>
          </w:p>
        </w:tc>
        <w:tc>
          <w:tcPr>
            <w:tcW w:w="2977" w:type="dxa"/>
            <w:gridSpan w:val="2"/>
            <w:vAlign w:val="center"/>
          </w:tcPr>
          <w:p w14:paraId="0641D863">
            <w:pPr>
              <w:snapToGrid w:val="0"/>
              <w:spacing w:after="0"/>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rPr>
              <w:t>70岁及以下人群慢性呼吸系统疾病死亡率（1/10万）</w:t>
            </w:r>
          </w:p>
        </w:tc>
        <w:tc>
          <w:tcPr>
            <w:tcW w:w="5811" w:type="dxa"/>
            <w:vAlign w:val="center"/>
          </w:tcPr>
          <w:p w14:paraId="195FEA8B">
            <w:pPr>
              <w:snapToGrid w:val="0"/>
              <w:spacing w:after="0" w:line="240" w:lineRule="auto"/>
              <w:rPr>
                <w:rFonts w:ascii="仿宋_GB2312" w:hAnsi="等线" w:eastAsia="仿宋_GB2312" w:cs="仿宋_GB2312"/>
                <w:color w:val="auto"/>
                <w:kern w:val="0"/>
                <w:szCs w:val="21"/>
              </w:rPr>
            </w:pPr>
            <w:r>
              <w:rPr>
                <w:rFonts w:ascii="仿宋_GB2312" w:hAnsi="等线" w:eastAsia="仿宋_GB2312" w:cs="仿宋_GB2312"/>
                <w:color w:val="auto"/>
                <w:kern w:val="0"/>
                <w:szCs w:val="21"/>
              </w:rPr>
              <w:t>在消除人口结构差异后，慢性呼吸系统疾病死亡在70岁以下人群中的发生频率</w:t>
            </w:r>
          </w:p>
          <w:p w14:paraId="02833E3F">
            <w:pPr>
              <w:snapToGrid w:val="0"/>
              <w:spacing w:after="0" w:line="240" w:lineRule="auto"/>
              <w:rPr>
                <w:rFonts w:ascii="仿宋_GB2312" w:hAnsi="仿宋_GB2312" w:eastAsia="仿宋_GB2312" w:cs="仿宋_GB2312"/>
                <w:color w:val="auto"/>
                <w:szCs w:val="21"/>
              </w:rPr>
            </w:pPr>
            <w:r>
              <w:rPr>
                <w:rFonts w:ascii="仿宋_GB2312" w:hAnsi="等线" w:eastAsia="仿宋_GB2312" w:cs="仿宋_GB2312"/>
                <w:color w:val="auto"/>
                <w:kern w:val="0"/>
                <w:szCs w:val="21"/>
              </w:rPr>
              <w:t>通过计算人群中年龄别（5岁一组）70岁以下人群因慢性呼吸系统疾病死亡率，采用2010年全国人口普查人口结构进行年龄标化。</w:t>
            </w:r>
          </w:p>
        </w:tc>
        <w:tc>
          <w:tcPr>
            <w:tcW w:w="2268" w:type="dxa"/>
            <w:vAlign w:val="center"/>
          </w:tcPr>
          <w:p w14:paraId="5F58C7B1">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77B8F630">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医疗应急处</w:t>
            </w:r>
          </w:p>
        </w:tc>
      </w:tr>
      <w:tr w14:paraId="35F3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tcBorders>
              <w:left w:val="single" w:color="000000" w:sz="4" w:space="0"/>
            </w:tcBorders>
            <w:vAlign w:val="center"/>
          </w:tcPr>
          <w:p w14:paraId="782CE5E5">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37B23F0D">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w:t>
            </w:r>
            <w:r>
              <w:rPr>
                <w:rFonts w:ascii="仿宋_GB2312" w:hAnsi="仿宋_GB2312" w:eastAsia="仿宋_GB2312" w:cs="仿宋_GB2312"/>
                <w:color w:val="auto"/>
                <w:kern w:val="0"/>
                <w:szCs w:val="21"/>
              </w:rPr>
              <w:t>4</w:t>
            </w:r>
            <w:r>
              <w:rPr>
                <w:rFonts w:ascii="Arial" w:hAnsi="Arial" w:eastAsia="仿宋_GB2312" w:cs="Arial"/>
                <w:color w:val="auto"/>
                <w:kern w:val="0"/>
                <w:szCs w:val="21"/>
              </w:rPr>
              <w:t>＊</w:t>
            </w:r>
          </w:p>
        </w:tc>
        <w:tc>
          <w:tcPr>
            <w:tcW w:w="2977" w:type="dxa"/>
            <w:gridSpan w:val="2"/>
            <w:vAlign w:val="center"/>
          </w:tcPr>
          <w:p w14:paraId="6CC60C0F">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30</w:t>
            </w:r>
            <w:r>
              <w:rPr>
                <w:rFonts w:hint="eastAsia" w:ascii="仿宋_GB2312" w:hAnsi="等线" w:eastAsia="仿宋_GB2312" w:cs="仿宋_GB2312"/>
                <w:color w:val="auto"/>
                <w:kern w:val="0"/>
                <w:szCs w:val="21"/>
              </w:rPr>
              <w:t>～</w:t>
            </w:r>
            <w:r>
              <w:rPr>
                <w:rFonts w:hint="eastAsia" w:ascii="仿宋_GB2312" w:hAnsi="仿宋_GB2312" w:eastAsia="仿宋_GB2312" w:cs="仿宋_GB2312"/>
                <w:color w:val="auto"/>
                <w:kern w:val="0"/>
                <w:szCs w:val="21"/>
              </w:rPr>
              <w:t>70岁人群因心脑血管疾病、癌症、慢呼吸系统疾病和糖尿病</w:t>
            </w:r>
            <w:r>
              <w:rPr>
                <w:rFonts w:ascii="仿宋_GB2312" w:hAnsi="仿宋_GB2312" w:eastAsia="仿宋_GB2312" w:cs="仿宋_GB2312"/>
                <w:color w:val="auto"/>
                <w:kern w:val="0"/>
                <w:szCs w:val="21"/>
              </w:rPr>
              <w:t>等重大慢性病</w:t>
            </w:r>
            <w:r>
              <w:rPr>
                <w:rFonts w:hint="eastAsia" w:ascii="仿宋_GB2312" w:hAnsi="仿宋_GB2312" w:eastAsia="仿宋_GB2312" w:cs="仿宋_GB2312"/>
                <w:color w:val="auto"/>
                <w:kern w:val="0"/>
                <w:szCs w:val="21"/>
              </w:rPr>
              <w:t>导致的过早死亡率（%）</w:t>
            </w:r>
          </w:p>
        </w:tc>
        <w:tc>
          <w:tcPr>
            <w:tcW w:w="5811" w:type="dxa"/>
            <w:vAlign w:val="center"/>
          </w:tcPr>
          <w:p w14:paraId="36D230BA">
            <w:pPr>
              <w:snapToGrid w:val="0"/>
              <w:spacing w:after="0" w:line="240" w:lineRule="auto"/>
              <w:rPr>
                <w:rFonts w:ascii="仿宋_GB2312" w:hAnsi="等线" w:eastAsia="仿宋_GB2312" w:cs="仿宋_GB2312"/>
                <w:color w:val="auto"/>
                <w:kern w:val="0"/>
                <w:szCs w:val="21"/>
              </w:rPr>
            </w:pPr>
            <w:r>
              <w:rPr>
                <w:rFonts w:ascii="仿宋_GB2312" w:hAnsi="等线" w:eastAsia="仿宋_GB2312" w:cs="仿宋_GB2312"/>
                <w:color w:val="auto"/>
                <w:kern w:val="0"/>
                <w:szCs w:val="21"/>
              </w:rPr>
              <w:t>指30～70岁人群因心脑血管疾病、癌症、慢性呼吸系统疾病和糖尿病死亡的概率</w:t>
            </w:r>
          </w:p>
          <w:p w14:paraId="3DA271C2">
            <w:pPr>
              <w:snapToGrid w:val="0"/>
              <w:spacing w:after="0" w:line="240" w:lineRule="auto"/>
              <w:rPr>
                <w:rFonts w:ascii="仿宋_GB2312" w:hAnsi="仿宋_GB2312" w:eastAsia="仿宋_GB2312" w:cs="仿宋_GB2312"/>
                <w:color w:val="auto"/>
                <w:kern w:val="0"/>
                <w:szCs w:val="21"/>
              </w:rPr>
            </w:pPr>
            <w:r>
              <w:rPr>
                <w:rFonts w:ascii="仿宋_GB2312" w:hAnsi="等线" w:eastAsia="仿宋_GB2312" w:cs="仿宋_GB2312"/>
                <w:color w:val="auto"/>
                <w:kern w:val="0"/>
                <w:szCs w:val="21"/>
              </w:rPr>
              <w:t>通过30-70岁间四类慢病合并的年龄别（5岁组）死亡率来推算</w:t>
            </w:r>
          </w:p>
        </w:tc>
        <w:tc>
          <w:tcPr>
            <w:tcW w:w="2268" w:type="dxa"/>
            <w:vAlign w:val="center"/>
          </w:tcPr>
          <w:p w14:paraId="2D77D1F5">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773B6D2A">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医疗应急处</w:t>
            </w:r>
          </w:p>
        </w:tc>
      </w:tr>
      <w:tr w14:paraId="5813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988" w:type="dxa"/>
            <w:vMerge w:val="continue"/>
            <w:tcBorders>
              <w:left w:val="single" w:color="000000" w:sz="4" w:space="0"/>
            </w:tcBorders>
            <w:vAlign w:val="center"/>
          </w:tcPr>
          <w:p w14:paraId="036B4FE6">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6B7A4AF1">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w:t>
            </w:r>
            <w:r>
              <w:rPr>
                <w:rFonts w:ascii="仿宋_GB2312" w:hAnsi="仿宋_GB2312" w:eastAsia="仿宋_GB2312" w:cs="仿宋_GB2312"/>
                <w:color w:val="auto"/>
                <w:kern w:val="0"/>
                <w:szCs w:val="21"/>
              </w:rPr>
              <w:t>5</w:t>
            </w:r>
          </w:p>
        </w:tc>
        <w:tc>
          <w:tcPr>
            <w:tcW w:w="2977" w:type="dxa"/>
            <w:gridSpan w:val="2"/>
            <w:vAlign w:val="center"/>
          </w:tcPr>
          <w:p w14:paraId="18C72032">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肝</w:t>
            </w:r>
            <w:r>
              <w:rPr>
                <w:rFonts w:ascii="仿宋_GB2312" w:hAnsi="仿宋_GB2312" w:eastAsia="仿宋_GB2312" w:cs="仿宋_GB2312"/>
                <w:color w:val="auto"/>
                <w:kern w:val="0"/>
                <w:szCs w:val="21"/>
              </w:rPr>
              <w:t>癌早诊率</w:t>
            </w:r>
            <w:r>
              <w:rPr>
                <w:rFonts w:hint="eastAsia" w:ascii="仿宋_GB2312" w:hAnsi="仿宋_GB2312" w:eastAsia="仿宋_GB2312" w:cs="仿宋_GB2312"/>
                <w:color w:val="auto"/>
                <w:kern w:val="0"/>
                <w:szCs w:val="21"/>
              </w:rPr>
              <w:t>%</w:t>
            </w:r>
          </w:p>
        </w:tc>
        <w:tc>
          <w:tcPr>
            <w:tcW w:w="5811" w:type="dxa"/>
            <w:vAlign w:val="center"/>
          </w:tcPr>
          <w:p w14:paraId="4CC89194">
            <w:pPr>
              <w:snapToGrid w:val="0"/>
              <w:spacing w:after="0" w:line="240" w:lineRule="auto"/>
              <w:rPr>
                <w:rFonts w:ascii="仿宋_GB2312" w:hAnsi="等线" w:eastAsia="仿宋_GB2312" w:cs="仿宋_GB2312"/>
                <w:color w:val="auto"/>
                <w:kern w:val="0"/>
                <w:szCs w:val="21"/>
              </w:rPr>
            </w:pPr>
            <w:r>
              <w:rPr>
                <w:rFonts w:ascii="仿宋_GB2312" w:hAnsi="等线" w:eastAsia="仿宋_GB2312" w:cs="仿宋_GB2312"/>
                <w:color w:val="auto"/>
                <w:kern w:val="0"/>
                <w:szCs w:val="21"/>
              </w:rPr>
              <w:t>城市癌症早诊早治项目里早期肝癌人数占肝癌确诊人数的比例</w:t>
            </w:r>
          </w:p>
          <w:p w14:paraId="1F5D7FF0">
            <w:pPr>
              <w:snapToGrid w:val="0"/>
              <w:spacing w:after="0" w:line="240" w:lineRule="auto"/>
              <w:rPr>
                <w:rFonts w:ascii="仿宋_GB2312" w:hAnsi="仿宋_GB2312" w:eastAsia="仿宋_GB2312" w:cs="仿宋_GB2312"/>
                <w:color w:val="auto"/>
                <w:kern w:val="0"/>
                <w:szCs w:val="21"/>
              </w:rPr>
            </w:pPr>
            <w:r>
              <w:rPr>
                <w:rFonts w:ascii="仿宋_GB2312" w:hAnsi="等线" w:eastAsia="仿宋_GB2312" w:cs="仿宋_GB2312"/>
                <w:color w:val="auto"/>
                <w:kern w:val="0"/>
                <w:szCs w:val="21"/>
              </w:rPr>
              <w:t>早诊率=（早期肝癌/肝癌）ⅹ100%</w:t>
            </w:r>
          </w:p>
        </w:tc>
        <w:tc>
          <w:tcPr>
            <w:tcW w:w="2268" w:type="dxa"/>
            <w:vAlign w:val="center"/>
          </w:tcPr>
          <w:p w14:paraId="79EC5901">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16A8BF87">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医疗应急处</w:t>
            </w:r>
          </w:p>
        </w:tc>
      </w:tr>
      <w:tr w14:paraId="3F1C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988" w:type="dxa"/>
            <w:vMerge w:val="continue"/>
            <w:tcBorders>
              <w:left w:val="single" w:color="000000" w:sz="4" w:space="0"/>
            </w:tcBorders>
            <w:vAlign w:val="center"/>
          </w:tcPr>
          <w:p w14:paraId="132B2364">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1BEF10D1">
            <w:pPr>
              <w:snapToGrid w:val="0"/>
              <w:spacing w:after="0" w:line="240" w:lineRule="auto"/>
              <w:jc w:val="center"/>
              <w:rPr>
                <w:rFonts w:ascii="仿宋_GB2312" w:hAnsi="仿宋_GB2312" w:eastAsia="仿宋_GB2312" w:cs="仿宋_GB2312"/>
                <w:color w:val="auto"/>
                <w:kern w:val="0"/>
                <w:szCs w:val="21"/>
                <w:shd w:val="pct10" w:color="auto" w:fill="FFFFFF"/>
              </w:rPr>
            </w:pPr>
            <w:r>
              <w:rPr>
                <w:rFonts w:hint="eastAsia" w:ascii="仿宋_GB2312" w:hAnsi="仿宋_GB2312" w:eastAsia="仿宋_GB2312" w:cs="仿宋_GB2312"/>
                <w:color w:val="auto"/>
                <w:kern w:val="0"/>
                <w:szCs w:val="21"/>
              </w:rPr>
              <w:t>4</w:t>
            </w:r>
            <w:r>
              <w:rPr>
                <w:rFonts w:ascii="仿宋_GB2312" w:hAnsi="仿宋_GB2312" w:eastAsia="仿宋_GB2312" w:cs="仿宋_GB2312"/>
                <w:color w:val="auto"/>
                <w:kern w:val="0"/>
                <w:szCs w:val="21"/>
              </w:rPr>
              <w:t>6</w:t>
            </w:r>
          </w:p>
        </w:tc>
        <w:tc>
          <w:tcPr>
            <w:tcW w:w="2977" w:type="dxa"/>
            <w:gridSpan w:val="2"/>
            <w:vAlign w:val="center"/>
          </w:tcPr>
          <w:p w14:paraId="4748CC60">
            <w:pPr>
              <w:snapToGrid w:val="0"/>
              <w:spacing w:after="0"/>
              <w:rPr>
                <w:rFonts w:ascii="仿宋_GB2312" w:hAnsi="仿宋_GB2312" w:eastAsia="仿宋_GB2312" w:cs="仿宋_GB2312"/>
                <w:color w:val="auto"/>
                <w:kern w:val="0"/>
                <w:szCs w:val="21"/>
                <w:shd w:val="pct10" w:color="auto" w:fill="FFFFFF"/>
              </w:rPr>
            </w:pPr>
            <w:r>
              <w:rPr>
                <w:rFonts w:hint="eastAsia" w:ascii="仿宋_GB2312" w:hAnsi="仿宋_GB2312" w:eastAsia="仿宋_GB2312" w:cs="仿宋_GB2312"/>
                <w:color w:val="auto"/>
                <w:kern w:val="0"/>
                <w:szCs w:val="21"/>
              </w:rPr>
              <w:t>高血压患者规范管理率（%）</w:t>
            </w:r>
          </w:p>
        </w:tc>
        <w:tc>
          <w:tcPr>
            <w:tcW w:w="5811" w:type="dxa"/>
            <w:vAlign w:val="center"/>
          </w:tcPr>
          <w:p w14:paraId="6DDD810D">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按照国家基本公共卫生服务规范要求进行高血压患者健康管理的人数占年内已管理的高血压患者人数的比例。</w:t>
            </w:r>
          </w:p>
          <w:p w14:paraId="747C451B">
            <w:pPr>
              <w:snapToGrid w:val="0"/>
              <w:spacing w:after="0" w:line="240" w:lineRule="auto"/>
              <w:rPr>
                <w:rFonts w:ascii="仿宋_GB2312" w:hAnsi="等线" w:eastAsia="仿宋_GB2312" w:cs="仿宋_GB2312"/>
                <w:color w:val="auto"/>
                <w:kern w:val="0"/>
                <w:szCs w:val="21"/>
                <w:shd w:val="pct10" w:color="auto" w:fill="FFFFFF"/>
              </w:rPr>
            </w:pPr>
            <w:r>
              <w:rPr>
                <w:rFonts w:hint="eastAsia" w:ascii="仿宋_GB2312" w:hAnsi="仿宋_GB2312" w:eastAsia="仿宋_GB2312" w:cs="仿宋_GB2312"/>
                <w:color w:val="auto"/>
                <w:kern w:val="0"/>
                <w:szCs w:val="21"/>
              </w:rPr>
              <w:t>按照规范要求进行高血压患者健康管理的人数/年内已管理的高血压患者人数×100。</w:t>
            </w:r>
          </w:p>
        </w:tc>
        <w:tc>
          <w:tcPr>
            <w:tcW w:w="2268" w:type="dxa"/>
            <w:vAlign w:val="center"/>
          </w:tcPr>
          <w:p w14:paraId="0A7574B0">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247064BA">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医疗应急处</w:t>
            </w:r>
            <w:r>
              <w:rPr>
                <w:rFonts w:hint="eastAsia" w:ascii="仿宋_GB2312" w:hAnsi="仿宋_GB2312" w:eastAsia="仿宋_GB2312" w:cs="仿宋_GB2312"/>
                <w:color w:val="auto"/>
                <w:kern w:val="0"/>
                <w:szCs w:val="21"/>
              </w:rPr>
              <w:t>、基层处</w:t>
            </w:r>
          </w:p>
        </w:tc>
      </w:tr>
      <w:tr w14:paraId="22B1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988" w:type="dxa"/>
            <w:vMerge w:val="continue"/>
            <w:tcBorders>
              <w:left w:val="single" w:color="000000" w:sz="4" w:space="0"/>
            </w:tcBorders>
            <w:vAlign w:val="center"/>
          </w:tcPr>
          <w:p w14:paraId="4227229F">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1F1275C9">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w:t>
            </w:r>
            <w:r>
              <w:rPr>
                <w:rFonts w:ascii="仿宋_GB2312" w:hAnsi="仿宋_GB2312" w:eastAsia="仿宋_GB2312" w:cs="仿宋_GB2312"/>
                <w:color w:val="auto"/>
                <w:kern w:val="0"/>
                <w:szCs w:val="21"/>
              </w:rPr>
              <w:t>7</w:t>
            </w:r>
          </w:p>
        </w:tc>
        <w:tc>
          <w:tcPr>
            <w:tcW w:w="2977" w:type="dxa"/>
            <w:gridSpan w:val="2"/>
            <w:vAlign w:val="center"/>
          </w:tcPr>
          <w:p w14:paraId="1AAEC38E">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糖尿病患者规范管理率（%）</w:t>
            </w:r>
          </w:p>
        </w:tc>
        <w:tc>
          <w:tcPr>
            <w:tcW w:w="5811" w:type="dxa"/>
            <w:vAlign w:val="center"/>
          </w:tcPr>
          <w:p w14:paraId="269F7BB1">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按照国家基本公共卫生服务规范要求进行糖尿病患者健康管理的人数占年内已管理的糖尿病患者人数的比例。</w:t>
            </w:r>
          </w:p>
          <w:p w14:paraId="7EFC67DB">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按照规范要求进行糖尿病患者健康管理的人数/年内已管理的糖尿病患者人数×100。</w:t>
            </w:r>
          </w:p>
        </w:tc>
        <w:tc>
          <w:tcPr>
            <w:tcW w:w="2268" w:type="dxa"/>
            <w:vAlign w:val="center"/>
          </w:tcPr>
          <w:p w14:paraId="3132AA18">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72959E8B">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医疗应急处、基层处</w:t>
            </w:r>
          </w:p>
        </w:tc>
      </w:tr>
      <w:tr w14:paraId="1D6F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055" w:hRule="atLeast"/>
          <w:jc w:val="center"/>
        </w:trPr>
        <w:tc>
          <w:tcPr>
            <w:tcW w:w="988" w:type="dxa"/>
            <w:vMerge w:val="restart"/>
            <w:tcBorders>
              <w:left w:val="single" w:color="000000" w:sz="4" w:space="0"/>
            </w:tcBorders>
            <w:vAlign w:val="center"/>
          </w:tcPr>
          <w:p w14:paraId="2721B492">
            <w:pPr>
              <w:snapToGrid w:val="0"/>
              <w:spacing w:after="0" w:line="240" w:lineRule="auto"/>
              <w:jc w:val="center"/>
              <w:rPr>
                <w:rFonts w:ascii="CESI黑体-GB2312" w:hAnsi="CESI黑体-GB2312" w:eastAsia="CESI黑体-GB2312" w:cs="CESI黑体-GB2312"/>
                <w:color w:val="auto"/>
                <w:kern w:val="0"/>
                <w:szCs w:val="21"/>
              </w:rPr>
            </w:pPr>
            <w:r>
              <w:rPr>
                <w:rFonts w:ascii="CESI黑体-GB2312" w:hAnsi="CESI黑体-GB2312" w:eastAsia="CESI黑体-GB2312" w:cs="CESI黑体-GB2312"/>
                <w:color w:val="auto"/>
                <w:kern w:val="0"/>
                <w:szCs w:val="21"/>
              </w:rPr>
              <w:t>重大疾病防控</w:t>
            </w:r>
          </w:p>
          <w:p w14:paraId="12771679">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0BBDA539">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48</w:t>
            </w:r>
            <w:r>
              <w:rPr>
                <w:rFonts w:ascii="Arial" w:hAnsi="Arial" w:eastAsia="仿宋_GB2312" w:cs="Arial"/>
                <w:color w:val="auto"/>
                <w:kern w:val="0"/>
                <w:szCs w:val="21"/>
              </w:rPr>
              <w:t>＊</w:t>
            </w:r>
          </w:p>
        </w:tc>
        <w:tc>
          <w:tcPr>
            <w:tcW w:w="2977" w:type="dxa"/>
            <w:gridSpan w:val="2"/>
            <w:vAlign w:val="center"/>
          </w:tcPr>
          <w:p w14:paraId="2C95CD8D">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乡镇卫生院、社区卫生服务中心提供中医非药物疗法的比例（%），村卫生室提供中医非药物疗法的比例（%）</w:t>
            </w:r>
          </w:p>
        </w:tc>
        <w:tc>
          <w:tcPr>
            <w:tcW w:w="5811" w:type="dxa"/>
            <w:vAlign w:val="center"/>
          </w:tcPr>
          <w:p w14:paraId="74C31B13">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提供中医非药物疗法服务的社区服务中心（站）、乡镇卫生院所占比例 ，提供中医非药物疗法服务的村卫生室所占比例。</w:t>
            </w:r>
          </w:p>
          <w:p w14:paraId="0A156E5F">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提供中医非药物疗法服务的乡镇卫生院、社区服务中心（站）所占比例=年末提供中医非药物疗法服务的乡镇卫生院、社区卫生服务中心（站）数／年末同类机构总数×100，提供中医非药物疗法服务的村卫生室所占比例=年末提供中医非药物疗法服务的村卫生室／年末村卫生室总数×100。</w:t>
            </w:r>
          </w:p>
        </w:tc>
        <w:tc>
          <w:tcPr>
            <w:tcW w:w="2268" w:type="dxa"/>
            <w:vAlign w:val="center"/>
          </w:tcPr>
          <w:p w14:paraId="32C96AA2">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省</w:t>
            </w:r>
            <w:r>
              <w:rPr>
                <w:rFonts w:ascii="CESI黑体-GB2312" w:hAnsi="CESI黑体-GB2312" w:eastAsia="CESI黑体-GB2312" w:cs="CESI黑体-GB2312"/>
                <w:color w:val="auto"/>
                <w:szCs w:val="21"/>
              </w:rPr>
              <w:t>中医药管理局</w:t>
            </w:r>
          </w:p>
        </w:tc>
      </w:tr>
      <w:tr w14:paraId="3328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988" w:type="dxa"/>
            <w:vMerge w:val="continue"/>
            <w:tcBorders>
              <w:left w:val="single" w:color="000000" w:sz="4" w:space="0"/>
            </w:tcBorders>
            <w:vAlign w:val="center"/>
          </w:tcPr>
          <w:p w14:paraId="7BB054D7">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449C4914">
            <w:pPr>
              <w:snapToGrid w:val="0"/>
              <w:spacing w:after="0" w:line="240" w:lineRule="auto"/>
              <w:jc w:val="center"/>
              <w:rPr>
                <w:rFonts w:ascii="仿宋_GB2312" w:hAnsi="仿宋_GB2312" w:eastAsia="仿宋_GB2312" w:cs="仿宋_GB2312"/>
                <w:color w:val="auto"/>
                <w:szCs w:val="21"/>
              </w:rPr>
            </w:pPr>
            <w:r>
              <w:rPr>
                <w:rFonts w:ascii="仿宋_GB2312" w:hAnsi="仿宋_GB2312" w:eastAsia="仿宋_GB2312" w:cs="仿宋_GB2312"/>
                <w:color w:val="auto"/>
                <w:kern w:val="0"/>
                <w:szCs w:val="21"/>
              </w:rPr>
              <w:t>49</w:t>
            </w:r>
          </w:p>
        </w:tc>
        <w:tc>
          <w:tcPr>
            <w:tcW w:w="2977" w:type="dxa"/>
            <w:gridSpan w:val="2"/>
            <w:vAlign w:val="center"/>
          </w:tcPr>
          <w:p w14:paraId="638465BC">
            <w:pPr>
              <w:snapToGrid w:val="0"/>
              <w:spacing w:after="0"/>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rPr>
              <w:t>传染病疫情和突发公共卫</w:t>
            </w:r>
            <w:bookmarkStart w:id="0" w:name="_GoBack"/>
            <w:bookmarkEnd w:id="0"/>
            <w:r>
              <w:rPr>
                <w:rFonts w:hint="eastAsia" w:ascii="仿宋_GB2312" w:hAnsi="仿宋_GB2312" w:eastAsia="仿宋_GB2312" w:cs="仿宋_GB2312"/>
                <w:color w:val="auto"/>
                <w:kern w:val="0"/>
                <w:szCs w:val="21"/>
              </w:rPr>
              <w:t>生事件报告责任落实</w:t>
            </w:r>
          </w:p>
        </w:tc>
        <w:tc>
          <w:tcPr>
            <w:tcW w:w="5811" w:type="dxa"/>
            <w:vAlign w:val="center"/>
          </w:tcPr>
          <w:p w14:paraId="069F354D">
            <w:pPr>
              <w:snapToGrid w:val="0"/>
              <w:spacing w:after="0" w:line="240" w:lineRule="auto"/>
              <w:rPr>
                <w:rFonts w:ascii="仿宋_GB2312" w:hAnsi="等线" w:eastAsia="仿宋_GB2312" w:cs="仿宋_GB2312"/>
                <w:color w:val="auto"/>
                <w:kern w:val="0"/>
                <w:szCs w:val="21"/>
              </w:rPr>
            </w:pPr>
            <w:r>
              <w:rPr>
                <w:rFonts w:hint="eastAsia" w:ascii="仿宋_GB2312" w:hAnsi="仿宋_GB2312" w:eastAsia="仿宋_GB2312" w:cs="仿宋_GB2312"/>
                <w:color w:val="auto"/>
                <w:kern w:val="0"/>
                <w:szCs w:val="21"/>
              </w:rPr>
              <w:t>强化各级医疗机构疾病预防控制职责督促落实突发公共卫生事件报告责任（传染病报告率及及时率、突发公共卫生事件相关信息报告率）。</w:t>
            </w:r>
          </w:p>
        </w:tc>
        <w:tc>
          <w:tcPr>
            <w:tcW w:w="2268" w:type="dxa"/>
            <w:vAlign w:val="center"/>
          </w:tcPr>
          <w:p w14:paraId="6ACDA86B">
            <w:pPr>
              <w:snapToGrid w:val="0"/>
              <w:spacing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省疾控局</w:t>
            </w:r>
          </w:p>
        </w:tc>
      </w:tr>
      <w:tr w14:paraId="69EB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988" w:type="dxa"/>
            <w:vMerge w:val="continue"/>
            <w:tcBorders>
              <w:left w:val="single" w:color="000000" w:sz="4" w:space="0"/>
            </w:tcBorders>
            <w:vAlign w:val="center"/>
          </w:tcPr>
          <w:p w14:paraId="5A82DF2A">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65A02AB0">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w:t>
            </w:r>
            <w:r>
              <w:rPr>
                <w:rFonts w:ascii="仿宋_GB2312" w:hAnsi="仿宋_GB2312" w:eastAsia="仿宋_GB2312" w:cs="仿宋_GB2312"/>
                <w:color w:val="auto"/>
                <w:kern w:val="0"/>
                <w:szCs w:val="21"/>
              </w:rPr>
              <w:t>0</w:t>
            </w:r>
            <w:r>
              <w:rPr>
                <w:rFonts w:ascii="Arial" w:hAnsi="Arial" w:eastAsia="仿宋_GB2312" w:cs="Arial"/>
                <w:color w:val="auto"/>
                <w:kern w:val="0"/>
                <w:szCs w:val="21"/>
              </w:rPr>
              <w:t>＊</w:t>
            </w:r>
          </w:p>
        </w:tc>
        <w:tc>
          <w:tcPr>
            <w:tcW w:w="2977" w:type="dxa"/>
            <w:gridSpan w:val="2"/>
            <w:vAlign w:val="center"/>
          </w:tcPr>
          <w:p w14:paraId="6ABFE48B">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甲乙类法定传染病报告发病率(1/10万)</w:t>
            </w:r>
          </w:p>
        </w:tc>
        <w:tc>
          <w:tcPr>
            <w:tcW w:w="5811" w:type="dxa"/>
          </w:tcPr>
          <w:p w14:paraId="06C502ED">
            <w:pPr>
              <w:spacing w:after="0" w:line="240" w:lineRule="auto"/>
              <w:rPr>
                <w:rFonts w:ascii="仿宋_GB2312" w:hAnsi="仿宋_GB2312" w:eastAsia="仿宋_GB2312" w:cs="仿宋_GB2312"/>
                <w:color w:val="auto"/>
                <w:kern w:val="0"/>
                <w:szCs w:val="21"/>
              </w:rPr>
            </w:pPr>
            <w:r>
              <w:rPr>
                <w:rFonts w:ascii="仿宋_GB2312" w:hAnsi="仿宋_GB2312" w:eastAsia="仿宋_GB2312" w:cs="仿宋_GB2312"/>
                <w:color w:val="auto"/>
                <w:kern w:val="0"/>
                <w:sz w:val="21"/>
                <w:szCs w:val="21"/>
              </w:rPr>
              <w:t>一定地区常住人口中，一定时期（每年）内甲乙类传染病报告发病数占该地区常住人口数的比例。一定地区、一定时间（每年）内甲乙类法定传染病报告发病数/该地区常住人口数×100000。</w:t>
            </w:r>
          </w:p>
        </w:tc>
        <w:tc>
          <w:tcPr>
            <w:tcW w:w="2268" w:type="dxa"/>
            <w:vAlign w:val="center"/>
          </w:tcPr>
          <w:p w14:paraId="4586B854">
            <w:pPr>
              <w:snapToGrid w:val="0"/>
              <w:spacing w:after="0" w:line="240" w:lineRule="auto"/>
              <w:jc w:val="center"/>
              <w:rPr>
                <w:rFonts w:ascii="仿宋_GB2312" w:hAnsi="仿宋_GB2312" w:eastAsia="仿宋_GB2312" w:cs="仿宋_GB2312"/>
                <w:color w:val="auto"/>
                <w:kern w:val="0"/>
                <w:szCs w:val="21"/>
              </w:rPr>
            </w:pPr>
            <w:r>
              <w:rPr>
                <w:rFonts w:hint="eastAsia" w:ascii="黑体" w:hAnsi="黑体" w:eastAsia="黑体" w:cs="黑体"/>
                <w:color w:val="auto"/>
                <w:kern w:val="0"/>
                <w:sz w:val="21"/>
                <w:szCs w:val="21"/>
              </w:rPr>
              <w:t>省</w:t>
            </w:r>
            <w:r>
              <w:rPr>
                <w:rFonts w:hint="eastAsia" w:ascii="黑体" w:hAnsi="黑体" w:eastAsia="黑体" w:cs="黑体"/>
                <w:color w:val="auto"/>
                <w:szCs w:val="21"/>
              </w:rPr>
              <w:t>疾控局</w:t>
            </w:r>
          </w:p>
        </w:tc>
      </w:tr>
      <w:tr w14:paraId="38AC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988" w:type="dxa"/>
            <w:vMerge w:val="continue"/>
            <w:tcBorders>
              <w:left w:val="single" w:color="000000" w:sz="4" w:space="0"/>
            </w:tcBorders>
            <w:vAlign w:val="center"/>
          </w:tcPr>
          <w:p w14:paraId="7405DC84">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259A53DE">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w:t>
            </w:r>
            <w:r>
              <w:rPr>
                <w:rFonts w:ascii="仿宋_GB2312" w:hAnsi="仿宋_GB2312" w:eastAsia="仿宋_GB2312" w:cs="仿宋_GB2312"/>
                <w:color w:val="auto"/>
                <w:kern w:val="0"/>
                <w:szCs w:val="21"/>
              </w:rPr>
              <w:t>1</w:t>
            </w:r>
          </w:p>
        </w:tc>
        <w:tc>
          <w:tcPr>
            <w:tcW w:w="2977" w:type="dxa"/>
            <w:gridSpan w:val="2"/>
            <w:vAlign w:val="center"/>
          </w:tcPr>
          <w:p w14:paraId="1707D96B">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以乡（镇、街道）为单位适龄儿童免疫规划疫苗接种率（%）</w:t>
            </w:r>
          </w:p>
        </w:tc>
        <w:tc>
          <w:tcPr>
            <w:tcW w:w="5811" w:type="dxa"/>
            <w:vAlign w:val="center"/>
          </w:tcPr>
          <w:p w14:paraId="2288D283">
            <w:pPr>
              <w:snapToGrid w:val="0"/>
              <w:spacing w:after="0" w:line="240" w:lineRule="auto"/>
              <w:rPr>
                <w:rFonts w:ascii="仿宋_GB2312" w:hAnsi="仿宋_GB2312" w:eastAsia="仿宋_GB2312" w:cs="仿宋_GB2312"/>
                <w:color w:val="auto"/>
                <w:kern w:val="0"/>
                <w:sz w:val="21"/>
                <w:szCs w:val="21"/>
              </w:rPr>
            </w:pPr>
            <w:r>
              <w:rPr>
                <w:rFonts w:ascii="仿宋_GB2312" w:hAnsi="仿宋_GB2312" w:eastAsia="仿宋_GB2312" w:cs="仿宋_GB2312"/>
                <w:color w:val="auto"/>
                <w:kern w:val="0"/>
                <w:sz w:val="21"/>
                <w:szCs w:val="21"/>
              </w:rPr>
              <w:t>以乡（镇、街道）为单位，免疫规划内适龄儿童的疫苗接种率。</w:t>
            </w:r>
          </w:p>
          <w:p w14:paraId="50A70051">
            <w:pPr>
              <w:snapToGrid w:val="0"/>
              <w:spacing w:after="0" w:line="240" w:lineRule="auto"/>
              <w:rPr>
                <w:rFonts w:ascii="仿宋_GB2312" w:hAnsi="仿宋_GB2312" w:eastAsia="仿宋_GB2312" w:cs="仿宋_GB2312"/>
                <w:color w:val="auto"/>
                <w:kern w:val="0"/>
                <w:szCs w:val="21"/>
              </w:rPr>
            </w:pPr>
            <w:r>
              <w:rPr>
                <w:rFonts w:ascii="仿宋_GB2312" w:hAnsi="仿宋_GB2312" w:eastAsia="仿宋_GB2312" w:cs="仿宋_GB2312"/>
                <w:color w:val="auto"/>
                <w:kern w:val="0"/>
                <w:sz w:val="21"/>
                <w:szCs w:val="21"/>
              </w:rPr>
              <w:t>免疫规划内接种疫苗适龄儿童数/适龄儿童数×100。</w:t>
            </w:r>
          </w:p>
        </w:tc>
        <w:tc>
          <w:tcPr>
            <w:tcW w:w="2268" w:type="dxa"/>
            <w:vAlign w:val="center"/>
          </w:tcPr>
          <w:p w14:paraId="4FBE81E1">
            <w:pPr>
              <w:snapToGrid w:val="0"/>
              <w:spacing w:after="0" w:line="240" w:lineRule="auto"/>
              <w:jc w:val="center"/>
              <w:rPr>
                <w:rFonts w:ascii="CESI黑体-GB2312" w:hAnsi="CESI黑体-GB2312" w:eastAsia="CESI黑体-GB2312" w:cs="CESI黑体-GB2312"/>
                <w:color w:val="auto"/>
                <w:kern w:val="0"/>
                <w:szCs w:val="21"/>
              </w:rPr>
            </w:pPr>
            <w:r>
              <w:rPr>
                <w:rFonts w:hint="eastAsia" w:ascii="黑体" w:hAnsi="黑体" w:eastAsia="黑体" w:cs="黑体"/>
                <w:color w:val="auto"/>
                <w:kern w:val="0"/>
                <w:sz w:val="21"/>
                <w:szCs w:val="21"/>
              </w:rPr>
              <w:t>省</w:t>
            </w:r>
            <w:r>
              <w:rPr>
                <w:rFonts w:hint="eastAsia" w:ascii="黑体" w:hAnsi="黑体" w:eastAsia="黑体" w:cs="黑体"/>
                <w:color w:val="auto"/>
                <w:szCs w:val="21"/>
              </w:rPr>
              <w:t>疾控局</w:t>
            </w:r>
          </w:p>
        </w:tc>
      </w:tr>
      <w:tr w14:paraId="60EC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988" w:type="dxa"/>
            <w:vMerge w:val="continue"/>
            <w:tcBorders>
              <w:left w:val="single" w:color="000000" w:sz="4" w:space="0"/>
            </w:tcBorders>
            <w:vAlign w:val="center"/>
          </w:tcPr>
          <w:p w14:paraId="58E85E8F">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7ED8C400">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5</w:t>
            </w:r>
            <w:r>
              <w:rPr>
                <w:rFonts w:ascii="仿宋_GB2312" w:hAnsi="仿宋_GB2312" w:eastAsia="仿宋_GB2312" w:cs="仿宋_GB2312"/>
                <w:color w:val="auto"/>
                <w:szCs w:val="21"/>
              </w:rPr>
              <w:t>2</w:t>
            </w:r>
            <w:r>
              <w:rPr>
                <w:rFonts w:ascii="Arial" w:hAnsi="Arial" w:eastAsia="仿宋_GB2312" w:cs="Arial"/>
                <w:color w:val="auto"/>
                <w:szCs w:val="21"/>
              </w:rPr>
              <w:t>＊</w:t>
            </w:r>
          </w:p>
        </w:tc>
        <w:tc>
          <w:tcPr>
            <w:tcW w:w="2977" w:type="dxa"/>
            <w:gridSpan w:val="2"/>
            <w:vAlign w:val="center"/>
          </w:tcPr>
          <w:p w14:paraId="295B5749">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严重精神障碍患者规范管理率（%）</w:t>
            </w:r>
          </w:p>
        </w:tc>
        <w:tc>
          <w:tcPr>
            <w:tcW w:w="5811" w:type="dxa"/>
            <w:vAlign w:val="center"/>
          </w:tcPr>
          <w:p w14:paraId="7AE0F773">
            <w:pPr>
              <w:snapToGrid w:val="0"/>
              <w:spacing w:after="0" w:line="240" w:lineRule="auto"/>
              <w:rPr>
                <w:rFonts w:ascii="仿宋_GB2312" w:hAnsi="仿宋_GB2312" w:eastAsia="仿宋_GB2312" w:cs="仿宋_GB2312"/>
                <w:color w:val="auto"/>
              </w:rPr>
            </w:pPr>
            <w:r>
              <w:rPr>
                <w:rFonts w:ascii="仿宋_GB2312" w:hAnsi="仿宋_GB2312" w:eastAsia="仿宋_GB2312" w:cs="仿宋_GB2312"/>
                <w:color w:val="auto"/>
              </w:rPr>
              <w:t>按照国家严重精神障碍管理治疗规范第三版要求，国家严重精神障碍信息系统登记在册的患者中，相邻两次随访访问间隔不超过3个月患者数量。在管患者随访要求符合规范的人数占在册患者人数的比例。</w:t>
            </w:r>
          </w:p>
          <w:p w14:paraId="0317F69D">
            <w:pPr>
              <w:snapToGrid w:val="0"/>
              <w:spacing w:after="0" w:line="240" w:lineRule="auto"/>
              <w:rPr>
                <w:rFonts w:ascii="仿宋_GB2312" w:hAnsi="仿宋_GB2312" w:eastAsia="仿宋_GB2312" w:cs="仿宋_GB2312"/>
                <w:color w:val="auto"/>
                <w:kern w:val="0"/>
                <w:szCs w:val="21"/>
              </w:rPr>
            </w:pPr>
            <w:r>
              <w:rPr>
                <w:rFonts w:ascii="仿宋_GB2312" w:hAnsi="仿宋_GB2312" w:eastAsia="仿宋_GB2312" w:cs="仿宋_GB2312"/>
                <w:color w:val="auto"/>
              </w:rPr>
              <w:t>严重精神障碍患者规范管理率＝相邻两次随访访问间隔不超过3个月患者数量数/国家严重精神障碍信息系统登记在册的患者×100。</w:t>
            </w:r>
          </w:p>
        </w:tc>
        <w:tc>
          <w:tcPr>
            <w:tcW w:w="2268" w:type="dxa"/>
            <w:vAlign w:val="center"/>
          </w:tcPr>
          <w:p w14:paraId="2C9E317F">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56C575C5">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医政处</w:t>
            </w:r>
          </w:p>
        </w:tc>
      </w:tr>
      <w:tr w14:paraId="27ED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988" w:type="dxa"/>
            <w:vMerge w:val="restart"/>
            <w:tcBorders>
              <w:left w:val="single" w:color="000000" w:sz="4" w:space="0"/>
              <w:right w:val="single" w:color="000000" w:sz="4" w:space="0"/>
            </w:tcBorders>
            <w:vAlign w:val="center"/>
          </w:tcPr>
          <w:p w14:paraId="60F9C785">
            <w:pPr>
              <w:snapToGrid w:val="0"/>
              <w:spacing w:after="0" w:line="240" w:lineRule="auto"/>
              <w:jc w:val="center"/>
              <w:rPr>
                <w:rFonts w:ascii="CESI黑体-GB2312" w:hAnsi="CESI黑体-GB2312" w:eastAsia="CESI黑体-GB2312" w:cs="CESI黑体-GB2312"/>
                <w:color w:val="auto"/>
                <w:kern w:val="0"/>
                <w:szCs w:val="21"/>
              </w:rPr>
            </w:pPr>
            <w:r>
              <w:rPr>
                <w:rFonts w:ascii="CESI黑体-GB2312" w:hAnsi="CESI黑体-GB2312" w:eastAsia="CESI黑体-GB2312" w:cs="CESI黑体-GB2312"/>
                <w:color w:val="auto"/>
                <w:kern w:val="0"/>
                <w:szCs w:val="21"/>
              </w:rPr>
              <w:t>重大疾病防控</w:t>
            </w:r>
          </w:p>
        </w:tc>
        <w:tc>
          <w:tcPr>
            <w:tcW w:w="992" w:type="dxa"/>
            <w:vAlign w:val="center"/>
          </w:tcPr>
          <w:p w14:paraId="1E5E1E66">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5</w:t>
            </w:r>
            <w:r>
              <w:rPr>
                <w:rFonts w:ascii="仿宋_GB2312" w:hAnsi="仿宋_GB2312" w:eastAsia="仿宋_GB2312" w:cs="仿宋_GB2312"/>
                <w:color w:val="auto"/>
                <w:szCs w:val="21"/>
              </w:rPr>
              <w:t>3</w:t>
            </w:r>
            <w:r>
              <w:rPr>
                <w:rFonts w:hint="eastAsia" w:ascii="仿宋_GB2312" w:hAnsi="仿宋_GB2312" w:eastAsia="仿宋_GB2312" w:cs="仿宋_GB2312"/>
                <w:color w:val="auto"/>
                <w:kern w:val="0"/>
                <w:szCs w:val="21"/>
              </w:rPr>
              <w:t>＊</w:t>
            </w:r>
          </w:p>
        </w:tc>
        <w:tc>
          <w:tcPr>
            <w:tcW w:w="2977" w:type="dxa"/>
            <w:gridSpan w:val="2"/>
            <w:vAlign w:val="center"/>
          </w:tcPr>
          <w:p w14:paraId="478DF88A">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死因监测报告死亡率(1/10万）</w:t>
            </w:r>
          </w:p>
        </w:tc>
        <w:tc>
          <w:tcPr>
            <w:tcW w:w="5811" w:type="dxa"/>
            <w:vAlign w:val="center"/>
          </w:tcPr>
          <w:p w14:paraId="449D2019">
            <w:pPr>
              <w:snapToGrid w:val="0"/>
              <w:spacing w:after="0" w:line="240" w:lineRule="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死亡率表示在一定期间内，在一定人群中，死于某病(或死于所有原因)的频率，是表示人群死亡危险最常用的指标。</w:t>
            </w:r>
          </w:p>
          <w:p w14:paraId="3E35876A">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当年死因监测系统报告死亡人数/当地常住人口×100000。</w:t>
            </w:r>
          </w:p>
        </w:tc>
        <w:tc>
          <w:tcPr>
            <w:tcW w:w="2268" w:type="dxa"/>
            <w:vAlign w:val="center"/>
          </w:tcPr>
          <w:p w14:paraId="171BF259">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06422FA4">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医疗应急处</w:t>
            </w:r>
          </w:p>
        </w:tc>
      </w:tr>
      <w:tr w14:paraId="6BA0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988" w:type="dxa"/>
            <w:vMerge w:val="continue"/>
            <w:tcBorders>
              <w:left w:val="single" w:color="000000" w:sz="4" w:space="0"/>
              <w:right w:val="single" w:color="000000" w:sz="4" w:space="0"/>
            </w:tcBorders>
            <w:vAlign w:val="center"/>
          </w:tcPr>
          <w:p w14:paraId="3E14AA97">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23F9489D">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54</w:t>
            </w:r>
            <w:r>
              <w:rPr>
                <w:rFonts w:hint="eastAsia" w:ascii="仿宋_GB2312" w:hAnsi="仿宋_GB2312" w:eastAsia="仿宋_GB2312" w:cs="仿宋_GB2312"/>
                <w:color w:val="auto"/>
                <w:kern w:val="0"/>
                <w:szCs w:val="21"/>
              </w:rPr>
              <w:t>＊</w:t>
            </w:r>
          </w:p>
        </w:tc>
        <w:tc>
          <w:tcPr>
            <w:tcW w:w="2977" w:type="dxa"/>
            <w:gridSpan w:val="2"/>
            <w:vAlign w:val="center"/>
          </w:tcPr>
          <w:p w14:paraId="7D3132A2">
            <w:pPr>
              <w:snapToGrid w:val="0"/>
              <w:spacing w:after="0"/>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30岁及以上居民高血压知晓率</w:t>
            </w:r>
            <w:r>
              <w:rPr>
                <w:rFonts w:hint="eastAsia" w:ascii="仿宋_GB2312" w:hAnsi="仿宋_GB2312" w:eastAsia="仿宋_GB2312" w:cs="仿宋_GB2312"/>
                <w:color w:val="auto"/>
                <w:kern w:val="0"/>
                <w:szCs w:val="21"/>
              </w:rPr>
              <w:t>（%）</w:t>
            </w:r>
          </w:p>
        </w:tc>
        <w:tc>
          <w:tcPr>
            <w:tcW w:w="5811" w:type="dxa"/>
            <w:vAlign w:val="center"/>
          </w:tcPr>
          <w:p w14:paraId="3B6F9543">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30岁及以上高血压患者中，本次调查之前即知道自己患有高血压者（经过有资质的医疗机构或医生诊断）所占的比例。</w:t>
            </w:r>
          </w:p>
        </w:tc>
        <w:tc>
          <w:tcPr>
            <w:tcW w:w="2268" w:type="dxa"/>
            <w:vAlign w:val="center"/>
          </w:tcPr>
          <w:p w14:paraId="164E84B2">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47B2CF6D">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医疗应急</w:t>
            </w:r>
            <w:r>
              <w:rPr>
                <w:rFonts w:ascii="CESI黑体-GB2312" w:hAnsi="CESI黑体-GB2312" w:eastAsia="CESI黑体-GB2312" w:cs="CESI黑体-GB2312"/>
                <w:color w:val="auto"/>
                <w:szCs w:val="21"/>
              </w:rPr>
              <w:t>处</w:t>
            </w:r>
          </w:p>
        </w:tc>
      </w:tr>
      <w:tr w14:paraId="297D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988" w:type="dxa"/>
            <w:vMerge w:val="continue"/>
            <w:tcBorders>
              <w:left w:val="single" w:color="000000" w:sz="4" w:space="0"/>
              <w:right w:val="single" w:color="000000" w:sz="4" w:space="0"/>
            </w:tcBorders>
            <w:vAlign w:val="center"/>
          </w:tcPr>
          <w:p w14:paraId="2C66C74B">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1FD8ABCF">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55</w:t>
            </w:r>
            <w:r>
              <w:rPr>
                <w:rFonts w:hint="eastAsia" w:ascii="仿宋_GB2312" w:hAnsi="仿宋_GB2312" w:eastAsia="仿宋_GB2312" w:cs="仿宋_GB2312"/>
                <w:color w:val="auto"/>
                <w:kern w:val="0"/>
                <w:szCs w:val="21"/>
              </w:rPr>
              <w:t>＊</w:t>
            </w:r>
          </w:p>
        </w:tc>
        <w:tc>
          <w:tcPr>
            <w:tcW w:w="2977" w:type="dxa"/>
            <w:gridSpan w:val="2"/>
            <w:vAlign w:val="center"/>
          </w:tcPr>
          <w:p w14:paraId="2AFF3034">
            <w:pPr>
              <w:snapToGrid w:val="0"/>
              <w:spacing w:after="0"/>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18岁及以上居民糖尿病知晓率</w:t>
            </w:r>
            <w:r>
              <w:rPr>
                <w:rFonts w:hint="eastAsia" w:ascii="仿宋_GB2312" w:hAnsi="仿宋_GB2312" w:eastAsia="仿宋_GB2312" w:cs="仿宋_GB2312"/>
                <w:color w:val="auto"/>
                <w:kern w:val="0"/>
                <w:szCs w:val="21"/>
              </w:rPr>
              <w:t>（%）</w:t>
            </w:r>
          </w:p>
        </w:tc>
        <w:tc>
          <w:tcPr>
            <w:tcW w:w="5811" w:type="dxa"/>
            <w:vAlign w:val="center"/>
          </w:tcPr>
          <w:p w14:paraId="170785C5">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18岁及以上糖尿病患者中，本次调查检测血糖之前即知道自己患有糖尿病者（经过有资质的医疗机构或医生诊断）所占的比例。</w:t>
            </w:r>
          </w:p>
        </w:tc>
        <w:tc>
          <w:tcPr>
            <w:tcW w:w="2268" w:type="dxa"/>
            <w:vAlign w:val="center"/>
          </w:tcPr>
          <w:p w14:paraId="05017698">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2377FD5C">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医疗应急</w:t>
            </w:r>
            <w:r>
              <w:rPr>
                <w:rFonts w:ascii="CESI黑体-GB2312" w:hAnsi="CESI黑体-GB2312" w:eastAsia="CESI黑体-GB2312" w:cs="CESI黑体-GB2312"/>
                <w:color w:val="auto"/>
                <w:szCs w:val="21"/>
              </w:rPr>
              <w:t>处</w:t>
            </w:r>
          </w:p>
        </w:tc>
      </w:tr>
      <w:tr w14:paraId="7B28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60" w:hRule="atLeast"/>
          <w:jc w:val="center"/>
        </w:trPr>
        <w:tc>
          <w:tcPr>
            <w:tcW w:w="988" w:type="dxa"/>
            <w:vMerge w:val="restart"/>
            <w:tcBorders>
              <w:left w:val="single" w:color="000000" w:sz="4" w:space="0"/>
              <w:right w:val="single" w:color="000000" w:sz="4" w:space="0"/>
            </w:tcBorders>
            <w:vAlign w:val="center"/>
          </w:tcPr>
          <w:p w14:paraId="701C5F87">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健康服务与保障</w:t>
            </w:r>
          </w:p>
          <w:p w14:paraId="4F2F5F90">
            <w:pPr>
              <w:snapToGrid w:val="0"/>
              <w:spacing w:after="0" w:line="240" w:lineRule="auto"/>
              <w:jc w:val="center"/>
              <w:rPr>
                <w:rFonts w:ascii="CESI黑体-GB2312" w:hAnsi="CESI黑体-GB2312" w:eastAsia="CESI黑体-GB2312" w:cs="CESI黑体-GB2312"/>
                <w:color w:val="auto"/>
                <w:kern w:val="0"/>
                <w:szCs w:val="21"/>
              </w:rPr>
            </w:pPr>
          </w:p>
        </w:tc>
        <w:tc>
          <w:tcPr>
            <w:tcW w:w="992" w:type="dxa"/>
            <w:tcBorders>
              <w:bottom w:val="single" w:color="000000" w:sz="4" w:space="0"/>
            </w:tcBorders>
            <w:vAlign w:val="center"/>
          </w:tcPr>
          <w:p w14:paraId="4B0E4E61">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5</w:t>
            </w:r>
            <w:r>
              <w:rPr>
                <w:rFonts w:ascii="仿宋_GB2312" w:hAnsi="仿宋_GB2312" w:eastAsia="仿宋_GB2312" w:cs="仿宋_GB2312"/>
                <w:color w:val="auto"/>
                <w:szCs w:val="21"/>
              </w:rPr>
              <w:t>6</w:t>
            </w:r>
          </w:p>
        </w:tc>
        <w:tc>
          <w:tcPr>
            <w:tcW w:w="2977" w:type="dxa"/>
            <w:gridSpan w:val="2"/>
            <w:tcBorders>
              <w:bottom w:val="single" w:color="000000" w:sz="4" w:space="0"/>
            </w:tcBorders>
            <w:vAlign w:val="center"/>
          </w:tcPr>
          <w:p w14:paraId="02A42D4B">
            <w:pPr>
              <w:snapToGrid w:val="0"/>
              <w:spacing w:after="0"/>
              <w:rPr>
                <w:rFonts w:ascii="仿宋_GB2312" w:hAnsi="仿宋_GB2312" w:eastAsia="仿宋_GB2312" w:cs="仿宋_GB2312"/>
                <w:color w:val="auto"/>
                <w:kern w:val="0"/>
                <w:szCs w:val="21"/>
              </w:rPr>
            </w:pPr>
            <w:r>
              <w:rPr>
                <w:rFonts w:hint="eastAsia" w:ascii="仿宋_GB2312" w:hAnsi="等线" w:eastAsia="仿宋_GB2312" w:cs="仿宋_GB2312"/>
                <w:color w:val="auto"/>
                <w:kern w:val="0"/>
                <w:szCs w:val="21"/>
              </w:rPr>
              <w:t>每千常住人口注册护士数</w:t>
            </w:r>
          </w:p>
        </w:tc>
        <w:tc>
          <w:tcPr>
            <w:tcW w:w="5811" w:type="dxa"/>
            <w:tcBorders>
              <w:bottom w:val="single" w:color="000000" w:sz="4" w:space="0"/>
            </w:tcBorders>
            <w:vAlign w:val="center"/>
          </w:tcPr>
          <w:p w14:paraId="3AE4FFCC">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每千常住人口注册护士数，分母系国家统计局常住人口数。</w:t>
            </w:r>
          </w:p>
          <w:p w14:paraId="7F1B71D0">
            <w:pPr>
              <w:snapToGrid w:val="0"/>
              <w:spacing w:after="0" w:line="240" w:lineRule="auto"/>
              <w:rPr>
                <w:rFonts w:ascii="仿宋_GB2312" w:hAnsi="仿宋_GB2312" w:eastAsia="仿宋_GB2312" w:cs="仿宋_GB2312"/>
                <w:color w:val="auto"/>
                <w:kern w:val="0"/>
                <w:szCs w:val="21"/>
              </w:rPr>
            </w:pPr>
            <w:r>
              <w:rPr>
                <w:rFonts w:hint="eastAsia" w:ascii="仿宋_GB2312" w:hAnsi="等线" w:eastAsia="仿宋_GB2312" w:cs="仿宋_GB2312"/>
                <w:color w:val="auto"/>
                <w:kern w:val="0"/>
                <w:szCs w:val="21"/>
              </w:rPr>
              <w:t>年末注册护士数</w:t>
            </w:r>
            <w:r>
              <w:rPr>
                <w:rFonts w:ascii="仿宋_GB2312" w:hAnsi="等线" w:eastAsia="仿宋_GB2312" w:cs="仿宋_GB2312"/>
                <w:color w:val="auto"/>
                <w:kern w:val="0"/>
                <w:szCs w:val="21"/>
              </w:rPr>
              <w:t>/年末常住人口数人口数×1000</w:t>
            </w:r>
            <w:r>
              <w:rPr>
                <w:rFonts w:hint="eastAsia" w:ascii="仿宋_GB2312" w:hAnsi="等线" w:eastAsia="仿宋_GB2312" w:cs="仿宋_GB2312"/>
                <w:color w:val="auto"/>
                <w:kern w:val="0"/>
                <w:szCs w:val="21"/>
              </w:rPr>
              <w:t>。</w:t>
            </w:r>
          </w:p>
        </w:tc>
        <w:tc>
          <w:tcPr>
            <w:tcW w:w="2268" w:type="dxa"/>
            <w:tcBorders>
              <w:bottom w:val="single" w:color="000000" w:sz="4" w:space="0"/>
            </w:tcBorders>
            <w:vAlign w:val="center"/>
          </w:tcPr>
          <w:p w14:paraId="5405C6F3">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294114AC">
            <w:pPr>
              <w:snapToGrid w:val="0"/>
              <w:spacing w:after="0" w:line="240" w:lineRule="auto"/>
              <w:jc w:val="center"/>
              <w:rPr>
                <w:rFonts w:ascii="CESI黑体-GB2312" w:hAnsi="CESI黑体-GB2312" w:eastAsia="CESI黑体-GB2312" w:cs="CESI黑体-GB2312"/>
                <w:color w:val="auto"/>
                <w:kern w:val="0"/>
                <w:szCs w:val="21"/>
              </w:rPr>
            </w:pPr>
            <w:r>
              <w:rPr>
                <w:rFonts w:ascii="CESI黑体-GB2312" w:hAnsi="CESI黑体-GB2312" w:eastAsia="CESI黑体-GB2312" w:cs="CESI黑体-GB2312"/>
                <w:color w:val="auto"/>
                <w:szCs w:val="21"/>
              </w:rPr>
              <w:t>医政</w:t>
            </w:r>
            <w:r>
              <w:rPr>
                <w:rFonts w:hint="eastAsia" w:ascii="CESI黑体-GB2312" w:hAnsi="CESI黑体-GB2312" w:eastAsia="CESI黑体-GB2312" w:cs="CESI黑体-GB2312"/>
                <w:color w:val="auto"/>
                <w:szCs w:val="21"/>
              </w:rPr>
              <w:t>处</w:t>
            </w:r>
          </w:p>
        </w:tc>
      </w:tr>
      <w:tr w14:paraId="3B66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78" w:hRule="exact"/>
          <w:jc w:val="center"/>
        </w:trPr>
        <w:tc>
          <w:tcPr>
            <w:tcW w:w="988" w:type="dxa"/>
            <w:vMerge w:val="continue"/>
            <w:tcBorders>
              <w:left w:val="single" w:color="000000" w:sz="4" w:space="0"/>
              <w:right w:val="single" w:color="000000" w:sz="4" w:space="0"/>
            </w:tcBorders>
            <w:vAlign w:val="center"/>
          </w:tcPr>
          <w:p w14:paraId="592CBED4">
            <w:pPr>
              <w:snapToGrid w:val="0"/>
              <w:spacing w:after="0" w:line="240" w:lineRule="auto"/>
              <w:jc w:val="center"/>
              <w:rPr>
                <w:rFonts w:ascii="CESI黑体-GB2312" w:hAnsi="CESI黑体-GB2312" w:eastAsia="CESI黑体-GB2312" w:cs="CESI黑体-GB2312"/>
                <w:color w:val="auto"/>
                <w:kern w:val="0"/>
                <w:szCs w:val="21"/>
              </w:rPr>
            </w:pPr>
          </w:p>
        </w:tc>
        <w:tc>
          <w:tcPr>
            <w:tcW w:w="992" w:type="dxa"/>
            <w:tcBorders>
              <w:left w:val="single" w:color="000000" w:sz="4" w:space="0"/>
              <w:bottom w:val="single" w:color="000000" w:sz="4" w:space="0"/>
            </w:tcBorders>
            <w:vAlign w:val="center"/>
          </w:tcPr>
          <w:p w14:paraId="06A2921C">
            <w:pPr>
              <w:snapToGrid w:val="0"/>
              <w:spacing w:after="0" w:line="240" w:lineRule="auto"/>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rPr>
              <w:t>5</w:t>
            </w:r>
            <w:r>
              <w:rPr>
                <w:rFonts w:ascii="仿宋_GB2312" w:hAnsi="仿宋_GB2312" w:eastAsia="仿宋_GB2312" w:cs="仿宋_GB2312"/>
                <w:color w:val="auto"/>
                <w:kern w:val="0"/>
                <w:szCs w:val="21"/>
              </w:rPr>
              <w:t>7</w:t>
            </w:r>
            <w:r>
              <w:rPr>
                <w:rFonts w:ascii="Arial" w:hAnsi="Arial" w:eastAsia="仿宋_GB2312" w:cs="Arial"/>
                <w:color w:val="auto"/>
                <w:kern w:val="0"/>
                <w:szCs w:val="21"/>
              </w:rPr>
              <w:t>＊</w:t>
            </w:r>
          </w:p>
        </w:tc>
        <w:tc>
          <w:tcPr>
            <w:tcW w:w="2977" w:type="dxa"/>
            <w:gridSpan w:val="2"/>
            <w:tcBorders>
              <w:bottom w:val="single" w:color="000000" w:sz="4" w:space="0"/>
            </w:tcBorders>
            <w:vAlign w:val="center"/>
          </w:tcPr>
          <w:p w14:paraId="3E7F175B">
            <w:pPr>
              <w:spacing w:after="0" w:line="300" w:lineRule="auto"/>
              <w:textAlignment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每千常住人口执业（助理）医师数（人）</w:t>
            </w:r>
          </w:p>
        </w:tc>
        <w:tc>
          <w:tcPr>
            <w:tcW w:w="5811" w:type="dxa"/>
            <w:tcBorders>
              <w:bottom w:val="single" w:color="000000" w:sz="4" w:space="0"/>
            </w:tcBorders>
            <w:vAlign w:val="center"/>
          </w:tcPr>
          <w:p w14:paraId="7B9F3466">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每千常住人口执业（助理）医师数，分母系国家统计局常住人口数。</w:t>
            </w:r>
          </w:p>
          <w:p w14:paraId="17E1A126">
            <w:pPr>
              <w:snapToGrid w:val="0"/>
              <w:spacing w:after="0" w:line="240" w:lineRule="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年末执业（助理）医师数/年末常住人口数×1000。</w:t>
            </w:r>
          </w:p>
        </w:tc>
        <w:tc>
          <w:tcPr>
            <w:tcW w:w="2268" w:type="dxa"/>
            <w:tcBorders>
              <w:bottom w:val="single" w:color="000000" w:sz="4" w:space="0"/>
            </w:tcBorders>
            <w:vAlign w:val="center"/>
          </w:tcPr>
          <w:p w14:paraId="0C209E77">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09CF611C">
            <w:pPr>
              <w:snapToGrid w:val="0"/>
              <w:spacing w:after="0" w:line="240" w:lineRule="auto"/>
              <w:jc w:val="center"/>
              <w:rPr>
                <w:rFonts w:ascii="CESI黑体-GB2312" w:hAnsi="CESI黑体-GB2312" w:eastAsia="CESI黑体-GB2312" w:cs="CESI黑体-GB2312"/>
                <w:color w:val="auto"/>
                <w:szCs w:val="21"/>
              </w:rPr>
            </w:pPr>
            <w:r>
              <w:rPr>
                <w:rFonts w:ascii="CESI黑体-GB2312" w:hAnsi="CESI黑体-GB2312" w:eastAsia="CESI黑体-GB2312" w:cs="CESI黑体-GB2312"/>
                <w:color w:val="auto"/>
                <w:szCs w:val="21"/>
              </w:rPr>
              <w:t>医政</w:t>
            </w:r>
            <w:r>
              <w:rPr>
                <w:rFonts w:hint="eastAsia" w:ascii="CESI黑体-GB2312" w:hAnsi="CESI黑体-GB2312" w:eastAsia="CESI黑体-GB2312" w:cs="CESI黑体-GB2312"/>
                <w:color w:val="auto"/>
                <w:szCs w:val="21"/>
              </w:rPr>
              <w:t>处</w:t>
            </w:r>
          </w:p>
        </w:tc>
      </w:tr>
      <w:tr w14:paraId="2ADD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tcBorders>
              <w:left w:val="single" w:color="000000" w:sz="4" w:space="0"/>
              <w:right w:val="single" w:color="000000" w:sz="4" w:space="0"/>
            </w:tcBorders>
            <w:vAlign w:val="center"/>
          </w:tcPr>
          <w:p w14:paraId="6CB98E09">
            <w:pPr>
              <w:snapToGrid w:val="0"/>
              <w:spacing w:after="0" w:line="240" w:lineRule="auto"/>
              <w:jc w:val="center"/>
              <w:rPr>
                <w:rFonts w:ascii="CESI黑体-GB2312" w:hAnsi="CESI黑体-GB2312" w:eastAsia="CESI黑体-GB2312" w:cs="CESI黑体-GB2312"/>
                <w:color w:val="auto"/>
                <w:kern w:val="0"/>
                <w:szCs w:val="21"/>
              </w:rPr>
            </w:pPr>
          </w:p>
        </w:tc>
        <w:tc>
          <w:tcPr>
            <w:tcW w:w="992" w:type="dxa"/>
            <w:tcBorders>
              <w:left w:val="single" w:color="000000" w:sz="4" w:space="0"/>
              <w:bottom w:val="single" w:color="000000" w:sz="4" w:space="0"/>
            </w:tcBorders>
            <w:vAlign w:val="center"/>
          </w:tcPr>
          <w:p w14:paraId="0BF0D5F6">
            <w:pPr>
              <w:snapToGrid w:val="0"/>
              <w:spacing w:after="0" w:line="240" w:lineRule="auto"/>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rPr>
              <w:t>5</w:t>
            </w:r>
            <w:r>
              <w:rPr>
                <w:rFonts w:ascii="仿宋_GB2312" w:hAnsi="仿宋_GB2312" w:eastAsia="仿宋_GB2312" w:cs="仿宋_GB2312"/>
                <w:color w:val="auto"/>
                <w:kern w:val="0"/>
                <w:szCs w:val="21"/>
              </w:rPr>
              <w:t>8</w:t>
            </w:r>
          </w:p>
        </w:tc>
        <w:tc>
          <w:tcPr>
            <w:tcW w:w="2977" w:type="dxa"/>
            <w:gridSpan w:val="2"/>
            <w:tcBorders>
              <w:bottom w:val="single" w:color="000000" w:sz="4" w:space="0"/>
            </w:tcBorders>
            <w:vAlign w:val="center"/>
          </w:tcPr>
          <w:p w14:paraId="4FBFE6D5">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每万人拥有全科医生数（人）</w:t>
            </w:r>
          </w:p>
        </w:tc>
        <w:tc>
          <w:tcPr>
            <w:tcW w:w="5811" w:type="dxa"/>
            <w:tcBorders>
              <w:bottom w:val="single" w:color="000000" w:sz="4" w:space="0"/>
            </w:tcBorders>
            <w:vAlign w:val="center"/>
          </w:tcPr>
          <w:p w14:paraId="7947AD19">
            <w:pPr>
              <w:snapToGrid w:val="0"/>
              <w:spacing w:after="0" w:line="240" w:lineRule="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年末取得执业注册（含加注）范围为全科医学专业，或者虽未注册但已取得全科医学培训合格证书的执业（助理）医师数之和/年末常住人口数×10000。</w:t>
            </w:r>
          </w:p>
        </w:tc>
        <w:tc>
          <w:tcPr>
            <w:tcW w:w="2268" w:type="dxa"/>
            <w:tcBorders>
              <w:bottom w:val="single" w:color="000000" w:sz="4" w:space="0"/>
            </w:tcBorders>
            <w:vAlign w:val="center"/>
          </w:tcPr>
          <w:p w14:paraId="4987E1D1">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3D02C816">
            <w:pPr>
              <w:snapToGrid w:val="0"/>
              <w:spacing w:after="0" w:line="240" w:lineRule="auto"/>
              <w:jc w:val="center"/>
              <w:rPr>
                <w:rFonts w:ascii="CESI黑体-GB2312" w:hAnsi="CESI黑体-GB2312" w:eastAsia="CESI黑体-GB2312" w:cs="CESI黑体-GB2312"/>
                <w:color w:val="auto"/>
                <w:szCs w:val="21"/>
              </w:rPr>
            </w:pPr>
            <w:r>
              <w:rPr>
                <w:rFonts w:ascii="CESI黑体-GB2312" w:hAnsi="CESI黑体-GB2312" w:eastAsia="CESI黑体-GB2312" w:cs="CESI黑体-GB2312"/>
                <w:color w:val="auto"/>
                <w:szCs w:val="21"/>
              </w:rPr>
              <w:t>科教处</w:t>
            </w:r>
          </w:p>
        </w:tc>
      </w:tr>
      <w:tr w14:paraId="2FF9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tcBorders>
              <w:left w:val="single" w:color="000000" w:sz="4" w:space="0"/>
              <w:right w:val="single" w:color="000000" w:sz="4" w:space="0"/>
            </w:tcBorders>
            <w:vAlign w:val="center"/>
          </w:tcPr>
          <w:p w14:paraId="3520152A">
            <w:pPr>
              <w:snapToGrid w:val="0"/>
              <w:spacing w:after="0" w:line="240" w:lineRule="auto"/>
              <w:jc w:val="center"/>
              <w:rPr>
                <w:rFonts w:ascii="CESI黑体-GB2312" w:hAnsi="CESI黑体-GB2312" w:eastAsia="CESI黑体-GB2312" w:cs="CESI黑体-GB2312"/>
                <w:color w:val="auto"/>
                <w:kern w:val="0"/>
                <w:szCs w:val="21"/>
              </w:rPr>
            </w:pPr>
          </w:p>
        </w:tc>
        <w:tc>
          <w:tcPr>
            <w:tcW w:w="992" w:type="dxa"/>
            <w:tcBorders>
              <w:left w:val="single" w:color="000000" w:sz="4" w:space="0"/>
              <w:bottom w:val="single" w:color="000000" w:sz="4" w:space="0"/>
            </w:tcBorders>
            <w:vAlign w:val="center"/>
          </w:tcPr>
          <w:p w14:paraId="1FFA9C33">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59</w:t>
            </w:r>
          </w:p>
        </w:tc>
        <w:tc>
          <w:tcPr>
            <w:tcW w:w="2977" w:type="dxa"/>
            <w:gridSpan w:val="2"/>
            <w:tcBorders>
              <w:bottom w:val="single" w:color="000000" w:sz="4" w:space="0"/>
            </w:tcBorders>
            <w:vAlign w:val="center"/>
          </w:tcPr>
          <w:p w14:paraId="3DD052DF">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每千人口公共卫生人员数（人）</w:t>
            </w:r>
          </w:p>
        </w:tc>
        <w:tc>
          <w:tcPr>
            <w:tcW w:w="5811" w:type="dxa"/>
            <w:tcBorders>
              <w:bottom w:val="single" w:color="000000" w:sz="4" w:space="0"/>
            </w:tcBorders>
            <w:vAlign w:val="center"/>
          </w:tcPr>
          <w:p w14:paraId="75E27E59">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每千常住人口专业公共卫生机构人员数（人），分母系国家统计局常住人口数。</w:t>
            </w:r>
          </w:p>
          <w:p w14:paraId="61649F35">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年末专业公共卫生机构人员数/年末常住人口数×1000。</w:t>
            </w:r>
          </w:p>
        </w:tc>
        <w:tc>
          <w:tcPr>
            <w:tcW w:w="2268" w:type="dxa"/>
            <w:tcBorders>
              <w:bottom w:val="single" w:color="000000" w:sz="4" w:space="0"/>
            </w:tcBorders>
            <w:vAlign w:val="center"/>
          </w:tcPr>
          <w:p w14:paraId="796C75C6">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w:t>
            </w:r>
          </w:p>
          <w:p w14:paraId="410BEEC2">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疾控局</w:t>
            </w:r>
          </w:p>
        </w:tc>
      </w:tr>
      <w:tr w14:paraId="2288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tcBorders>
              <w:left w:val="single" w:color="000000" w:sz="4" w:space="0"/>
              <w:right w:val="single" w:color="000000" w:sz="4" w:space="0"/>
            </w:tcBorders>
            <w:vAlign w:val="center"/>
          </w:tcPr>
          <w:p w14:paraId="7734AD4B">
            <w:pPr>
              <w:snapToGrid w:val="0"/>
              <w:spacing w:after="0" w:line="240" w:lineRule="auto"/>
              <w:jc w:val="center"/>
              <w:rPr>
                <w:rFonts w:ascii="CESI黑体-GB2312" w:hAnsi="CESI黑体-GB2312" w:eastAsia="CESI黑体-GB2312" w:cs="CESI黑体-GB2312"/>
                <w:color w:val="auto"/>
                <w:kern w:val="0"/>
                <w:szCs w:val="21"/>
              </w:rPr>
            </w:pPr>
          </w:p>
        </w:tc>
        <w:tc>
          <w:tcPr>
            <w:tcW w:w="992" w:type="dxa"/>
            <w:tcBorders>
              <w:left w:val="single" w:color="000000" w:sz="4" w:space="0"/>
              <w:bottom w:val="single" w:color="000000" w:sz="4" w:space="0"/>
            </w:tcBorders>
            <w:vAlign w:val="center"/>
          </w:tcPr>
          <w:p w14:paraId="7A3BB7EC">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w:t>
            </w:r>
            <w:r>
              <w:rPr>
                <w:rFonts w:ascii="仿宋_GB2312" w:hAnsi="仿宋_GB2312" w:eastAsia="仿宋_GB2312" w:cs="仿宋_GB2312"/>
                <w:color w:val="auto"/>
                <w:kern w:val="0"/>
                <w:szCs w:val="21"/>
              </w:rPr>
              <w:t>0</w:t>
            </w:r>
          </w:p>
        </w:tc>
        <w:tc>
          <w:tcPr>
            <w:tcW w:w="2977" w:type="dxa"/>
            <w:gridSpan w:val="2"/>
            <w:tcBorders>
              <w:bottom w:val="single" w:color="000000" w:sz="4" w:space="0"/>
            </w:tcBorders>
            <w:vAlign w:val="center"/>
          </w:tcPr>
          <w:p w14:paraId="4F8996AD">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每千人口医疗卫生机构床位数（张）</w:t>
            </w:r>
          </w:p>
        </w:tc>
        <w:tc>
          <w:tcPr>
            <w:tcW w:w="5811" w:type="dxa"/>
            <w:tcBorders>
              <w:bottom w:val="single" w:color="000000" w:sz="4" w:space="0"/>
            </w:tcBorders>
            <w:vAlign w:val="center"/>
          </w:tcPr>
          <w:p w14:paraId="4D23AF3B">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每千常住人口医疗卫生机构床位数，分母系国家统计局常住人口数。</w:t>
            </w:r>
          </w:p>
          <w:p w14:paraId="077501D3">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 xml:space="preserve">年末医疗卫生机构床位数／年末常住人口数×1000。 </w:t>
            </w:r>
          </w:p>
        </w:tc>
        <w:tc>
          <w:tcPr>
            <w:tcW w:w="2268" w:type="dxa"/>
            <w:tcBorders>
              <w:bottom w:val="single" w:color="000000" w:sz="4" w:space="0"/>
            </w:tcBorders>
            <w:vAlign w:val="center"/>
          </w:tcPr>
          <w:p w14:paraId="54025C3A">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0BBBFEB9">
            <w:pPr>
              <w:snapToGrid w:val="0"/>
              <w:spacing w:after="0" w:line="240" w:lineRule="auto"/>
              <w:jc w:val="center"/>
              <w:rPr>
                <w:rFonts w:ascii="CESI黑体-GB2312" w:hAnsi="CESI黑体-GB2312" w:eastAsia="CESI黑体-GB2312" w:cs="CESI黑体-GB2312"/>
                <w:color w:val="auto"/>
                <w:szCs w:val="21"/>
              </w:rPr>
            </w:pPr>
            <w:r>
              <w:rPr>
                <w:rFonts w:ascii="CESI黑体-GB2312" w:hAnsi="CESI黑体-GB2312" w:eastAsia="CESI黑体-GB2312" w:cs="CESI黑体-GB2312"/>
                <w:color w:val="auto"/>
                <w:szCs w:val="21"/>
              </w:rPr>
              <w:t>医政</w:t>
            </w:r>
            <w:r>
              <w:rPr>
                <w:rFonts w:hint="eastAsia" w:ascii="CESI黑体-GB2312" w:hAnsi="CESI黑体-GB2312" w:eastAsia="CESI黑体-GB2312" w:cs="CESI黑体-GB2312"/>
                <w:color w:val="auto"/>
                <w:szCs w:val="21"/>
              </w:rPr>
              <w:t>处</w:t>
            </w:r>
          </w:p>
        </w:tc>
      </w:tr>
      <w:tr w14:paraId="0F19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tcBorders>
              <w:left w:val="single" w:color="000000" w:sz="4" w:space="0"/>
              <w:right w:val="single" w:color="000000" w:sz="4" w:space="0"/>
            </w:tcBorders>
            <w:vAlign w:val="center"/>
          </w:tcPr>
          <w:p w14:paraId="56380BAB">
            <w:pPr>
              <w:snapToGrid w:val="0"/>
              <w:spacing w:after="0" w:line="240" w:lineRule="auto"/>
              <w:jc w:val="center"/>
              <w:rPr>
                <w:rFonts w:ascii="CESI黑体-GB2312" w:hAnsi="CESI黑体-GB2312" w:eastAsia="CESI黑体-GB2312" w:cs="CESI黑体-GB2312"/>
                <w:color w:val="auto"/>
                <w:kern w:val="0"/>
                <w:szCs w:val="21"/>
              </w:rPr>
            </w:pPr>
          </w:p>
        </w:tc>
        <w:tc>
          <w:tcPr>
            <w:tcW w:w="992" w:type="dxa"/>
            <w:tcBorders>
              <w:left w:val="single" w:color="000000" w:sz="4" w:space="0"/>
              <w:bottom w:val="single" w:color="000000" w:sz="4" w:space="0"/>
            </w:tcBorders>
            <w:vAlign w:val="center"/>
          </w:tcPr>
          <w:p w14:paraId="1F0A6983">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6</w:t>
            </w:r>
            <w:r>
              <w:rPr>
                <w:rFonts w:ascii="仿宋_GB2312" w:hAnsi="仿宋_GB2312" w:eastAsia="仿宋_GB2312" w:cs="仿宋_GB2312"/>
                <w:color w:val="auto"/>
                <w:szCs w:val="21"/>
              </w:rPr>
              <w:t>1</w:t>
            </w:r>
          </w:p>
        </w:tc>
        <w:tc>
          <w:tcPr>
            <w:tcW w:w="2977" w:type="dxa"/>
            <w:gridSpan w:val="2"/>
            <w:tcBorders>
              <w:bottom w:val="single" w:color="000000" w:sz="4" w:space="0"/>
            </w:tcBorders>
            <w:vAlign w:val="center"/>
          </w:tcPr>
          <w:p w14:paraId="67AEC63F">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千人口献血率（‰）</w:t>
            </w:r>
          </w:p>
        </w:tc>
        <w:tc>
          <w:tcPr>
            <w:tcW w:w="5811" w:type="dxa"/>
            <w:tcBorders>
              <w:bottom w:val="single" w:color="000000" w:sz="4" w:space="0"/>
            </w:tcBorders>
            <w:vAlign w:val="center"/>
          </w:tcPr>
          <w:p w14:paraId="5B5A9D9C">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千人口献血率反映社会公众无偿献血参与度。</w:t>
            </w:r>
          </w:p>
          <w:p w14:paraId="298D8CF5">
            <w:pPr>
              <w:snapToGrid w:val="0"/>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献血人次/年末常住人口数×1000。</w:t>
            </w:r>
          </w:p>
        </w:tc>
        <w:tc>
          <w:tcPr>
            <w:tcW w:w="2268" w:type="dxa"/>
            <w:tcBorders>
              <w:bottom w:val="single" w:color="000000" w:sz="4" w:space="0"/>
            </w:tcBorders>
            <w:vAlign w:val="center"/>
          </w:tcPr>
          <w:p w14:paraId="1040E259">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00CA4120">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医疗应急处</w:t>
            </w:r>
          </w:p>
        </w:tc>
      </w:tr>
      <w:tr w14:paraId="5403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restart"/>
            <w:tcBorders>
              <w:left w:val="single" w:color="000000" w:sz="4" w:space="0"/>
              <w:right w:val="single" w:color="000000" w:sz="4" w:space="0"/>
            </w:tcBorders>
            <w:vAlign w:val="center"/>
          </w:tcPr>
          <w:p w14:paraId="3E36893B">
            <w:pPr>
              <w:snapToGrid w:val="0"/>
              <w:spacing w:after="0" w:line="240" w:lineRule="auto"/>
              <w:jc w:val="center"/>
              <w:rPr>
                <w:rFonts w:ascii="CESI黑体-GB2312" w:hAnsi="CESI黑体-GB2312" w:eastAsia="CESI黑体-GB2312" w:cs="CESI黑体-GB2312"/>
                <w:color w:val="auto"/>
                <w:kern w:val="0"/>
                <w:szCs w:val="21"/>
              </w:rPr>
            </w:pPr>
            <w:r>
              <w:rPr>
                <w:rFonts w:ascii="CESI黑体-GB2312" w:hAnsi="CESI黑体-GB2312" w:eastAsia="CESI黑体-GB2312" w:cs="CESI黑体-GB2312"/>
                <w:color w:val="auto"/>
                <w:kern w:val="0"/>
                <w:szCs w:val="21"/>
              </w:rPr>
              <w:t>健康服务与保障</w:t>
            </w:r>
          </w:p>
          <w:p w14:paraId="787FB1A1">
            <w:pPr>
              <w:snapToGrid w:val="0"/>
              <w:spacing w:after="0" w:line="240" w:lineRule="auto"/>
              <w:jc w:val="center"/>
              <w:rPr>
                <w:rFonts w:ascii="CESI黑体-GB2312" w:hAnsi="CESI黑体-GB2312" w:eastAsia="CESI黑体-GB2312" w:cs="CESI黑体-GB2312"/>
                <w:color w:val="auto"/>
                <w:kern w:val="0"/>
                <w:szCs w:val="21"/>
              </w:rPr>
            </w:pPr>
          </w:p>
        </w:tc>
        <w:tc>
          <w:tcPr>
            <w:tcW w:w="992" w:type="dxa"/>
            <w:tcBorders>
              <w:left w:val="single" w:color="000000" w:sz="4" w:space="0"/>
              <w:bottom w:val="single" w:color="000000" w:sz="4" w:space="0"/>
            </w:tcBorders>
            <w:vAlign w:val="center"/>
          </w:tcPr>
          <w:p w14:paraId="510C0A68">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w:t>
            </w:r>
            <w:r>
              <w:rPr>
                <w:rFonts w:ascii="仿宋_GB2312" w:hAnsi="仿宋_GB2312" w:eastAsia="仿宋_GB2312" w:cs="仿宋_GB2312"/>
                <w:color w:val="auto"/>
                <w:kern w:val="0"/>
                <w:szCs w:val="21"/>
              </w:rPr>
              <w:t>2</w:t>
            </w:r>
            <w:r>
              <w:rPr>
                <w:rFonts w:ascii="Arial" w:hAnsi="Arial" w:eastAsia="仿宋_GB2312" w:cs="Arial"/>
                <w:color w:val="auto"/>
                <w:kern w:val="0"/>
                <w:szCs w:val="21"/>
              </w:rPr>
              <w:t>＊</w:t>
            </w:r>
          </w:p>
        </w:tc>
        <w:tc>
          <w:tcPr>
            <w:tcW w:w="2977" w:type="dxa"/>
            <w:gridSpan w:val="2"/>
            <w:tcBorders>
              <w:bottom w:val="single" w:color="000000" w:sz="4" w:space="0"/>
            </w:tcBorders>
            <w:vAlign w:val="center"/>
          </w:tcPr>
          <w:p w14:paraId="2A15528E">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个人卫生支出占卫生总费用的比重（%）</w:t>
            </w:r>
          </w:p>
        </w:tc>
        <w:tc>
          <w:tcPr>
            <w:tcW w:w="5811" w:type="dxa"/>
            <w:tcBorders>
              <w:bottom w:val="single" w:color="000000" w:sz="4" w:space="0"/>
            </w:tcBorders>
            <w:vAlign w:val="center"/>
          </w:tcPr>
          <w:p w14:paraId="1184EE38">
            <w:pPr>
              <w:snapToGrid w:val="0"/>
              <w:spacing w:after="0" w:line="240" w:lineRule="auto"/>
              <w:rPr>
                <w:rFonts w:ascii="仿宋_GB2312" w:hAnsi="仿宋_GB2312" w:eastAsia="仿宋_GB2312" w:cs="仿宋_GB2312"/>
                <w:color w:val="auto"/>
                <w:kern w:val="0"/>
                <w:szCs w:val="21"/>
              </w:rPr>
            </w:pPr>
            <w:r>
              <w:rPr>
                <w:rFonts w:hint="eastAsia" w:ascii="仿宋_GB2312" w:hAnsi="等线" w:eastAsia="仿宋_GB2312" w:cs="仿宋_GB2312"/>
                <w:color w:val="auto"/>
                <w:kern w:val="0"/>
                <w:szCs w:val="21"/>
              </w:rPr>
              <w:t>个人卫生支出指城乡居民在接受各类医疗卫生服务时的个人负担部分。个人卫生支出占卫生总费用比重是指卫生总费用中由个人负担的费用比重，是反映城乡居民医疗卫生费用负担程度的评价指标。</w:t>
            </w:r>
            <w:r>
              <w:rPr>
                <w:rFonts w:hint="eastAsia" w:ascii="仿宋_GB2312" w:hAnsi="仿宋_GB2312" w:eastAsia="仿宋_GB2312" w:cs="仿宋_GB2312"/>
                <w:color w:val="auto"/>
                <w:szCs w:val="21"/>
              </w:rPr>
              <w:t>个人卫生支出占卫生总费用比重=个人卫生支出/卫生总费用×100。</w:t>
            </w:r>
          </w:p>
        </w:tc>
        <w:tc>
          <w:tcPr>
            <w:tcW w:w="2268" w:type="dxa"/>
            <w:tcBorders>
              <w:bottom w:val="single" w:color="000000" w:sz="4" w:space="0"/>
            </w:tcBorders>
            <w:vAlign w:val="center"/>
          </w:tcPr>
          <w:p w14:paraId="1403F7D2">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11226972">
            <w:pPr>
              <w:snapToGrid w:val="0"/>
              <w:spacing w:after="0" w:line="240" w:lineRule="auto"/>
              <w:jc w:val="center"/>
              <w:rPr>
                <w:rFonts w:ascii="CESI黑体-GB2312" w:hAnsi="CESI黑体-GB2312" w:eastAsia="CESI黑体-GB2312" w:cs="CESI黑体-GB2312"/>
                <w:color w:val="auto"/>
                <w:szCs w:val="21"/>
              </w:rPr>
            </w:pPr>
            <w:r>
              <w:rPr>
                <w:rFonts w:ascii="CESI黑体-GB2312" w:hAnsi="CESI黑体-GB2312" w:eastAsia="CESI黑体-GB2312" w:cs="CESI黑体-GB2312"/>
                <w:color w:val="auto"/>
                <w:szCs w:val="21"/>
              </w:rPr>
              <w:t>财务处</w:t>
            </w:r>
          </w:p>
        </w:tc>
      </w:tr>
      <w:tr w14:paraId="4DFA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65" w:hRule="atLeast"/>
          <w:jc w:val="center"/>
        </w:trPr>
        <w:tc>
          <w:tcPr>
            <w:tcW w:w="988" w:type="dxa"/>
            <w:vMerge w:val="continue"/>
            <w:tcBorders>
              <w:left w:val="single" w:color="000000" w:sz="4" w:space="0"/>
              <w:right w:val="single" w:color="000000" w:sz="4" w:space="0"/>
            </w:tcBorders>
            <w:vAlign w:val="center"/>
          </w:tcPr>
          <w:p w14:paraId="6840DD53">
            <w:pPr>
              <w:snapToGrid w:val="0"/>
              <w:spacing w:after="0" w:line="240" w:lineRule="auto"/>
              <w:jc w:val="center"/>
              <w:rPr>
                <w:rFonts w:ascii="CESI黑体-GB2312" w:hAnsi="CESI黑体-GB2312" w:eastAsia="CESI黑体-GB2312" w:cs="CESI黑体-GB2312"/>
                <w:color w:val="auto"/>
                <w:kern w:val="0"/>
                <w:szCs w:val="21"/>
              </w:rPr>
            </w:pPr>
          </w:p>
        </w:tc>
        <w:tc>
          <w:tcPr>
            <w:tcW w:w="992" w:type="dxa"/>
            <w:vMerge w:val="restart"/>
            <w:tcBorders>
              <w:left w:val="single" w:color="000000" w:sz="4" w:space="0"/>
            </w:tcBorders>
            <w:vAlign w:val="center"/>
          </w:tcPr>
          <w:p w14:paraId="0119CE6D">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w:t>
            </w:r>
            <w:r>
              <w:rPr>
                <w:rFonts w:ascii="仿宋_GB2312" w:hAnsi="仿宋_GB2312" w:eastAsia="仿宋_GB2312" w:cs="仿宋_GB2312"/>
                <w:color w:val="auto"/>
                <w:kern w:val="0"/>
                <w:szCs w:val="21"/>
              </w:rPr>
              <w:t>3</w:t>
            </w:r>
            <w:r>
              <w:rPr>
                <w:rFonts w:hint="eastAsia" w:ascii="仿宋_GB2312" w:hAnsi="仿宋_GB2312" w:eastAsia="仿宋_GB2312" w:cs="仿宋_GB2312"/>
                <w:color w:val="auto"/>
                <w:kern w:val="0"/>
                <w:szCs w:val="21"/>
              </w:rPr>
              <w:t>＊</w:t>
            </w:r>
          </w:p>
        </w:tc>
        <w:tc>
          <w:tcPr>
            <w:tcW w:w="1701" w:type="dxa"/>
            <w:vMerge w:val="restart"/>
            <w:vAlign w:val="center"/>
          </w:tcPr>
          <w:p w14:paraId="0C858B3A">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基本医疗保险（含城乡居民医保和职工医保）覆盖率（%）</w:t>
            </w:r>
          </w:p>
          <w:p w14:paraId="21B31BB8">
            <w:pPr>
              <w:snapToGrid w:val="0"/>
              <w:spacing w:after="0"/>
              <w:rPr>
                <w:rFonts w:ascii="仿宋_GB2312" w:hAnsi="仿宋_GB2312" w:eastAsia="仿宋_GB2312" w:cs="仿宋_GB2312"/>
                <w:color w:val="auto"/>
                <w:kern w:val="0"/>
                <w:szCs w:val="21"/>
              </w:rPr>
            </w:pPr>
          </w:p>
          <w:p w14:paraId="01873A6B">
            <w:pPr>
              <w:snapToGrid w:val="0"/>
              <w:spacing w:after="0"/>
              <w:rPr>
                <w:rFonts w:ascii="仿宋_GB2312" w:hAnsi="仿宋_GB2312" w:eastAsia="仿宋_GB2312" w:cs="仿宋_GB2312"/>
                <w:color w:val="auto"/>
                <w:kern w:val="0"/>
                <w:szCs w:val="21"/>
              </w:rPr>
            </w:pPr>
          </w:p>
          <w:p w14:paraId="4B1FE290">
            <w:pPr>
              <w:snapToGrid w:val="0"/>
              <w:spacing w:after="0"/>
              <w:rPr>
                <w:rFonts w:ascii="仿宋_GB2312" w:hAnsi="仿宋_GB2312" w:eastAsia="仿宋_GB2312" w:cs="仿宋_GB2312"/>
                <w:color w:val="auto"/>
                <w:kern w:val="0"/>
                <w:szCs w:val="21"/>
              </w:rPr>
            </w:pPr>
          </w:p>
        </w:tc>
        <w:tc>
          <w:tcPr>
            <w:tcW w:w="1276" w:type="dxa"/>
            <w:vAlign w:val="center"/>
          </w:tcPr>
          <w:p w14:paraId="707A3F7C">
            <w:pPr>
              <w:snapToGrid w:val="0"/>
              <w:spacing w:after="0"/>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rPr>
              <w:t>以户籍人口为基础计算的基本医保综合参保率（%）</w:t>
            </w:r>
          </w:p>
        </w:tc>
        <w:tc>
          <w:tcPr>
            <w:tcW w:w="5811" w:type="dxa"/>
            <w:tcBorders>
              <w:bottom w:val="single" w:color="000000" w:sz="4" w:space="0"/>
            </w:tcBorders>
            <w:vAlign w:val="center"/>
          </w:tcPr>
          <w:p w14:paraId="1D6E75BC">
            <w:pPr>
              <w:snapToGrid w:val="0"/>
              <w:spacing w:after="0" w:line="240" w:lineRule="auto"/>
              <w:rPr>
                <w:rFonts w:ascii="仿宋_GB2312" w:hAnsi="仿宋_GB2312" w:eastAsia="仿宋_GB2312" w:cs="仿宋_GB2312"/>
                <w:color w:val="auto"/>
                <w:sz w:val="21"/>
                <w:szCs w:val="21"/>
              </w:rPr>
            </w:pPr>
            <w:r>
              <w:rPr>
                <w:rFonts w:ascii="仿宋_GB2312" w:hAnsi="仿宋_GB2312" w:eastAsia="仿宋_GB2312" w:cs="仿宋_GB2312"/>
                <w:color w:val="auto"/>
                <w:sz w:val="21"/>
                <w:szCs w:val="21"/>
              </w:rPr>
              <w:t>参加基本医疗保险占总人口的比例。</w:t>
            </w:r>
          </w:p>
          <w:p w14:paraId="78932EBA">
            <w:pPr>
              <w:snapToGrid w:val="0"/>
              <w:spacing w:after="0" w:line="240" w:lineRule="auto"/>
              <w:rPr>
                <w:rFonts w:ascii="仿宋_GB2312" w:hAnsi="仿宋_GB2312" w:eastAsia="仿宋_GB2312" w:cs="仿宋_GB2312"/>
                <w:color w:val="auto"/>
                <w:szCs w:val="21"/>
              </w:rPr>
            </w:pPr>
            <w:r>
              <w:rPr>
                <w:rFonts w:hint="eastAsia" w:ascii="仿宋_GB2312" w:hAnsi="仿宋_GB2312" w:eastAsia="仿宋_GB2312" w:cs="仿宋_GB2312"/>
                <w:color w:val="auto"/>
                <w:sz w:val="21"/>
                <w:szCs w:val="21"/>
              </w:rPr>
              <w:t>参加2023年度基本医疗保险人数（城乡居民医保人数+职工医保人数）/辖区内户籍人口×100%。</w:t>
            </w:r>
          </w:p>
        </w:tc>
        <w:tc>
          <w:tcPr>
            <w:tcW w:w="2268" w:type="dxa"/>
            <w:vMerge w:val="restart"/>
            <w:vAlign w:val="center"/>
          </w:tcPr>
          <w:p w14:paraId="78F8415B">
            <w:pPr>
              <w:snapToGrid w:val="0"/>
              <w:spacing w:after="0" w:line="240" w:lineRule="auto"/>
              <w:jc w:val="center"/>
              <w:rPr>
                <w:rFonts w:ascii="CESI黑体-GB2312" w:hAnsi="CESI黑体-GB2312" w:eastAsia="CESI黑体-GB2312" w:cs="CESI黑体-GB2312"/>
                <w:color w:val="auto"/>
                <w:szCs w:val="21"/>
              </w:rPr>
            </w:pPr>
            <w:r>
              <w:rPr>
                <w:rFonts w:ascii="CESI黑体-GB2312" w:hAnsi="CESI黑体-GB2312" w:eastAsia="CESI黑体-GB2312" w:cs="CESI黑体-GB2312"/>
                <w:color w:val="auto"/>
                <w:szCs w:val="21"/>
              </w:rPr>
              <w:t>省医疗保障局（省医保服务中心）</w:t>
            </w:r>
          </w:p>
        </w:tc>
      </w:tr>
      <w:tr w14:paraId="5EC0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65" w:hRule="atLeast"/>
          <w:jc w:val="center"/>
        </w:trPr>
        <w:tc>
          <w:tcPr>
            <w:tcW w:w="988" w:type="dxa"/>
            <w:vMerge w:val="continue"/>
            <w:tcBorders>
              <w:left w:val="single" w:color="000000" w:sz="4" w:space="0"/>
              <w:right w:val="single" w:color="000000" w:sz="4" w:space="0"/>
            </w:tcBorders>
            <w:vAlign w:val="center"/>
          </w:tcPr>
          <w:p w14:paraId="24DD32B0">
            <w:pPr>
              <w:snapToGrid w:val="0"/>
              <w:spacing w:after="0" w:line="240" w:lineRule="auto"/>
              <w:jc w:val="center"/>
              <w:rPr>
                <w:rFonts w:ascii="CESI黑体-GB2312" w:hAnsi="CESI黑体-GB2312" w:eastAsia="CESI黑体-GB2312" w:cs="CESI黑体-GB2312"/>
                <w:color w:val="auto"/>
                <w:kern w:val="0"/>
                <w:szCs w:val="21"/>
              </w:rPr>
            </w:pPr>
          </w:p>
        </w:tc>
        <w:tc>
          <w:tcPr>
            <w:tcW w:w="992" w:type="dxa"/>
            <w:vMerge w:val="continue"/>
            <w:tcBorders>
              <w:left w:val="single" w:color="000000" w:sz="4" w:space="0"/>
            </w:tcBorders>
            <w:vAlign w:val="center"/>
          </w:tcPr>
          <w:p w14:paraId="76C21D25">
            <w:pPr>
              <w:snapToGrid w:val="0"/>
              <w:spacing w:after="0" w:line="240" w:lineRule="auto"/>
              <w:jc w:val="center"/>
              <w:rPr>
                <w:rFonts w:ascii="仿宋_GB2312" w:hAnsi="仿宋_GB2312" w:eastAsia="仿宋_GB2312" w:cs="仿宋_GB2312"/>
                <w:color w:val="auto"/>
                <w:kern w:val="0"/>
                <w:szCs w:val="21"/>
              </w:rPr>
            </w:pPr>
          </w:p>
        </w:tc>
        <w:tc>
          <w:tcPr>
            <w:tcW w:w="1701" w:type="dxa"/>
            <w:vMerge w:val="continue"/>
            <w:vAlign w:val="center"/>
          </w:tcPr>
          <w:p w14:paraId="419D1814">
            <w:pPr>
              <w:snapToGrid w:val="0"/>
              <w:spacing w:after="0"/>
              <w:rPr>
                <w:rFonts w:ascii="仿宋_GB2312" w:hAnsi="仿宋_GB2312" w:eastAsia="仿宋_GB2312" w:cs="仿宋_GB2312"/>
                <w:color w:val="auto"/>
                <w:kern w:val="0"/>
                <w:szCs w:val="21"/>
              </w:rPr>
            </w:pPr>
          </w:p>
        </w:tc>
        <w:tc>
          <w:tcPr>
            <w:tcW w:w="1276" w:type="dxa"/>
            <w:vAlign w:val="center"/>
          </w:tcPr>
          <w:p w14:paraId="4361995C">
            <w:pPr>
              <w:snapToGrid w:val="0"/>
              <w:spacing w:after="0"/>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以常住人口为基础计算的基本医保综合参保率（%）</w:t>
            </w:r>
          </w:p>
        </w:tc>
        <w:tc>
          <w:tcPr>
            <w:tcW w:w="5811" w:type="dxa"/>
            <w:tcBorders>
              <w:bottom w:val="single" w:color="000000" w:sz="4" w:space="0"/>
            </w:tcBorders>
            <w:vAlign w:val="center"/>
          </w:tcPr>
          <w:p w14:paraId="6EB1C50F">
            <w:pPr>
              <w:snapToGrid w:val="0"/>
              <w:spacing w:after="0" w:line="240" w:lineRule="auto"/>
              <w:rPr>
                <w:rFonts w:ascii="仿宋_GB2312" w:hAnsi="仿宋_GB2312" w:eastAsia="仿宋_GB2312" w:cs="仿宋_GB2312"/>
                <w:color w:val="auto"/>
                <w:sz w:val="21"/>
                <w:szCs w:val="21"/>
              </w:rPr>
            </w:pPr>
            <w:r>
              <w:rPr>
                <w:rFonts w:ascii="仿宋_GB2312" w:hAnsi="仿宋_GB2312" w:eastAsia="仿宋_GB2312" w:cs="仿宋_GB2312"/>
                <w:color w:val="auto"/>
                <w:sz w:val="21"/>
                <w:szCs w:val="21"/>
              </w:rPr>
              <w:t>参加基本医疗保险占总人口的比例。</w:t>
            </w:r>
          </w:p>
          <w:p w14:paraId="05A91500">
            <w:pPr>
              <w:snapToGrid w:val="0"/>
              <w:spacing w:after="0" w:line="240" w:lineRule="auto"/>
              <w:rPr>
                <w:rFonts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参加2023年度基本医疗保险人数（城乡居民医保人数+职工医保人数）/辖区内常住人口×100%。</w:t>
            </w:r>
          </w:p>
        </w:tc>
        <w:tc>
          <w:tcPr>
            <w:tcW w:w="2268" w:type="dxa"/>
            <w:vMerge w:val="continue"/>
            <w:tcBorders>
              <w:bottom w:val="single" w:color="000000" w:sz="4" w:space="0"/>
            </w:tcBorders>
            <w:vAlign w:val="center"/>
          </w:tcPr>
          <w:p w14:paraId="3B9CC273">
            <w:pPr>
              <w:snapToGrid w:val="0"/>
              <w:spacing w:after="0" w:line="240" w:lineRule="auto"/>
              <w:jc w:val="center"/>
              <w:rPr>
                <w:rFonts w:ascii="仿宋_GB2312" w:hAnsi="等线" w:eastAsia="仿宋_GB2312" w:cs="仿宋_GB2312"/>
                <w:color w:val="auto"/>
                <w:kern w:val="0"/>
                <w:szCs w:val="21"/>
              </w:rPr>
            </w:pPr>
          </w:p>
        </w:tc>
      </w:tr>
      <w:tr w14:paraId="431E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tcBorders>
              <w:left w:val="single" w:color="000000" w:sz="4" w:space="0"/>
              <w:right w:val="single" w:color="000000" w:sz="4" w:space="0"/>
            </w:tcBorders>
            <w:vAlign w:val="center"/>
          </w:tcPr>
          <w:p w14:paraId="24D83EA1">
            <w:pPr>
              <w:snapToGrid w:val="0"/>
              <w:spacing w:after="0" w:line="240" w:lineRule="auto"/>
              <w:jc w:val="center"/>
              <w:rPr>
                <w:rFonts w:ascii="CESI黑体-GB2312" w:hAnsi="CESI黑体-GB2312" w:eastAsia="CESI黑体-GB2312" w:cs="CESI黑体-GB2312"/>
                <w:color w:val="auto"/>
                <w:kern w:val="0"/>
                <w:szCs w:val="21"/>
              </w:rPr>
            </w:pPr>
          </w:p>
        </w:tc>
        <w:tc>
          <w:tcPr>
            <w:tcW w:w="992" w:type="dxa"/>
            <w:tcBorders>
              <w:left w:val="single" w:color="000000" w:sz="4" w:space="0"/>
              <w:bottom w:val="single" w:color="000000" w:sz="4" w:space="0"/>
            </w:tcBorders>
            <w:vAlign w:val="center"/>
          </w:tcPr>
          <w:p w14:paraId="77257161">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w:t>
            </w:r>
            <w:r>
              <w:rPr>
                <w:rFonts w:ascii="仿宋_GB2312" w:hAnsi="仿宋_GB2312" w:eastAsia="仿宋_GB2312" w:cs="仿宋_GB2312"/>
                <w:color w:val="auto"/>
                <w:kern w:val="0"/>
                <w:szCs w:val="21"/>
              </w:rPr>
              <w:t>4</w:t>
            </w:r>
            <w:r>
              <w:rPr>
                <w:rFonts w:hint="eastAsia" w:ascii="仿宋_GB2312" w:hAnsi="仿宋_GB2312" w:eastAsia="仿宋_GB2312" w:cs="仿宋_GB2312"/>
                <w:color w:val="auto"/>
                <w:kern w:val="0"/>
                <w:szCs w:val="21"/>
              </w:rPr>
              <w:t>＊</w:t>
            </w:r>
          </w:p>
        </w:tc>
        <w:tc>
          <w:tcPr>
            <w:tcW w:w="2977" w:type="dxa"/>
            <w:gridSpan w:val="2"/>
            <w:tcBorders>
              <w:bottom w:val="single" w:color="000000" w:sz="4" w:space="0"/>
            </w:tcBorders>
            <w:vAlign w:val="center"/>
          </w:tcPr>
          <w:p w14:paraId="0FD0E7BB">
            <w:pPr>
              <w:snapToGrid w:val="0"/>
              <w:spacing w:after="0"/>
              <w:rPr>
                <w:rFonts w:ascii="仿宋_GB2312" w:hAnsi="仿宋_GB2312" w:eastAsia="仿宋_GB2312" w:cs="仿宋_GB2312"/>
                <w:color w:val="auto"/>
                <w:szCs w:val="21"/>
              </w:rPr>
            </w:pPr>
            <w:r>
              <w:rPr>
                <w:rFonts w:ascii="仿宋_GB2312" w:hAnsi="仿宋_GB2312" w:eastAsia="仿宋_GB2312" w:cs="仿宋_GB2312"/>
                <w:color w:val="auto"/>
                <w:szCs w:val="21"/>
              </w:rPr>
              <w:t>城乡居民医保政策范围内住院基金支付比例（%）</w:t>
            </w:r>
          </w:p>
          <w:p w14:paraId="1D8A46C5">
            <w:pPr>
              <w:snapToGrid w:val="0"/>
              <w:spacing w:after="0"/>
              <w:rPr>
                <w:rFonts w:ascii="仿宋_GB2312" w:hAnsi="仿宋_GB2312" w:eastAsia="仿宋_GB2312" w:cs="仿宋_GB2312"/>
                <w:color w:val="auto"/>
                <w:kern w:val="0"/>
                <w:szCs w:val="21"/>
              </w:rPr>
            </w:pPr>
          </w:p>
        </w:tc>
        <w:tc>
          <w:tcPr>
            <w:tcW w:w="5811" w:type="dxa"/>
            <w:tcBorders>
              <w:bottom w:val="single" w:color="000000" w:sz="4" w:space="0"/>
            </w:tcBorders>
            <w:vAlign w:val="center"/>
          </w:tcPr>
          <w:p w14:paraId="4CA223F3">
            <w:pPr>
              <w:snapToGrid w:val="0"/>
              <w:spacing w:after="0" w:line="240" w:lineRule="auto"/>
              <w:rPr>
                <w:rFonts w:ascii="仿宋_GB2312" w:hAnsi="仿宋_GB2312" w:eastAsia="仿宋_GB2312" w:cs="仿宋_GB2312"/>
                <w:color w:val="auto"/>
                <w:szCs w:val="21"/>
              </w:rPr>
            </w:pPr>
            <w:r>
              <w:rPr>
                <w:rFonts w:ascii="仿宋_GB2312" w:hAnsi="仿宋_GB2312" w:eastAsia="仿宋_GB2312" w:cs="仿宋_GB2312"/>
                <w:color w:val="auto"/>
                <w:sz w:val="21"/>
                <w:szCs w:val="21"/>
              </w:rPr>
              <w:t>城乡居民医保政策范围内住院基金支付比例=（住院统筹支付+住院其他支付）÷(住院总费用-自费-自付起付线以下部分-自付封顶线以上部分)×100%</w:t>
            </w:r>
          </w:p>
        </w:tc>
        <w:tc>
          <w:tcPr>
            <w:tcW w:w="2268" w:type="dxa"/>
            <w:tcBorders>
              <w:bottom w:val="single" w:color="000000" w:sz="4" w:space="0"/>
            </w:tcBorders>
          </w:tcPr>
          <w:p w14:paraId="3A0F98F7">
            <w:pPr>
              <w:snapToGrid w:val="0"/>
              <w:spacing w:after="0" w:line="240" w:lineRule="auto"/>
              <w:jc w:val="center"/>
              <w:rPr>
                <w:rFonts w:ascii="CESI黑体-GB2312" w:hAnsi="CESI黑体-GB2312" w:eastAsia="CESI黑体-GB2312" w:cs="CESI黑体-GB2312"/>
                <w:color w:val="auto"/>
                <w:szCs w:val="21"/>
              </w:rPr>
            </w:pPr>
            <w:r>
              <w:rPr>
                <w:rFonts w:ascii="CESI黑体-GB2312" w:hAnsi="CESI黑体-GB2312" w:eastAsia="CESI黑体-GB2312" w:cs="CESI黑体-GB2312"/>
                <w:color w:val="auto"/>
                <w:szCs w:val="21"/>
              </w:rPr>
              <w:t>省医疗保障局（省医保服务中心）</w:t>
            </w:r>
          </w:p>
        </w:tc>
      </w:tr>
      <w:tr w14:paraId="2A2D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restart"/>
            <w:vAlign w:val="center"/>
          </w:tcPr>
          <w:p w14:paraId="01E32DB6">
            <w:pPr>
              <w:snapToGrid w:val="0"/>
              <w:spacing w:after="0" w:line="240" w:lineRule="auto"/>
              <w:jc w:val="center"/>
              <w:rPr>
                <w:rFonts w:ascii="CESI黑体-GB2312" w:hAnsi="CESI黑体-GB2312" w:eastAsia="CESI黑体-GB2312" w:cs="CESI黑体-GB2312"/>
                <w:color w:val="auto"/>
                <w:kern w:val="0"/>
                <w:szCs w:val="21"/>
              </w:rPr>
            </w:pPr>
            <w:r>
              <w:rPr>
                <w:rFonts w:ascii="CESI黑体-GB2312" w:hAnsi="CESI黑体-GB2312" w:eastAsia="CESI黑体-GB2312" w:cs="CESI黑体-GB2312"/>
                <w:color w:val="auto"/>
                <w:kern w:val="0"/>
                <w:szCs w:val="21"/>
              </w:rPr>
              <w:t>健康服务与保障</w:t>
            </w:r>
          </w:p>
          <w:p w14:paraId="676C85DB">
            <w:pPr>
              <w:snapToGrid w:val="0"/>
              <w:spacing w:after="0" w:line="240" w:lineRule="auto"/>
              <w:jc w:val="center"/>
              <w:rPr>
                <w:rFonts w:ascii="CESI黑体-GB2312" w:hAnsi="CESI黑体-GB2312" w:eastAsia="CESI黑体-GB2312" w:cs="CESI黑体-GB2312"/>
                <w:color w:val="auto"/>
                <w:kern w:val="0"/>
                <w:szCs w:val="21"/>
              </w:rPr>
            </w:pPr>
          </w:p>
        </w:tc>
        <w:tc>
          <w:tcPr>
            <w:tcW w:w="992" w:type="dxa"/>
            <w:tcBorders>
              <w:bottom w:val="single" w:color="000000" w:sz="4" w:space="0"/>
            </w:tcBorders>
            <w:vAlign w:val="center"/>
          </w:tcPr>
          <w:p w14:paraId="02C6227E">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w:t>
            </w:r>
            <w:r>
              <w:rPr>
                <w:rFonts w:ascii="仿宋_GB2312" w:hAnsi="仿宋_GB2312" w:eastAsia="仿宋_GB2312" w:cs="仿宋_GB2312"/>
                <w:color w:val="auto"/>
                <w:kern w:val="0"/>
                <w:szCs w:val="21"/>
              </w:rPr>
              <w:t>5</w:t>
            </w:r>
            <w:r>
              <w:rPr>
                <w:rFonts w:ascii="Arial" w:hAnsi="Arial" w:eastAsia="仿宋_GB2312" w:cs="Arial"/>
                <w:color w:val="auto"/>
                <w:kern w:val="0"/>
                <w:szCs w:val="21"/>
              </w:rPr>
              <w:t>＊</w:t>
            </w:r>
          </w:p>
        </w:tc>
        <w:tc>
          <w:tcPr>
            <w:tcW w:w="2977" w:type="dxa"/>
            <w:gridSpan w:val="2"/>
            <w:tcBorders>
              <w:bottom w:val="single" w:color="000000" w:sz="4" w:space="0"/>
            </w:tcBorders>
            <w:vAlign w:val="center"/>
          </w:tcPr>
          <w:p w14:paraId="0A48A8A5">
            <w:pPr>
              <w:snapToGrid w:val="0"/>
              <w:spacing w:after="0"/>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rPr>
              <w:t>红十字应急救护培训人数（人）</w:t>
            </w:r>
          </w:p>
        </w:tc>
        <w:tc>
          <w:tcPr>
            <w:tcW w:w="5811" w:type="dxa"/>
            <w:tcBorders>
              <w:bottom w:val="single" w:color="000000" w:sz="4" w:space="0"/>
            </w:tcBorders>
            <w:vAlign w:val="center"/>
          </w:tcPr>
          <w:p w14:paraId="1AA1DC7B">
            <w:pPr>
              <w:snapToGrid w:val="0"/>
              <w:spacing w:after="0" w:line="240" w:lineRule="auto"/>
              <w:rPr>
                <w:rFonts w:ascii="仿宋_GB2312" w:hAnsi="仿宋_GB2312" w:eastAsia="仿宋_GB2312" w:cs="仿宋_GB2312"/>
                <w:color w:val="auto"/>
              </w:rPr>
            </w:pPr>
            <w:r>
              <w:rPr>
                <w:rFonts w:ascii="仿宋_GB2312" w:hAnsi="仿宋_GB2312" w:eastAsia="仿宋_GB2312" w:cs="仿宋_GB2312"/>
                <w:color w:val="auto"/>
              </w:rPr>
              <w:t>根据全省现已完成救护员数（占全省总人口的 1.2%），余数（0.8%）自2021年至2025年，须以每年平均0.16%递增；以经培训并获中国红十字会颁发的和[CPR（心肺复苏）+AED（自动除颤仪4课时）]证</w:t>
            </w:r>
            <w:r>
              <w:rPr>
                <w:rFonts w:hint="eastAsia" w:ascii="仿宋_GB2312" w:hAnsi="仿宋_GB2312" w:eastAsia="仿宋_GB2312" w:cs="仿宋_GB2312"/>
                <w:color w:val="auto"/>
              </w:rPr>
              <w:t>和</w:t>
            </w:r>
            <w:r>
              <w:rPr>
                <w:rFonts w:ascii="仿宋_GB2312" w:hAnsi="仿宋_GB2312" w:eastAsia="仿宋_GB2312" w:cs="仿宋_GB2312"/>
                <w:color w:val="auto"/>
              </w:rPr>
              <w:t>《救护员证》（16课时</w:t>
            </w:r>
            <w:r>
              <w:rPr>
                <w:rFonts w:hint="eastAsia" w:ascii="仿宋_GB2312" w:hAnsi="仿宋_GB2312" w:eastAsia="仿宋_GB2312" w:cs="仿宋_GB2312"/>
                <w:color w:val="auto"/>
              </w:rPr>
              <w:t>）</w:t>
            </w:r>
            <w:r>
              <w:rPr>
                <w:rFonts w:ascii="仿宋_GB2312" w:hAnsi="仿宋_GB2312" w:eastAsia="仿宋_GB2312" w:cs="仿宋_GB2312"/>
                <w:color w:val="auto"/>
              </w:rPr>
              <w:t>或红十字救护员（初级）（8课时）为评定的基本依据。</w:t>
            </w:r>
          </w:p>
          <w:p w14:paraId="56A26F3B">
            <w:pPr>
              <w:snapToGrid w:val="0"/>
              <w:spacing w:after="0" w:line="240" w:lineRule="auto"/>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rPr>
              <w:t>参加红十字应急救护培训，经考试合格，取得证书的人数。</w:t>
            </w:r>
          </w:p>
        </w:tc>
        <w:tc>
          <w:tcPr>
            <w:tcW w:w="2268" w:type="dxa"/>
            <w:tcBorders>
              <w:bottom w:val="single" w:color="000000" w:sz="4" w:space="0"/>
            </w:tcBorders>
            <w:vAlign w:val="center"/>
          </w:tcPr>
          <w:p w14:paraId="595BA00F">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省红十字会</w:t>
            </w:r>
          </w:p>
        </w:tc>
      </w:tr>
      <w:tr w14:paraId="1143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vAlign w:val="center"/>
          </w:tcPr>
          <w:p w14:paraId="39F71110">
            <w:pPr>
              <w:snapToGrid w:val="0"/>
              <w:spacing w:after="0" w:line="240" w:lineRule="auto"/>
              <w:jc w:val="center"/>
              <w:rPr>
                <w:rFonts w:ascii="CESI黑体-GB2312" w:hAnsi="CESI黑体-GB2312" w:eastAsia="CESI黑体-GB2312" w:cs="CESI黑体-GB2312"/>
                <w:color w:val="auto"/>
                <w:kern w:val="0"/>
                <w:szCs w:val="21"/>
              </w:rPr>
            </w:pPr>
          </w:p>
        </w:tc>
        <w:tc>
          <w:tcPr>
            <w:tcW w:w="992" w:type="dxa"/>
            <w:tcBorders>
              <w:bottom w:val="single" w:color="000000" w:sz="4" w:space="0"/>
            </w:tcBorders>
            <w:vAlign w:val="center"/>
          </w:tcPr>
          <w:p w14:paraId="6C19E45C">
            <w:pPr>
              <w:snapToGrid w:val="0"/>
              <w:spacing w:after="0" w:line="240" w:lineRule="auto"/>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rPr>
              <w:t>6</w:t>
            </w:r>
            <w:r>
              <w:rPr>
                <w:rFonts w:ascii="仿宋_GB2312" w:hAnsi="仿宋_GB2312" w:eastAsia="仿宋_GB2312" w:cs="仿宋_GB2312"/>
                <w:color w:val="auto"/>
                <w:kern w:val="0"/>
                <w:szCs w:val="21"/>
              </w:rPr>
              <w:t>6</w:t>
            </w:r>
          </w:p>
        </w:tc>
        <w:tc>
          <w:tcPr>
            <w:tcW w:w="2977" w:type="dxa"/>
            <w:gridSpan w:val="2"/>
            <w:tcBorders>
              <w:bottom w:val="single" w:color="000000" w:sz="4" w:space="0"/>
            </w:tcBorders>
            <w:vAlign w:val="center"/>
          </w:tcPr>
          <w:p w14:paraId="05689A5B">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szCs w:val="21"/>
              </w:rPr>
              <w:t>每万常住人口执业（助理）中医师数（人）</w:t>
            </w:r>
          </w:p>
        </w:tc>
        <w:tc>
          <w:tcPr>
            <w:tcW w:w="5811" w:type="dxa"/>
            <w:tcBorders>
              <w:bottom w:val="single" w:color="000000" w:sz="4" w:space="0"/>
            </w:tcBorders>
            <w:vAlign w:val="center"/>
          </w:tcPr>
          <w:p w14:paraId="694B43F5">
            <w:pPr>
              <w:snapToGrid w:val="0"/>
              <w:spacing w:after="0" w:line="240" w:lineRule="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代表一个地区中医师资源的数量，是一个地区中医药资源的关键指标。</w:t>
            </w:r>
          </w:p>
          <w:p w14:paraId="286674BC">
            <w:pPr>
              <w:snapToGrid w:val="0"/>
              <w:spacing w:after="0" w:line="240" w:lineRule="auto"/>
              <w:rPr>
                <w:rFonts w:ascii="仿宋_GB2312" w:hAnsi="仿宋_GB2312" w:eastAsia="仿宋_GB2312" w:cs="仿宋_GB2312"/>
                <w:color w:val="auto"/>
                <w:szCs w:val="21"/>
              </w:rPr>
            </w:pPr>
            <w:r>
              <w:rPr>
                <w:rFonts w:hint="eastAsia" w:ascii="仿宋_GB2312" w:hAnsi="仿宋_GB2312" w:eastAsia="仿宋_GB2312" w:cs="仿宋_GB2312"/>
                <w:color w:val="auto"/>
                <w:szCs w:val="21"/>
              </w:rPr>
              <w:t>以当地中医类别（执业助理医师人数）/年末常住人口数×10000。</w:t>
            </w:r>
          </w:p>
        </w:tc>
        <w:tc>
          <w:tcPr>
            <w:tcW w:w="2268" w:type="dxa"/>
            <w:tcBorders>
              <w:bottom w:val="single" w:color="000000" w:sz="4" w:space="0"/>
            </w:tcBorders>
            <w:vAlign w:val="center"/>
          </w:tcPr>
          <w:p w14:paraId="7389CC3E">
            <w:pPr>
              <w:snapToGrid w:val="0"/>
              <w:spacing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省中医药管理局</w:t>
            </w:r>
          </w:p>
        </w:tc>
      </w:tr>
      <w:tr w14:paraId="77F7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vAlign w:val="center"/>
          </w:tcPr>
          <w:p w14:paraId="1A590112">
            <w:pPr>
              <w:snapToGrid w:val="0"/>
              <w:spacing w:after="0" w:line="240" w:lineRule="auto"/>
              <w:jc w:val="center"/>
              <w:rPr>
                <w:rFonts w:ascii="CESI黑体-GB2312" w:hAnsi="CESI黑体-GB2312" w:eastAsia="CESI黑体-GB2312" w:cs="CESI黑体-GB2312"/>
                <w:color w:val="auto"/>
                <w:kern w:val="0"/>
                <w:szCs w:val="21"/>
              </w:rPr>
            </w:pPr>
          </w:p>
        </w:tc>
        <w:tc>
          <w:tcPr>
            <w:tcW w:w="992" w:type="dxa"/>
            <w:tcBorders>
              <w:bottom w:val="single" w:color="000000" w:sz="4" w:space="0"/>
            </w:tcBorders>
            <w:vAlign w:val="center"/>
          </w:tcPr>
          <w:p w14:paraId="7F885682">
            <w:pPr>
              <w:snapToGrid w:val="0"/>
              <w:spacing w:after="0" w:line="240" w:lineRule="auto"/>
              <w:jc w:val="center"/>
              <w:rPr>
                <w:rFonts w:ascii="仿宋_GB2312" w:hAnsi="仿宋_GB2312" w:eastAsia="仿宋_GB2312" w:cs="仿宋_GB2312"/>
                <w:color w:val="auto"/>
                <w:kern w:val="0"/>
                <w:szCs w:val="21"/>
                <w:shd w:val="clear" w:color="FFFFFF" w:fill="D9D9D9"/>
              </w:rPr>
            </w:pPr>
            <w:r>
              <w:rPr>
                <w:rFonts w:hint="eastAsia" w:ascii="仿宋_GB2312" w:hAnsi="仿宋_GB2312" w:eastAsia="仿宋_GB2312" w:cs="仿宋_GB2312"/>
                <w:color w:val="auto"/>
                <w:kern w:val="0"/>
                <w:szCs w:val="21"/>
              </w:rPr>
              <w:t>6</w:t>
            </w:r>
            <w:r>
              <w:rPr>
                <w:rFonts w:ascii="仿宋_GB2312" w:hAnsi="仿宋_GB2312" w:eastAsia="仿宋_GB2312" w:cs="仿宋_GB2312"/>
                <w:color w:val="auto"/>
                <w:kern w:val="0"/>
                <w:szCs w:val="21"/>
              </w:rPr>
              <w:t>7</w:t>
            </w:r>
            <w:r>
              <w:rPr>
                <w:rFonts w:ascii="Arial" w:hAnsi="Arial" w:eastAsia="仿宋_GB2312" w:cs="Arial"/>
                <w:color w:val="auto"/>
                <w:kern w:val="0"/>
                <w:szCs w:val="21"/>
              </w:rPr>
              <w:t>＊</w:t>
            </w:r>
          </w:p>
        </w:tc>
        <w:tc>
          <w:tcPr>
            <w:tcW w:w="2977" w:type="dxa"/>
            <w:gridSpan w:val="2"/>
            <w:tcBorders>
              <w:bottom w:val="single" w:color="000000" w:sz="4" w:space="0"/>
            </w:tcBorders>
            <w:vAlign w:val="center"/>
          </w:tcPr>
          <w:p w14:paraId="5C9ED678">
            <w:pPr>
              <w:snapToGrid w:val="0"/>
              <w:spacing w:after="0"/>
              <w:rPr>
                <w:rFonts w:ascii="仿宋_GB2312" w:hAnsi="仿宋_GB2312" w:eastAsia="仿宋_GB2312" w:cs="仿宋_GB2312"/>
                <w:color w:val="auto"/>
                <w:kern w:val="0"/>
                <w:szCs w:val="21"/>
                <w:shd w:val="clear" w:color="FFFFFF" w:fill="D9D9D9"/>
              </w:rPr>
            </w:pPr>
            <w:r>
              <w:rPr>
                <w:rFonts w:ascii="仿宋_GB2312" w:hAnsi="仿宋_GB2312" w:eastAsia="仿宋_GB2312" w:cs="仿宋_GB2312"/>
                <w:color w:val="auto"/>
                <w:kern w:val="0"/>
                <w:szCs w:val="21"/>
              </w:rPr>
              <w:t>村(社区)配备家庭健康指导员</w:t>
            </w:r>
          </w:p>
        </w:tc>
        <w:tc>
          <w:tcPr>
            <w:tcW w:w="5811" w:type="dxa"/>
            <w:tcBorders>
              <w:bottom w:val="single" w:color="000000" w:sz="4" w:space="0"/>
            </w:tcBorders>
            <w:vAlign w:val="center"/>
          </w:tcPr>
          <w:p w14:paraId="61CF100C">
            <w:pPr>
              <w:snapToGrid w:val="0"/>
              <w:spacing w:after="0" w:line="240" w:lineRule="auto"/>
              <w:rPr>
                <w:rFonts w:ascii="仿宋_GB2312" w:hAnsi="仿宋_GB2312" w:eastAsia="仿宋_GB2312" w:cs="仿宋_GB2312"/>
                <w:color w:val="auto"/>
                <w:kern w:val="0"/>
                <w:szCs w:val="21"/>
                <w:shd w:val="clear" w:color="FFFFFF" w:fill="D9D9D9"/>
              </w:rPr>
            </w:pPr>
            <w:r>
              <w:rPr>
                <w:rFonts w:hint="eastAsia" w:ascii="仿宋_GB2312" w:hAnsi="仿宋_GB2312" w:eastAsia="仿宋_GB2312" w:cs="仿宋_GB2312"/>
                <w:color w:val="auto"/>
                <w:kern w:val="0"/>
                <w:szCs w:val="21"/>
              </w:rPr>
              <w:t>参加以中国计生协编印的《家庭健康指导员培训教材》为内容村（社区）家庭健康指导员培训班，通过考评，获得《合格证书》的确认为家庭健康指导员。以配备家庭健康指导员的村（社区）数除以该市县行政区域所辖的村（社区）总数乘于100%，所得数为该市县完成的指标数。</w:t>
            </w:r>
          </w:p>
        </w:tc>
        <w:tc>
          <w:tcPr>
            <w:tcW w:w="2268" w:type="dxa"/>
            <w:tcBorders>
              <w:bottom w:val="single" w:color="000000" w:sz="4" w:space="0"/>
            </w:tcBorders>
            <w:vAlign w:val="center"/>
          </w:tcPr>
          <w:p w14:paraId="2AA33760">
            <w:pPr>
              <w:snapToGrid w:val="0"/>
              <w:spacing w:after="0" w:line="240" w:lineRule="auto"/>
              <w:jc w:val="center"/>
              <w:rPr>
                <w:rFonts w:ascii="CESI黑体-GB2312" w:hAnsi="CESI黑体-GB2312" w:eastAsia="CESI黑体-GB2312" w:cs="CESI黑体-GB2312"/>
                <w:color w:val="auto"/>
                <w:szCs w:val="21"/>
                <w:shd w:val="clear" w:color="FFFFFF" w:fill="D9D9D9"/>
              </w:rPr>
            </w:pPr>
            <w:r>
              <w:rPr>
                <w:rFonts w:hint="eastAsia" w:ascii="CESI黑体-GB2312" w:hAnsi="CESI黑体-GB2312" w:eastAsia="CESI黑体-GB2312" w:cs="CESI黑体-GB2312"/>
                <w:color w:val="auto"/>
                <w:kern w:val="0"/>
                <w:szCs w:val="21"/>
              </w:rPr>
              <w:t>省计划生育协会</w:t>
            </w:r>
          </w:p>
        </w:tc>
      </w:tr>
      <w:tr w14:paraId="51A2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vAlign w:val="center"/>
          </w:tcPr>
          <w:p w14:paraId="5B65AC49">
            <w:pPr>
              <w:snapToGrid w:val="0"/>
              <w:spacing w:after="0" w:line="240" w:lineRule="auto"/>
              <w:jc w:val="center"/>
              <w:rPr>
                <w:rFonts w:ascii="CESI黑体-GB2312" w:hAnsi="CESI黑体-GB2312" w:eastAsia="CESI黑体-GB2312" w:cs="CESI黑体-GB2312"/>
                <w:color w:val="auto"/>
                <w:kern w:val="0"/>
                <w:szCs w:val="21"/>
              </w:rPr>
            </w:pPr>
          </w:p>
        </w:tc>
        <w:tc>
          <w:tcPr>
            <w:tcW w:w="992" w:type="dxa"/>
            <w:tcBorders>
              <w:bottom w:val="single" w:color="000000" w:sz="4" w:space="0"/>
            </w:tcBorders>
            <w:vAlign w:val="center"/>
          </w:tcPr>
          <w:p w14:paraId="546FD576">
            <w:pPr>
              <w:spacing w:after="0" w:line="240" w:lineRule="auto"/>
              <w:jc w:val="center"/>
              <w:rPr>
                <w:rFonts w:ascii="仿宋_GB2312" w:hAnsi="仿宋_GB2312" w:eastAsia="仿宋_GB2312" w:cs="仿宋_GB2312"/>
                <w:color w:val="auto"/>
                <w:kern w:val="0"/>
                <w:szCs w:val="21"/>
                <w:shd w:val="pct10" w:color="auto" w:fill="FFFFFF"/>
              </w:rPr>
            </w:pPr>
            <w:r>
              <w:rPr>
                <w:rFonts w:hint="eastAsia" w:ascii="仿宋_GB2312" w:hAnsi="仿宋_GB2312" w:eastAsia="仿宋_GB2312" w:cs="仿宋_GB2312"/>
                <w:color w:val="auto"/>
                <w:kern w:val="0"/>
                <w:szCs w:val="21"/>
              </w:rPr>
              <w:t>68＊</w:t>
            </w:r>
          </w:p>
        </w:tc>
        <w:tc>
          <w:tcPr>
            <w:tcW w:w="2977" w:type="dxa"/>
            <w:gridSpan w:val="2"/>
            <w:tcBorders>
              <w:bottom w:val="single" w:color="000000" w:sz="4" w:space="0"/>
            </w:tcBorders>
            <w:vAlign w:val="center"/>
          </w:tcPr>
          <w:p w14:paraId="1086041E">
            <w:pPr>
              <w:snapToGrid w:val="0"/>
              <w:spacing w:after="0"/>
              <w:rPr>
                <w:rFonts w:ascii="仿宋_GB2312" w:hAnsi="仿宋_GB2312" w:eastAsia="仿宋_GB2312" w:cs="仿宋_GB2312"/>
                <w:color w:val="auto"/>
                <w:kern w:val="0"/>
                <w:szCs w:val="21"/>
                <w:shd w:val="pct10" w:color="auto" w:fill="FFFFFF"/>
              </w:rPr>
            </w:pPr>
            <w:r>
              <w:rPr>
                <w:rFonts w:ascii="仿宋_GB2312" w:hAnsi="仿宋_GB2312" w:eastAsia="仿宋_GB2312" w:cs="仿宋_GB2312"/>
                <w:color w:val="auto"/>
                <w:kern w:val="0"/>
                <w:szCs w:val="21"/>
              </w:rPr>
              <w:t>当年新开工工程建设项目工伤保险参保率（%）</w:t>
            </w:r>
          </w:p>
        </w:tc>
        <w:tc>
          <w:tcPr>
            <w:tcW w:w="5811" w:type="dxa"/>
            <w:tcBorders>
              <w:bottom w:val="single" w:color="000000" w:sz="4" w:space="0"/>
            </w:tcBorders>
            <w:vAlign w:val="center"/>
          </w:tcPr>
          <w:p w14:paraId="30581E35">
            <w:pPr>
              <w:snapToGrid w:val="0"/>
              <w:spacing w:after="0" w:line="240" w:lineRule="auto"/>
              <w:rPr>
                <w:rFonts w:ascii="仿宋_GB2312" w:hAnsi="仿宋_GB2312" w:eastAsia="仿宋_GB2312" w:cs="仿宋_GB2312"/>
                <w:color w:val="auto"/>
              </w:rPr>
            </w:pPr>
            <w:r>
              <w:rPr>
                <w:rFonts w:ascii="仿宋_GB2312" w:hAnsi="仿宋_GB2312" w:eastAsia="仿宋_GB2312" w:cs="仿宋_GB2312"/>
                <w:color w:val="auto"/>
              </w:rPr>
              <w:t>新开工工程建设项目工伤保险参保率指统计当期新开工工程建设项目中参加工伤保险项目的比率。</w:t>
            </w:r>
          </w:p>
          <w:p w14:paraId="0B6C5099">
            <w:pPr>
              <w:snapToGrid w:val="0"/>
              <w:spacing w:after="0" w:line="240" w:lineRule="auto"/>
              <w:rPr>
                <w:rFonts w:ascii="仿宋_GB2312" w:hAnsi="仿宋_GB2312" w:eastAsia="仿宋_GB2312" w:cs="仿宋_GB2312"/>
                <w:color w:val="auto"/>
                <w:shd w:val="pct10" w:color="auto" w:fill="FFFFFF"/>
              </w:rPr>
            </w:pPr>
            <w:r>
              <w:rPr>
                <w:rFonts w:ascii="仿宋_GB2312" w:hAnsi="仿宋_GB2312" w:eastAsia="仿宋_GB2312" w:cs="仿宋_GB2312"/>
                <w:color w:val="auto"/>
                <w:kern w:val="0"/>
                <w:szCs w:val="21"/>
              </w:rPr>
              <w:t>（参保新开工项目数/新开工项目数）×100</w:t>
            </w:r>
            <w:r>
              <w:rPr>
                <w:rFonts w:hint="eastAsia" w:ascii="仿宋_GB2312" w:hAnsi="仿宋_GB2312" w:eastAsia="仿宋_GB2312" w:cs="仿宋_GB2312"/>
                <w:color w:val="auto"/>
                <w:kern w:val="0"/>
                <w:szCs w:val="21"/>
              </w:rPr>
              <w:t>。</w:t>
            </w:r>
          </w:p>
        </w:tc>
        <w:tc>
          <w:tcPr>
            <w:tcW w:w="2268" w:type="dxa"/>
            <w:tcBorders>
              <w:bottom w:val="single" w:color="000000" w:sz="4" w:space="0"/>
            </w:tcBorders>
            <w:vAlign w:val="center"/>
          </w:tcPr>
          <w:p w14:paraId="7A1BF5CD">
            <w:pPr>
              <w:snapToGrid w:val="0"/>
              <w:spacing w:after="0" w:line="240" w:lineRule="auto"/>
              <w:jc w:val="center"/>
              <w:rPr>
                <w:rFonts w:ascii="CESI黑体-GB2312" w:hAnsi="CESI黑体-GB2312" w:eastAsia="CESI黑体-GB2312" w:cs="CESI黑体-GB2312"/>
                <w:color w:val="auto"/>
                <w:kern w:val="0"/>
                <w:szCs w:val="21"/>
                <w:shd w:val="pct10" w:color="auto" w:fill="FFFFFF"/>
              </w:rPr>
            </w:pPr>
            <w:r>
              <w:rPr>
                <w:rFonts w:hint="eastAsia" w:ascii="CESI黑体-GB2312" w:hAnsi="CESI黑体-GB2312" w:eastAsia="CESI黑体-GB2312" w:cs="CESI黑体-GB2312"/>
                <w:color w:val="auto"/>
                <w:kern w:val="0"/>
                <w:szCs w:val="21"/>
              </w:rPr>
              <w:t>省人社厅</w:t>
            </w:r>
          </w:p>
        </w:tc>
      </w:tr>
      <w:tr w14:paraId="603C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vAlign w:val="center"/>
          </w:tcPr>
          <w:p w14:paraId="73C59DF4">
            <w:pPr>
              <w:snapToGrid w:val="0"/>
              <w:spacing w:after="0" w:line="240" w:lineRule="auto"/>
              <w:jc w:val="center"/>
              <w:rPr>
                <w:rFonts w:ascii="CESI黑体-GB2312" w:hAnsi="CESI黑体-GB2312" w:eastAsia="CESI黑体-GB2312" w:cs="CESI黑体-GB2312"/>
                <w:color w:val="auto"/>
                <w:kern w:val="0"/>
                <w:szCs w:val="21"/>
              </w:rPr>
            </w:pPr>
          </w:p>
        </w:tc>
        <w:tc>
          <w:tcPr>
            <w:tcW w:w="992" w:type="dxa"/>
            <w:tcBorders>
              <w:bottom w:val="single" w:color="000000" w:sz="4" w:space="0"/>
            </w:tcBorders>
            <w:vAlign w:val="center"/>
          </w:tcPr>
          <w:p w14:paraId="0025C678">
            <w:pPr>
              <w:snapToGrid w:val="0"/>
              <w:spacing w:after="0" w:line="240" w:lineRule="auto"/>
              <w:jc w:val="center"/>
              <w:rPr>
                <w:rFonts w:ascii="仿宋_GB2312" w:hAnsi="仿宋_GB2312" w:eastAsia="仿宋_GB2312" w:cs="仿宋_GB2312"/>
                <w:color w:val="auto"/>
              </w:rPr>
            </w:pPr>
            <w:r>
              <w:rPr>
                <w:rFonts w:ascii="仿宋_GB2312" w:hAnsi="仿宋_GB2312" w:eastAsia="仿宋_GB2312" w:cs="仿宋_GB2312"/>
                <w:color w:val="auto"/>
              </w:rPr>
              <w:t>69</w:t>
            </w:r>
            <w:r>
              <w:rPr>
                <w:rFonts w:hint="eastAsia" w:ascii="仿宋_GB2312" w:hAnsi="仿宋_GB2312" w:eastAsia="仿宋_GB2312" w:cs="仿宋_GB2312"/>
                <w:color w:val="auto"/>
              </w:rPr>
              <w:t>＊</w:t>
            </w:r>
          </w:p>
        </w:tc>
        <w:tc>
          <w:tcPr>
            <w:tcW w:w="2977" w:type="dxa"/>
            <w:gridSpan w:val="2"/>
            <w:tcBorders>
              <w:bottom w:val="single" w:color="000000" w:sz="4" w:space="0"/>
            </w:tcBorders>
            <w:vAlign w:val="center"/>
          </w:tcPr>
          <w:p w14:paraId="052F9C60">
            <w:pPr>
              <w:snapToGrid w:val="0"/>
              <w:spacing w:after="0" w:line="240" w:lineRule="auto"/>
              <w:rPr>
                <w:rFonts w:ascii="仿宋_GB2312" w:hAnsi="仿宋_GB2312" w:eastAsia="仿宋_GB2312" w:cs="仿宋_GB2312"/>
                <w:color w:val="auto"/>
              </w:rPr>
            </w:pPr>
            <w:r>
              <w:rPr>
                <w:rFonts w:hint="eastAsia" w:ascii="仿宋_GB2312" w:hAnsi="仿宋_GB2312" w:eastAsia="仿宋_GB2312" w:cs="仿宋_GB2312"/>
                <w:color w:val="auto"/>
              </w:rPr>
              <w:t>“7+</w:t>
            </w:r>
            <w:r>
              <w:rPr>
                <w:rFonts w:ascii="仿宋_GB2312" w:hAnsi="仿宋_GB2312" w:eastAsia="仿宋_GB2312" w:cs="仿宋_GB2312"/>
                <w:color w:val="auto"/>
              </w:rPr>
              <w:t>3</w:t>
            </w:r>
            <w:r>
              <w:rPr>
                <w:rFonts w:hint="eastAsia" w:ascii="仿宋_GB2312" w:hAnsi="仿宋_GB2312" w:eastAsia="仿宋_GB2312" w:cs="仿宋_GB2312"/>
                <w:color w:val="auto"/>
              </w:rPr>
              <w:t>”项目竣工率（%）</w:t>
            </w:r>
          </w:p>
        </w:tc>
        <w:tc>
          <w:tcPr>
            <w:tcW w:w="5811" w:type="dxa"/>
            <w:tcBorders>
              <w:bottom w:val="single" w:color="000000" w:sz="4" w:space="0"/>
            </w:tcBorders>
            <w:vAlign w:val="center"/>
          </w:tcPr>
          <w:p w14:paraId="31596BFF">
            <w:pPr>
              <w:snapToGrid w:val="0"/>
              <w:spacing w:after="0" w:line="240" w:lineRule="auto"/>
              <w:rPr>
                <w:rFonts w:ascii="仿宋_GB2312" w:hAnsi="仿宋_GB2312" w:eastAsia="仿宋_GB2312" w:cs="仿宋_GB2312"/>
                <w:color w:val="auto"/>
                <w:szCs w:val="21"/>
              </w:rPr>
            </w:pPr>
            <w:r>
              <w:rPr>
                <w:rFonts w:hint="eastAsia" w:ascii="仿宋_GB2312" w:hAnsi="等线" w:eastAsia="仿宋_GB2312" w:cs="仿宋_GB2312"/>
                <w:color w:val="auto"/>
                <w:kern w:val="0"/>
                <w:szCs w:val="21"/>
              </w:rPr>
              <w:t>“7+3”项目是指加快提升发热门诊、可转换传染病区、可转换ICU、实验室、传染病检测、医疗废弃物处置、急诊急救等“7大能力”，以及完善应急物资保障、应急医疗资源预案保障、重大疫情救治保障等“3大保障”。                                            竣工率=竣工项目数/建设项目数。</w:t>
            </w:r>
          </w:p>
        </w:tc>
        <w:tc>
          <w:tcPr>
            <w:tcW w:w="2268" w:type="dxa"/>
            <w:tcBorders>
              <w:bottom w:val="single" w:color="000000" w:sz="4" w:space="0"/>
            </w:tcBorders>
            <w:vAlign w:val="center"/>
          </w:tcPr>
          <w:p w14:paraId="4C6EDA42">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省卫生健康委规划信息处</w:t>
            </w:r>
          </w:p>
        </w:tc>
      </w:tr>
      <w:tr w14:paraId="4968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858" w:hRule="atLeast"/>
          <w:jc w:val="center"/>
        </w:trPr>
        <w:tc>
          <w:tcPr>
            <w:tcW w:w="988" w:type="dxa"/>
            <w:vAlign w:val="center"/>
          </w:tcPr>
          <w:p w14:paraId="15D699A3">
            <w:pPr>
              <w:snapToGrid w:val="0"/>
              <w:spacing w:after="0" w:line="240" w:lineRule="auto"/>
              <w:jc w:val="center"/>
              <w:rPr>
                <w:rFonts w:ascii="CESI黑体-GB2312" w:hAnsi="CESI黑体-GB2312" w:eastAsia="CESI黑体-GB2312" w:cs="CESI黑体-GB2312"/>
                <w:color w:val="auto"/>
                <w:kern w:val="0"/>
                <w:szCs w:val="21"/>
              </w:rPr>
            </w:pPr>
            <w:r>
              <w:rPr>
                <w:rFonts w:ascii="CESI黑体-GB2312" w:hAnsi="CESI黑体-GB2312" w:eastAsia="CESI黑体-GB2312" w:cs="CESI黑体-GB2312"/>
                <w:color w:val="auto"/>
                <w:kern w:val="0"/>
                <w:szCs w:val="21"/>
              </w:rPr>
              <w:t>健康服务与保障</w:t>
            </w:r>
          </w:p>
        </w:tc>
        <w:tc>
          <w:tcPr>
            <w:tcW w:w="992" w:type="dxa"/>
            <w:vAlign w:val="center"/>
          </w:tcPr>
          <w:p w14:paraId="4CB16427">
            <w:pPr>
              <w:snapToGrid w:val="0"/>
              <w:spacing w:after="0" w:line="240" w:lineRule="auto"/>
              <w:jc w:val="center"/>
              <w:rPr>
                <w:rFonts w:ascii="仿宋_GB2312" w:hAnsi="仿宋_GB2312" w:eastAsia="仿宋_GB2312" w:cs="仿宋_GB2312"/>
                <w:color w:val="auto"/>
                <w:kern w:val="0"/>
                <w:szCs w:val="21"/>
              </w:rPr>
            </w:pPr>
            <w:r>
              <w:rPr>
                <w:rFonts w:ascii="仿宋_GB2312" w:hAnsi="仿宋_GB2312" w:eastAsia="仿宋_GB2312" w:cs="仿宋_GB2312"/>
                <w:color w:val="auto"/>
                <w:kern w:val="0"/>
                <w:szCs w:val="21"/>
              </w:rPr>
              <w:t>70</w:t>
            </w:r>
            <w:r>
              <w:rPr>
                <w:rFonts w:hint="eastAsia" w:ascii="仿宋_GB2312" w:hAnsi="仿宋_GB2312" w:eastAsia="仿宋_GB2312" w:cs="仿宋_GB2312"/>
                <w:color w:val="auto"/>
                <w:kern w:val="0"/>
                <w:szCs w:val="21"/>
              </w:rPr>
              <w:t>＊</w:t>
            </w:r>
          </w:p>
        </w:tc>
        <w:tc>
          <w:tcPr>
            <w:tcW w:w="2977" w:type="dxa"/>
            <w:gridSpan w:val="2"/>
            <w:vAlign w:val="center"/>
          </w:tcPr>
          <w:p w14:paraId="29E10004">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“三医联动一张网”平台数据质量</w:t>
            </w:r>
          </w:p>
        </w:tc>
        <w:tc>
          <w:tcPr>
            <w:tcW w:w="5811" w:type="dxa"/>
            <w:vAlign w:val="center"/>
          </w:tcPr>
          <w:p w14:paraId="0C6FDC6D">
            <w:pPr>
              <w:spacing w:after="0" w:line="240" w:lineRule="auto"/>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省“三医联动一张网”平台上的各市县数据质量，包括数据在平台汇聚的完整率、及时性、准确性、与法定卫生统计指标数据一致率等。</w:t>
            </w:r>
          </w:p>
          <w:p w14:paraId="6B62F0BF">
            <w:pPr>
              <w:snapToGrid w:val="0"/>
              <w:spacing w:after="0" w:line="240" w:lineRule="auto"/>
              <w:jc w:val="both"/>
              <w:rPr>
                <w:rFonts w:ascii="仿宋_GB2312" w:hAnsi="等线" w:eastAsia="仿宋_GB2312" w:cs="仿宋_GB2312"/>
                <w:color w:val="auto"/>
                <w:kern w:val="0"/>
                <w:szCs w:val="21"/>
              </w:rPr>
            </w:pPr>
            <w:r>
              <w:rPr>
                <w:rFonts w:hint="eastAsia" w:ascii="仿宋_GB2312" w:hAnsi="仿宋_GB2312" w:eastAsia="仿宋_GB2312" w:cs="仿宋_GB2312"/>
                <w:color w:val="auto"/>
                <w:kern w:val="0"/>
                <w:szCs w:val="21"/>
              </w:rPr>
              <w:t>以省“三医联动一张网”平台数据质量监测的市县综合名次为依据。</w:t>
            </w:r>
          </w:p>
        </w:tc>
        <w:tc>
          <w:tcPr>
            <w:tcW w:w="2268" w:type="dxa"/>
            <w:vAlign w:val="center"/>
          </w:tcPr>
          <w:p w14:paraId="0FF04045">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省卫生健康委规划信息处，委统计信息中心</w:t>
            </w:r>
          </w:p>
        </w:tc>
      </w:tr>
      <w:tr w14:paraId="061D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restart"/>
            <w:vAlign w:val="center"/>
          </w:tcPr>
          <w:p w14:paraId="1C615FF8">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kern w:val="0"/>
                <w:szCs w:val="21"/>
              </w:rPr>
              <w:t>健康水平</w:t>
            </w:r>
          </w:p>
          <w:p w14:paraId="68F42818">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12085006">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w:t>
            </w:r>
            <w:r>
              <w:rPr>
                <w:rFonts w:ascii="仿宋_GB2312" w:hAnsi="仿宋_GB2312" w:eastAsia="仿宋_GB2312" w:cs="仿宋_GB2312"/>
                <w:color w:val="auto"/>
                <w:kern w:val="0"/>
                <w:szCs w:val="21"/>
              </w:rPr>
              <w:t>1</w:t>
            </w:r>
            <w:r>
              <w:rPr>
                <w:rFonts w:ascii="Arial" w:hAnsi="Arial" w:eastAsia="仿宋_GB2312" w:cs="Arial"/>
                <w:color w:val="auto"/>
                <w:kern w:val="0"/>
                <w:szCs w:val="21"/>
              </w:rPr>
              <w:t>＊</w:t>
            </w:r>
          </w:p>
        </w:tc>
        <w:tc>
          <w:tcPr>
            <w:tcW w:w="2977" w:type="dxa"/>
            <w:gridSpan w:val="2"/>
            <w:vAlign w:val="center"/>
          </w:tcPr>
          <w:p w14:paraId="2C34EDC3">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人均预期寿命（岁）</w:t>
            </w:r>
          </w:p>
        </w:tc>
        <w:tc>
          <w:tcPr>
            <w:tcW w:w="5811" w:type="dxa"/>
            <w:vAlign w:val="center"/>
          </w:tcPr>
          <w:p w14:paraId="1BAC782B">
            <w:pPr>
              <w:spacing w:after="0" w:line="240" w:lineRule="auto"/>
              <w:rPr>
                <w:rFonts w:ascii="仿宋_GB2312" w:hAnsi="等线" w:eastAsia="仿宋_GB2312" w:cs="仿宋_GB2312"/>
                <w:color w:val="auto"/>
                <w:kern w:val="0"/>
                <w:szCs w:val="21"/>
              </w:rPr>
            </w:pPr>
            <w:r>
              <w:rPr>
                <w:rFonts w:hint="eastAsia" w:ascii="仿宋_GB2312" w:hAnsi="仿宋_GB2312" w:eastAsia="仿宋_GB2312" w:cs="仿宋_GB2312"/>
                <w:color w:val="auto"/>
                <w:kern w:val="0"/>
                <w:szCs w:val="21"/>
              </w:rPr>
              <w:t>指在一定死亡水平下，预期每个人出生时平均可存活的年数，根据寿命表法计算。</w:t>
            </w:r>
          </w:p>
        </w:tc>
        <w:tc>
          <w:tcPr>
            <w:tcW w:w="2268" w:type="dxa"/>
            <w:vAlign w:val="center"/>
          </w:tcPr>
          <w:p w14:paraId="2E2AD43C">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17C616BF">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健康促进</w:t>
            </w:r>
            <w:r>
              <w:rPr>
                <w:rFonts w:ascii="CESI黑体-GB2312" w:hAnsi="CESI黑体-GB2312" w:eastAsia="CESI黑体-GB2312" w:cs="CESI黑体-GB2312"/>
                <w:color w:val="auto"/>
                <w:szCs w:val="21"/>
              </w:rPr>
              <w:t>处</w:t>
            </w:r>
          </w:p>
        </w:tc>
      </w:tr>
      <w:tr w14:paraId="4D43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vAlign w:val="center"/>
          </w:tcPr>
          <w:p w14:paraId="73DE0035">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7CCF0E24">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w:t>
            </w:r>
            <w:r>
              <w:rPr>
                <w:rFonts w:ascii="仿宋_GB2312" w:hAnsi="仿宋_GB2312" w:eastAsia="仿宋_GB2312" w:cs="仿宋_GB2312"/>
                <w:color w:val="auto"/>
                <w:kern w:val="0"/>
                <w:szCs w:val="21"/>
              </w:rPr>
              <w:t>2</w:t>
            </w:r>
            <w:r>
              <w:rPr>
                <w:rFonts w:ascii="Arial" w:hAnsi="Arial" w:eastAsia="仿宋_GB2312" w:cs="Arial"/>
                <w:color w:val="auto"/>
                <w:kern w:val="0"/>
                <w:szCs w:val="21"/>
              </w:rPr>
              <w:t>＊</w:t>
            </w:r>
          </w:p>
        </w:tc>
        <w:tc>
          <w:tcPr>
            <w:tcW w:w="2977" w:type="dxa"/>
            <w:gridSpan w:val="2"/>
            <w:vAlign w:val="center"/>
          </w:tcPr>
          <w:p w14:paraId="71557C11">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婴儿死亡率（‰）</w:t>
            </w:r>
          </w:p>
        </w:tc>
        <w:tc>
          <w:tcPr>
            <w:tcW w:w="5811" w:type="dxa"/>
            <w:vAlign w:val="center"/>
          </w:tcPr>
          <w:p w14:paraId="0A227C78">
            <w:pPr>
              <w:snapToGrid w:val="0"/>
              <w:spacing w:after="0" w:line="240" w:lineRule="auto"/>
              <w:rPr>
                <w:rFonts w:ascii="仿宋_GB2312" w:hAnsi="等线" w:eastAsia="仿宋_GB2312" w:cs="仿宋_GB2312"/>
                <w:color w:val="auto"/>
                <w:kern w:val="0"/>
                <w:szCs w:val="21"/>
              </w:rPr>
            </w:pPr>
            <w:r>
              <w:rPr>
                <w:rFonts w:hint="eastAsia" w:ascii="仿宋_GB2312" w:hAnsi="等线" w:eastAsia="仿宋_GB2312" w:cs="仿宋_GB2312"/>
                <w:color w:val="auto"/>
                <w:kern w:val="0"/>
                <w:szCs w:val="21"/>
              </w:rPr>
              <w:t>指该年该地区婴儿死亡数占</w:t>
            </w:r>
            <w:r>
              <w:rPr>
                <w:rFonts w:hint="eastAsia" w:ascii="仿宋_GB2312" w:hAnsi="仿宋_GB2312" w:eastAsia="仿宋_GB2312" w:cs="仿宋_GB2312"/>
                <w:color w:val="auto"/>
                <w:kern w:val="0"/>
                <w:szCs w:val="21"/>
              </w:rPr>
              <w:t>某年某地</w:t>
            </w:r>
            <w:r>
              <w:rPr>
                <w:rFonts w:hint="eastAsia" w:ascii="仿宋_GB2312" w:hAnsi="等线" w:eastAsia="仿宋_GB2312" w:cs="仿宋_GB2312"/>
                <w:color w:val="auto"/>
                <w:kern w:val="0"/>
                <w:szCs w:val="21"/>
              </w:rPr>
              <w:t>区活产数的比例。婴儿死亡数指出生至不满</w:t>
            </w:r>
            <w:r>
              <w:rPr>
                <w:rFonts w:ascii="仿宋_GB2312" w:hAnsi="等线" w:eastAsia="仿宋_GB2312" w:cs="仿宋_GB2312"/>
                <w:color w:val="auto"/>
                <w:kern w:val="0"/>
                <w:szCs w:val="21"/>
              </w:rPr>
              <w:t>1周岁的活产儿死亡人数。</w:t>
            </w:r>
          </w:p>
          <w:p w14:paraId="4640AAF9">
            <w:pPr>
              <w:snapToGrid w:val="0"/>
              <w:spacing w:after="0" w:line="240" w:lineRule="auto"/>
              <w:rPr>
                <w:rFonts w:ascii="仿宋_GB2312" w:hAnsi="仿宋_GB2312" w:eastAsia="仿宋_GB2312" w:cs="仿宋_GB2312"/>
                <w:color w:val="auto"/>
                <w:kern w:val="0"/>
                <w:szCs w:val="21"/>
              </w:rPr>
            </w:pPr>
            <w:r>
              <w:rPr>
                <w:rFonts w:hint="eastAsia" w:ascii="仿宋_GB2312" w:hAnsi="等线" w:eastAsia="仿宋_GB2312" w:cs="仿宋_GB2312"/>
                <w:color w:val="auto"/>
                <w:kern w:val="0"/>
                <w:szCs w:val="21"/>
              </w:rPr>
              <w:t>该年该地区婴儿死亡数</w:t>
            </w:r>
            <w:r>
              <w:rPr>
                <w:rFonts w:ascii="仿宋_GB2312" w:hAnsi="仿宋_GB2312" w:eastAsia="仿宋_GB2312" w:cs="仿宋_GB2312"/>
                <w:color w:val="auto"/>
                <w:kern w:val="0"/>
                <w:szCs w:val="21"/>
              </w:rPr>
              <w:t>/</w:t>
            </w:r>
            <w:r>
              <w:rPr>
                <w:rFonts w:hint="eastAsia" w:ascii="仿宋_GB2312" w:hAnsi="仿宋_GB2312" w:eastAsia="仿宋_GB2312" w:cs="仿宋_GB2312"/>
                <w:color w:val="auto"/>
                <w:kern w:val="0"/>
                <w:szCs w:val="21"/>
              </w:rPr>
              <w:t>某年某地区活产数×</w:t>
            </w:r>
            <w:r>
              <w:rPr>
                <w:rFonts w:ascii="仿宋_GB2312" w:hAnsi="仿宋_GB2312" w:eastAsia="仿宋_GB2312" w:cs="仿宋_GB2312"/>
                <w:color w:val="auto"/>
                <w:kern w:val="0"/>
                <w:szCs w:val="21"/>
              </w:rPr>
              <w:t>1000</w:t>
            </w:r>
            <w:r>
              <w:rPr>
                <w:rFonts w:hint="eastAsia" w:ascii="仿宋_GB2312" w:hAnsi="仿宋_GB2312" w:eastAsia="仿宋_GB2312" w:cs="仿宋_GB2312"/>
                <w:color w:val="auto"/>
                <w:kern w:val="0"/>
                <w:szCs w:val="21"/>
              </w:rPr>
              <w:t>。</w:t>
            </w:r>
          </w:p>
        </w:tc>
        <w:tc>
          <w:tcPr>
            <w:tcW w:w="2268" w:type="dxa"/>
            <w:vAlign w:val="center"/>
          </w:tcPr>
          <w:p w14:paraId="1C6F1ECF">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0A256694">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妇幼处</w:t>
            </w:r>
          </w:p>
        </w:tc>
      </w:tr>
      <w:tr w14:paraId="328E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vAlign w:val="center"/>
          </w:tcPr>
          <w:p w14:paraId="7A162222">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3177A202">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w:t>
            </w:r>
            <w:r>
              <w:rPr>
                <w:rFonts w:ascii="仿宋_GB2312" w:hAnsi="仿宋_GB2312" w:eastAsia="仿宋_GB2312" w:cs="仿宋_GB2312"/>
                <w:color w:val="auto"/>
                <w:kern w:val="0"/>
                <w:szCs w:val="21"/>
              </w:rPr>
              <w:t>3</w:t>
            </w:r>
            <w:r>
              <w:rPr>
                <w:rFonts w:ascii="Arial" w:hAnsi="Arial" w:eastAsia="仿宋_GB2312" w:cs="Arial"/>
                <w:color w:val="auto"/>
                <w:kern w:val="0"/>
                <w:szCs w:val="21"/>
              </w:rPr>
              <w:t>＊</w:t>
            </w:r>
          </w:p>
        </w:tc>
        <w:tc>
          <w:tcPr>
            <w:tcW w:w="2977" w:type="dxa"/>
            <w:gridSpan w:val="2"/>
            <w:vAlign w:val="center"/>
          </w:tcPr>
          <w:p w14:paraId="01F2734C">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5岁以下儿童死亡率（‰）</w:t>
            </w:r>
          </w:p>
        </w:tc>
        <w:tc>
          <w:tcPr>
            <w:tcW w:w="5811" w:type="dxa"/>
            <w:vAlign w:val="center"/>
          </w:tcPr>
          <w:p w14:paraId="29C1C842">
            <w:pPr>
              <w:snapToGrid w:val="0"/>
              <w:spacing w:after="0" w:line="240" w:lineRule="auto"/>
              <w:rPr>
                <w:rFonts w:ascii="仿宋_GB2312" w:hAnsi="等线" w:eastAsia="仿宋_GB2312" w:cs="仿宋_GB2312"/>
                <w:color w:val="auto"/>
                <w:kern w:val="0"/>
                <w:szCs w:val="21"/>
              </w:rPr>
            </w:pPr>
            <w:r>
              <w:rPr>
                <w:rFonts w:ascii="仿宋_GB2312" w:hAnsi="等线" w:eastAsia="仿宋_GB2312" w:cs="仿宋_GB2312"/>
                <w:color w:val="auto"/>
                <w:kern w:val="0"/>
                <w:szCs w:val="21"/>
              </w:rPr>
              <w:t>指该年该地区5岁以下儿童死亡数占某年某地区活产数的比例。5 岁以下儿童死亡数指出生至不满5周岁的儿童死亡人数。</w:t>
            </w:r>
          </w:p>
          <w:p w14:paraId="4EFCB987">
            <w:pPr>
              <w:snapToGrid w:val="0"/>
              <w:spacing w:after="0" w:line="240" w:lineRule="auto"/>
              <w:rPr>
                <w:rFonts w:ascii="仿宋_GB2312" w:hAnsi="仿宋_GB2312" w:eastAsia="仿宋_GB2312" w:cs="仿宋_GB2312"/>
                <w:color w:val="auto"/>
                <w:kern w:val="0"/>
                <w:szCs w:val="21"/>
              </w:rPr>
            </w:pPr>
            <w:r>
              <w:rPr>
                <w:rFonts w:ascii="仿宋_GB2312" w:hAnsi="等线" w:eastAsia="仿宋_GB2312" w:cs="仿宋_GB2312"/>
                <w:color w:val="auto"/>
                <w:kern w:val="0"/>
                <w:szCs w:val="21"/>
              </w:rPr>
              <w:t>该年该地区5岁以下儿童死亡数/某年某地区活产数×1000。</w:t>
            </w:r>
          </w:p>
        </w:tc>
        <w:tc>
          <w:tcPr>
            <w:tcW w:w="2268" w:type="dxa"/>
            <w:vAlign w:val="center"/>
          </w:tcPr>
          <w:p w14:paraId="097773E9">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385D599E">
            <w:pPr>
              <w:snapToGrid w:val="0"/>
              <w:spacing w:after="0" w:line="240" w:lineRule="auto"/>
              <w:jc w:val="center"/>
              <w:rPr>
                <w:rFonts w:ascii="CESI黑体-GB2312" w:hAnsi="CESI黑体-GB2312" w:eastAsia="CESI黑体-GB2312" w:cs="CESI黑体-GB2312"/>
                <w:color w:val="auto"/>
                <w:kern w:val="0"/>
                <w:szCs w:val="21"/>
              </w:rPr>
            </w:pPr>
            <w:r>
              <w:rPr>
                <w:rFonts w:hint="eastAsia" w:ascii="CESI黑体-GB2312" w:hAnsi="CESI黑体-GB2312" w:eastAsia="CESI黑体-GB2312" w:cs="CESI黑体-GB2312"/>
                <w:color w:val="auto"/>
                <w:szCs w:val="21"/>
              </w:rPr>
              <w:t>妇幼处</w:t>
            </w:r>
          </w:p>
        </w:tc>
      </w:tr>
      <w:tr w14:paraId="22C8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vAlign w:val="center"/>
          </w:tcPr>
          <w:p w14:paraId="12CB3A10">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04DFEF1C">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w:t>
            </w:r>
            <w:r>
              <w:rPr>
                <w:rFonts w:ascii="仿宋_GB2312" w:hAnsi="仿宋_GB2312" w:eastAsia="仿宋_GB2312" w:cs="仿宋_GB2312"/>
                <w:color w:val="auto"/>
                <w:kern w:val="0"/>
                <w:szCs w:val="21"/>
              </w:rPr>
              <w:t>4</w:t>
            </w:r>
            <w:r>
              <w:rPr>
                <w:rFonts w:ascii="Arial" w:hAnsi="Arial" w:eastAsia="仿宋_GB2312" w:cs="Arial"/>
                <w:color w:val="auto"/>
                <w:kern w:val="0"/>
                <w:szCs w:val="21"/>
              </w:rPr>
              <w:t>＊</w:t>
            </w:r>
          </w:p>
        </w:tc>
        <w:tc>
          <w:tcPr>
            <w:tcW w:w="2977" w:type="dxa"/>
            <w:gridSpan w:val="2"/>
            <w:vAlign w:val="center"/>
          </w:tcPr>
          <w:p w14:paraId="355110EB">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孕产妇死亡率（1/10万）</w:t>
            </w:r>
          </w:p>
        </w:tc>
        <w:tc>
          <w:tcPr>
            <w:tcW w:w="5811" w:type="dxa"/>
            <w:vAlign w:val="center"/>
          </w:tcPr>
          <w:p w14:paraId="7E8CB2B5">
            <w:pPr>
              <w:snapToGrid w:val="0"/>
              <w:spacing w:after="0" w:line="240" w:lineRule="auto"/>
              <w:rPr>
                <w:rFonts w:ascii="仿宋_GB2312" w:hAnsi="等线" w:eastAsia="仿宋_GB2312" w:cs="仿宋_GB2312"/>
                <w:color w:val="auto"/>
                <w:kern w:val="0"/>
                <w:szCs w:val="21"/>
              </w:rPr>
            </w:pPr>
            <w:r>
              <w:rPr>
                <w:rFonts w:ascii="仿宋_GB2312" w:hAnsi="等线" w:eastAsia="仿宋_GB2312" w:cs="仿宋_GB2312"/>
                <w:color w:val="auto"/>
                <w:kern w:val="0"/>
                <w:szCs w:val="21"/>
              </w:rPr>
              <w:t>指该年该地区孕产妇死亡数占某年某地区活产数的比例。孕产妇死亡人数指妇女在妊娠期至妊娠结束后42天以内，由于任何与妊娠或妊娠处理有关的或由此而加重了的原因导致的死亡称为孕产妇死亡，不包括意外事故死亡。</w:t>
            </w:r>
          </w:p>
          <w:p w14:paraId="62CC10BE">
            <w:pPr>
              <w:snapToGrid w:val="0"/>
              <w:spacing w:after="0" w:line="240" w:lineRule="auto"/>
              <w:rPr>
                <w:rFonts w:ascii="仿宋_GB2312" w:hAnsi="仿宋_GB2312" w:eastAsia="仿宋_GB2312" w:cs="仿宋_GB2312"/>
                <w:color w:val="auto"/>
                <w:kern w:val="0"/>
                <w:szCs w:val="21"/>
              </w:rPr>
            </w:pPr>
            <w:r>
              <w:rPr>
                <w:rFonts w:ascii="仿宋_GB2312" w:hAnsi="等线" w:eastAsia="仿宋_GB2312" w:cs="仿宋_GB2312"/>
                <w:color w:val="auto"/>
                <w:kern w:val="0"/>
                <w:szCs w:val="21"/>
              </w:rPr>
              <w:t>该年该地区孕产妇死亡人数/某年某地区活产数×10</w:t>
            </w:r>
            <w:r>
              <w:rPr>
                <w:rFonts w:hint="eastAsia" w:ascii="仿宋_GB2312" w:hAnsi="等线" w:eastAsia="仿宋_GB2312" w:cs="仿宋_GB2312"/>
                <w:color w:val="auto"/>
                <w:kern w:val="0"/>
                <w:szCs w:val="21"/>
              </w:rPr>
              <w:t>0000。</w:t>
            </w:r>
          </w:p>
        </w:tc>
        <w:tc>
          <w:tcPr>
            <w:tcW w:w="2268" w:type="dxa"/>
            <w:vAlign w:val="center"/>
          </w:tcPr>
          <w:p w14:paraId="5859C9DB">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省卫生健康委</w:t>
            </w:r>
          </w:p>
          <w:p w14:paraId="5ACA3C63">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妇幼处</w:t>
            </w:r>
          </w:p>
        </w:tc>
      </w:tr>
      <w:tr w14:paraId="0F28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88" w:type="dxa"/>
            <w:vMerge w:val="continue"/>
            <w:vAlign w:val="center"/>
          </w:tcPr>
          <w:p w14:paraId="3A145FBD">
            <w:pPr>
              <w:snapToGrid w:val="0"/>
              <w:spacing w:after="0" w:line="240" w:lineRule="auto"/>
              <w:jc w:val="center"/>
              <w:rPr>
                <w:rFonts w:ascii="CESI黑体-GB2312" w:hAnsi="CESI黑体-GB2312" w:eastAsia="CESI黑体-GB2312" w:cs="CESI黑体-GB2312"/>
                <w:color w:val="auto"/>
                <w:kern w:val="0"/>
                <w:szCs w:val="21"/>
              </w:rPr>
            </w:pPr>
          </w:p>
        </w:tc>
        <w:tc>
          <w:tcPr>
            <w:tcW w:w="992" w:type="dxa"/>
            <w:vAlign w:val="center"/>
          </w:tcPr>
          <w:p w14:paraId="15362656">
            <w:pPr>
              <w:snapToGrid w:val="0"/>
              <w:spacing w:after="0" w:line="240" w:lineRule="auto"/>
              <w:jc w:val="center"/>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w:t>
            </w:r>
            <w:r>
              <w:rPr>
                <w:rFonts w:ascii="仿宋_GB2312" w:hAnsi="仿宋_GB2312" w:eastAsia="仿宋_GB2312" w:cs="仿宋_GB2312"/>
                <w:color w:val="auto"/>
                <w:kern w:val="0"/>
                <w:szCs w:val="21"/>
              </w:rPr>
              <w:t>5</w:t>
            </w:r>
            <w:r>
              <w:rPr>
                <w:rFonts w:hint="eastAsia" w:ascii="仿宋_GB2312" w:hAnsi="仿宋_GB2312" w:eastAsia="仿宋_GB2312" w:cs="仿宋_GB2312"/>
                <w:color w:val="auto"/>
                <w:kern w:val="0"/>
                <w:szCs w:val="21"/>
              </w:rPr>
              <w:t>＊</w:t>
            </w:r>
          </w:p>
        </w:tc>
        <w:tc>
          <w:tcPr>
            <w:tcW w:w="2977" w:type="dxa"/>
            <w:gridSpan w:val="2"/>
            <w:vAlign w:val="center"/>
          </w:tcPr>
          <w:p w14:paraId="779A483B">
            <w:pPr>
              <w:snapToGrid w:val="0"/>
              <w:spacing w:after="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城乡居民达到《国民体质测定标准》合格以上的人数比例（%）</w:t>
            </w:r>
          </w:p>
        </w:tc>
        <w:tc>
          <w:tcPr>
            <w:tcW w:w="5811" w:type="dxa"/>
            <w:vAlign w:val="center"/>
          </w:tcPr>
          <w:p w14:paraId="0A33DC00">
            <w:pPr>
              <w:snapToGrid w:val="0"/>
              <w:spacing w:after="0" w:line="240" w:lineRule="auto"/>
              <w:rPr>
                <w:rFonts w:ascii="仿宋_GB2312" w:hAnsi="仿宋_GB2312" w:eastAsia="仿宋_GB2312" w:cs="仿宋_GB2312"/>
                <w:color w:val="auto"/>
                <w:kern w:val="0"/>
                <w:szCs w:val="21"/>
              </w:rPr>
            </w:pPr>
            <w:r>
              <w:rPr>
                <w:rFonts w:hint="eastAsia" w:ascii="仿宋_GB2312" w:hAnsi="等线" w:eastAsia="仿宋_GB2312" w:cs="仿宋_GB2312"/>
                <w:color w:val="auto"/>
                <w:kern w:val="0"/>
                <w:szCs w:val="21"/>
              </w:rPr>
              <w:t>全省达到《国民体质测定标准》合格等级以上的人数百分比。</w:t>
            </w:r>
            <w:r>
              <w:rPr>
                <w:rFonts w:hint="eastAsia" w:ascii="仿宋_GB2312" w:hAnsi="等线" w:eastAsia="仿宋_GB2312" w:cs="仿宋_GB2312"/>
                <w:color w:val="auto"/>
                <w:kern w:val="0"/>
                <w:szCs w:val="21"/>
              </w:rPr>
              <w:br w:type="textWrapping"/>
            </w:r>
            <w:r>
              <w:rPr>
                <w:rFonts w:hint="eastAsia" w:ascii="仿宋_GB2312" w:hAnsi="仿宋_GB2312" w:eastAsia="仿宋_GB2312" w:cs="仿宋_GB2312"/>
                <w:color w:val="auto"/>
                <w:kern w:val="0"/>
                <w:szCs w:val="21"/>
              </w:rPr>
              <w:t>某年某地调查城乡居民达到《国民体质测定标准》合格以上的人数/被调查总人数×100。</w:t>
            </w:r>
          </w:p>
        </w:tc>
        <w:tc>
          <w:tcPr>
            <w:tcW w:w="2268" w:type="dxa"/>
            <w:vAlign w:val="center"/>
          </w:tcPr>
          <w:p w14:paraId="220E2710">
            <w:pPr>
              <w:snapToGrid w:val="0"/>
              <w:spacing w:after="0" w:line="240" w:lineRule="auto"/>
              <w:jc w:val="center"/>
              <w:rPr>
                <w:rFonts w:ascii="CESI黑体-GB2312" w:hAnsi="CESI黑体-GB2312" w:eastAsia="CESI黑体-GB2312" w:cs="CESI黑体-GB2312"/>
                <w:color w:val="auto"/>
                <w:szCs w:val="21"/>
              </w:rPr>
            </w:pPr>
            <w:r>
              <w:rPr>
                <w:rFonts w:hint="eastAsia" w:ascii="CESI黑体-GB2312" w:hAnsi="CESI黑体-GB2312" w:eastAsia="CESI黑体-GB2312" w:cs="CESI黑体-GB2312"/>
                <w:color w:val="auto"/>
                <w:szCs w:val="21"/>
              </w:rPr>
              <w:t>省旅游和文化广电体育厅</w:t>
            </w:r>
          </w:p>
        </w:tc>
      </w:tr>
    </w:tbl>
    <w:p w14:paraId="6FA86559">
      <w:pPr>
        <w:snapToGrid w:val="0"/>
        <w:spacing w:after="0" w:line="240" w:lineRule="auto"/>
        <w:ind w:firstLine="440" w:firstLineChars="200"/>
        <w:rPr>
          <w:rFonts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备注：序号后加＊为健康海南2023年</w:t>
      </w:r>
      <w:r>
        <w:rPr>
          <w:rFonts w:ascii="仿宋_GB2312" w:hAnsi="仿宋_GB2312" w:eastAsia="仿宋_GB2312" w:cs="仿宋_GB2312"/>
          <w:color w:val="auto"/>
          <w:kern w:val="0"/>
          <w:szCs w:val="21"/>
        </w:rPr>
        <w:t>考核</w:t>
      </w:r>
      <w:r>
        <w:rPr>
          <w:rFonts w:hint="eastAsia" w:ascii="仿宋_GB2312" w:hAnsi="仿宋_GB2312" w:eastAsia="仿宋_GB2312" w:cs="仿宋_GB2312"/>
          <w:color w:val="auto"/>
          <w:kern w:val="0"/>
          <w:szCs w:val="21"/>
        </w:rPr>
        <w:t>指标。</w:t>
      </w:r>
    </w:p>
    <w:p w14:paraId="1D8E1931">
      <w:pPr>
        <w:rPr>
          <w:color w:val="auto"/>
        </w:rPr>
      </w:pPr>
    </w:p>
    <w:sectPr>
      <w:footerReference r:id="rId5" w:type="default"/>
      <w:pgSz w:w="16838" w:h="11906" w:orient="landscape"/>
      <w:pgMar w:top="1474" w:right="1440" w:bottom="1474" w:left="1440" w:header="720" w:footer="720"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CESI黑体-GB2312">
    <w:altName w:val="黑体"/>
    <w:panose1 w:val="00000000000000000000"/>
    <w:charset w:val="86"/>
    <w:family w:val="auto"/>
    <w:pitch w:val="default"/>
    <w:sig w:usb0="00000000" w:usb1="00000000" w:usb2="00000012" w:usb3="00000000" w:csb0="0004000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 w:name="KSOFBDAA233C">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8F2F0">
    <w:pPr>
      <w:pStyle w:val="4"/>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v:path/>
          <v:fill on="f" focussize="0,0"/>
          <v:stroke on="f" weight="0.5pt" joinstyle="miter"/>
          <v:imagedata o:title=""/>
          <o:lock v:ext="edit"/>
          <v:textbox inset="0mm,0mm,0mm,0mm" style="mso-fit-shape-to-text:t;">
            <w:txbxContent>
              <w:p w14:paraId="6FB7DC18">
                <w:pPr>
                  <w:pStyle w:val="4"/>
                  <w:rPr>
                    <w:rFonts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doNotCompress"/>
  <w:hdrShapeDefaults>
    <o:shapelayout v:ext="edit">
      <o:idmap v:ext="edit" data="2"/>
    </o:shapelayout>
  </w:hdrShapeDefaults>
  <w:footnotePr>
    <w:footnote w:id="0"/>
    <w:footnote w:id="1"/>
  </w:footnotePr>
  <w:endnotePr>
    <w:endnote w:id="0"/>
    <w:endnote w:id="1"/>
  </w:endnotePr>
  <w:compat>
    <w:doNotExpandShiftReturn/>
    <w:useFELayout/>
    <w:compatSetting w:name="compatibilityMode" w:uri="http://schemas.microsoft.com/office/word" w:val="12"/>
  </w:compat>
  <w:docVars>
    <w:docVar w:name="commondata" w:val="eyJoZGlkIjoiNGJiMDc5ZWUyNTE1YjNkNjBjYzcyYTU4ZGYyMGZmODMifQ=="/>
  </w:docVars>
  <w:rsids>
    <w:rsidRoot w:val="00B259D8"/>
    <w:rsid w:val="0002144F"/>
    <w:rsid w:val="00027EA1"/>
    <w:rsid w:val="00035541"/>
    <w:rsid w:val="0004557D"/>
    <w:rsid w:val="00065986"/>
    <w:rsid w:val="000B3DD2"/>
    <w:rsid w:val="00147E94"/>
    <w:rsid w:val="00173C5D"/>
    <w:rsid w:val="00197F9F"/>
    <w:rsid w:val="001F4299"/>
    <w:rsid w:val="0020093A"/>
    <w:rsid w:val="00220A80"/>
    <w:rsid w:val="00224B69"/>
    <w:rsid w:val="00237F23"/>
    <w:rsid w:val="002C7212"/>
    <w:rsid w:val="002E2E65"/>
    <w:rsid w:val="002E2F0F"/>
    <w:rsid w:val="00366E45"/>
    <w:rsid w:val="003B462F"/>
    <w:rsid w:val="003E372A"/>
    <w:rsid w:val="003F4BD0"/>
    <w:rsid w:val="0045560A"/>
    <w:rsid w:val="004A1408"/>
    <w:rsid w:val="004C6D1D"/>
    <w:rsid w:val="004F6ABA"/>
    <w:rsid w:val="00505CE6"/>
    <w:rsid w:val="005325DF"/>
    <w:rsid w:val="00571CD7"/>
    <w:rsid w:val="00576CF2"/>
    <w:rsid w:val="00593AB1"/>
    <w:rsid w:val="005A463B"/>
    <w:rsid w:val="005F7FE1"/>
    <w:rsid w:val="0063139B"/>
    <w:rsid w:val="006E573B"/>
    <w:rsid w:val="006E770C"/>
    <w:rsid w:val="00712266"/>
    <w:rsid w:val="00717487"/>
    <w:rsid w:val="007427BE"/>
    <w:rsid w:val="00890A98"/>
    <w:rsid w:val="00914C17"/>
    <w:rsid w:val="00933AC9"/>
    <w:rsid w:val="00933CDC"/>
    <w:rsid w:val="0095121C"/>
    <w:rsid w:val="009545B4"/>
    <w:rsid w:val="009843D8"/>
    <w:rsid w:val="00984C9A"/>
    <w:rsid w:val="00993E57"/>
    <w:rsid w:val="009F03AE"/>
    <w:rsid w:val="009F7B8B"/>
    <w:rsid w:val="00A013F9"/>
    <w:rsid w:val="00A47EF1"/>
    <w:rsid w:val="00AA795C"/>
    <w:rsid w:val="00AE18E4"/>
    <w:rsid w:val="00AE6490"/>
    <w:rsid w:val="00B259D8"/>
    <w:rsid w:val="00B261E7"/>
    <w:rsid w:val="00B315B6"/>
    <w:rsid w:val="00B41705"/>
    <w:rsid w:val="00B67AF7"/>
    <w:rsid w:val="00C002DF"/>
    <w:rsid w:val="00C10659"/>
    <w:rsid w:val="00C140D8"/>
    <w:rsid w:val="00C26C9B"/>
    <w:rsid w:val="00C34D37"/>
    <w:rsid w:val="00CF3AEC"/>
    <w:rsid w:val="00D05BE5"/>
    <w:rsid w:val="00D16331"/>
    <w:rsid w:val="00D220AC"/>
    <w:rsid w:val="00D32AB8"/>
    <w:rsid w:val="00D36A33"/>
    <w:rsid w:val="00D62372"/>
    <w:rsid w:val="00DA4085"/>
    <w:rsid w:val="00DC1870"/>
    <w:rsid w:val="00E02FE8"/>
    <w:rsid w:val="00E04EE0"/>
    <w:rsid w:val="00E76A6B"/>
    <w:rsid w:val="00E83BAD"/>
    <w:rsid w:val="00EA1B26"/>
    <w:rsid w:val="00F05EE5"/>
    <w:rsid w:val="00F9717F"/>
    <w:rsid w:val="00FD04D7"/>
    <w:rsid w:val="051F632A"/>
    <w:rsid w:val="076331C2"/>
    <w:rsid w:val="0C615E2F"/>
    <w:rsid w:val="1AF52DDC"/>
    <w:rsid w:val="1FFF2F6E"/>
    <w:rsid w:val="21BD0E25"/>
    <w:rsid w:val="2DFE9941"/>
    <w:rsid w:val="2F6AB661"/>
    <w:rsid w:val="3AFBBD65"/>
    <w:rsid w:val="3B27503D"/>
    <w:rsid w:val="3DDF30BA"/>
    <w:rsid w:val="3EBFDB89"/>
    <w:rsid w:val="3EFFE616"/>
    <w:rsid w:val="3F2A2404"/>
    <w:rsid w:val="3FAEBEC3"/>
    <w:rsid w:val="4974DE5C"/>
    <w:rsid w:val="4FBD67D7"/>
    <w:rsid w:val="57D7BD4A"/>
    <w:rsid w:val="5AFF723F"/>
    <w:rsid w:val="5BE6AE69"/>
    <w:rsid w:val="5BEF0DA8"/>
    <w:rsid w:val="5DEE4DE6"/>
    <w:rsid w:val="5E9DC0A4"/>
    <w:rsid w:val="5EDE36CD"/>
    <w:rsid w:val="5FEFFFD2"/>
    <w:rsid w:val="5FF9602A"/>
    <w:rsid w:val="5FFD91D3"/>
    <w:rsid w:val="61DEAE2E"/>
    <w:rsid w:val="61E4097A"/>
    <w:rsid w:val="643F4B36"/>
    <w:rsid w:val="64FF8744"/>
    <w:rsid w:val="67F36110"/>
    <w:rsid w:val="6B7FC8E7"/>
    <w:rsid w:val="6BEF3777"/>
    <w:rsid w:val="6CA1A743"/>
    <w:rsid w:val="6DBEAEC2"/>
    <w:rsid w:val="6DFB4657"/>
    <w:rsid w:val="6F979975"/>
    <w:rsid w:val="6FFFA595"/>
    <w:rsid w:val="703E1079"/>
    <w:rsid w:val="72EFD37B"/>
    <w:rsid w:val="73CE4289"/>
    <w:rsid w:val="757E64D9"/>
    <w:rsid w:val="75EA442E"/>
    <w:rsid w:val="76DE0A6B"/>
    <w:rsid w:val="77DC4674"/>
    <w:rsid w:val="78AB9AD0"/>
    <w:rsid w:val="78F6C34B"/>
    <w:rsid w:val="7A714B76"/>
    <w:rsid w:val="7AFF88FB"/>
    <w:rsid w:val="7BE82AE9"/>
    <w:rsid w:val="7BEE82AD"/>
    <w:rsid w:val="7BFD9013"/>
    <w:rsid w:val="7BFF036E"/>
    <w:rsid w:val="7CFD1E5B"/>
    <w:rsid w:val="7DEFA165"/>
    <w:rsid w:val="7E9FE1F7"/>
    <w:rsid w:val="7F3FDD67"/>
    <w:rsid w:val="7F4FDF1C"/>
    <w:rsid w:val="7F8D10E1"/>
    <w:rsid w:val="7FAC0291"/>
    <w:rsid w:val="7FB7B67D"/>
    <w:rsid w:val="7FE71BA3"/>
    <w:rsid w:val="7FEF958D"/>
    <w:rsid w:val="7FEFC28D"/>
    <w:rsid w:val="7FF10E91"/>
    <w:rsid w:val="7FFF01CE"/>
    <w:rsid w:val="7FFFA3AC"/>
    <w:rsid w:val="83FD150A"/>
    <w:rsid w:val="8EDBEA11"/>
    <w:rsid w:val="8F6F2C1B"/>
    <w:rsid w:val="8FFF8726"/>
    <w:rsid w:val="9F9F986E"/>
    <w:rsid w:val="9FEF60DB"/>
    <w:rsid w:val="9FFD78A9"/>
    <w:rsid w:val="A77D64D8"/>
    <w:rsid w:val="A98E1D0B"/>
    <w:rsid w:val="AE6D90BC"/>
    <w:rsid w:val="AEF9D28E"/>
    <w:rsid w:val="AFF3806D"/>
    <w:rsid w:val="B3FDE80F"/>
    <w:rsid w:val="BEFE9BCF"/>
    <w:rsid w:val="BF75432C"/>
    <w:rsid w:val="BF9FC237"/>
    <w:rsid w:val="CFFD3EA7"/>
    <w:rsid w:val="D3DE9607"/>
    <w:rsid w:val="D7DF18C8"/>
    <w:rsid w:val="DEBF8789"/>
    <w:rsid w:val="DEDF2391"/>
    <w:rsid w:val="DF277B48"/>
    <w:rsid w:val="DF77AF37"/>
    <w:rsid w:val="DF9FDAA8"/>
    <w:rsid w:val="DFDB8AA0"/>
    <w:rsid w:val="DFDC5848"/>
    <w:rsid w:val="DFDD0CD7"/>
    <w:rsid w:val="DFED3684"/>
    <w:rsid w:val="EA8F1509"/>
    <w:rsid w:val="EB3FF27D"/>
    <w:rsid w:val="EB7FB6C0"/>
    <w:rsid w:val="EC7F616E"/>
    <w:rsid w:val="EF861141"/>
    <w:rsid w:val="EFBF2B0D"/>
    <w:rsid w:val="EFDE876B"/>
    <w:rsid w:val="F7671E8A"/>
    <w:rsid w:val="F777DF93"/>
    <w:rsid w:val="F7FB6ECA"/>
    <w:rsid w:val="F7FC919D"/>
    <w:rsid w:val="F9DF541C"/>
    <w:rsid w:val="FAFF3099"/>
    <w:rsid w:val="FBCE491B"/>
    <w:rsid w:val="FBF2D0CB"/>
    <w:rsid w:val="FCFB254A"/>
    <w:rsid w:val="FCFB8BAA"/>
    <w:rsid w:val="FDDD756C"/>
    <w:rsid w:val="FDEF266D"/>
    <w:rsid w:val="FEBD2611"/>
    <w:rsid w:val="FEF7E5A5"/>
    <w:rsid w:val="FEFF02DA"/>
    <w:rsid w:val="FF1771A1"/>
    <w:rsid w:val="FF62314D"/>
    <w:rsid w:val="FF7FF860"/>
    <w:rsid w:val="FFECD155"/>
    <w:rsid w:val="FFEE9C1B"/>
    <w:rsid w:val="FFF78E03"/>
    <w:rsid w:val="FFF97198"/>
    <w:rsid w:val="FFFB1910"/>
    <w:rsid w:val="FFFBEDFD"/>
    <w:rsid w:val="FFFE01F7"/>
    <w:rsid w:val="FFFEDF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color w:val="000000"/>
      <w:kern w:val="2"/>
      <w:sz w:val="22"/>
      <w:szCs w:val="22"/>
      <w:lang w:val="en-US" w:eastAsia="zh-CN" w:bidi="ar-SA"/>
    </w:rPr>
  </w:style>
  <w:style w:type="paragraph" w:styleId="2">
    <w:name w:val="heading 1"/>
    <w:next w:val="1"/>
    <w:link w:val="9"/>
    <w:unhideWhenUsed/>
    <w:qFormat/>
    <w:uiPriority w:val="9"/>
    <w:pPr>
      <w:keepNext/>
      <w:keepLines/>
      <w:spacing w:after="91" w:line="259" w:lineRule="auto"/>
      <w:ind w:left="10" w:right="3" w:hanging="10"/>
      <w:jc w:val="center"/>
      <w:outlineLvl w:val="0"/>
    </w:pPr>
    <w:rPr>
      <w:rFonts w:ascii="微软雅黑" w:hAnsi="微软雅黑" w:eastAsia="微软雅黑" w:cs="微软雅黑"/>
      <w:color w:val="000000"/>
      <w:kern w:val="2"/>
      <w:sz w:val="44"/>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semiHidden/>
    <w:unhideWhenUsed/>
    <w:qFormat/>
    <w:uiPriority w:val="99"/>
    <w:pPr>
      <w:spacing w:after="0" w:line="240" w:lineRule="auto"/>
    </w:pPr>
    <w:rPr>
      <w:sz w:val="18"/>
      <w:szCs w:val="18"/>
    </w:rPr>
  </w:style>
  <w:style w:type="paragraph" w:styleId="4">
    <w:name w:val="footer"/>
    <w:basedOn w:val="1"/>
    <w:semiHidden/>
    <w:unhideWhenUsed/>
    <w:qFormat/>
    <w:uiPriority w:val="99"/>
    <w:pPr>
      <w:tabs>
        <w:tab w:val="center" w:pos="4153"/>
        <w:tab w:val="right" w:pos="8306"/>
      </w:tabs>
      <w:snapToGrid w:val="0"/>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6">
    <w:name w:val="Normal (Web)"/>
    <w:basedOn w:val="1"/>
    <w:qFormat/>
    <w:uiPriority w:val="0"/>
    <w:pPr>
      <w:spacing w:before="100" w:beforeAutospacing="1" w:after="100" w:afterAutospacing="1"/>
    </w:pPr>
    <w:rPr>
      <w:rFonts w:cs="Times New Roman"/>
      <w:kern w:val="0"/>
      <w:sz w:val="24"/>
    </w:rPr>
  </w:style>
  <w:style w:type="character" w:customStyle="1" w:styleId="9">
    <w:name w:val="标题 1 Char"/>
    <w:link w:val="2"/>
    <w:qFormat/>
    <w:uiPriority w:val="0"/>
    <w:rPr>
      <w:rFonts w:ascii="微软雅黑" w:hAnsi="微软雅黑" w:eastAsia="微软雅黑" w:cs="微软雅黑"/>
      <w:color w:val="000000"/>
      <w:sz w:val="44"/>
    </w:rPr>
  </w:style>
  <w:style w:type="character" w:customStyle="1" w:styleId="10">
    <w:name w:val="批注框文本 Char"/>
    <w:basedOn w:val="8"/>
    <w:link w:val="3"/>
    <w:semiHidden/>
    <w:qFormat/>
    <w:uiPriority w:val="99"/>
    <w:rPr>
      <w:rFonts w:ascii="Calibri" w:hAnsi="Calibri" w:eastAsia="Calibri" w:cs="Calibri"/>
      <w:color w:val="000000"/>
      <w:kern w:val="2"/>
      <w:sz w:val="18"/>
      <w:szCs w:val="18"/>
    </w:rPr>
  </w:style>
  <w:style w:type="paragraph" w:customStyle="1" w:styleId="11">
    <w:name w:val="修订1"/>
    <w:hidden/>
    <w:semiHidden/>
    <w:qFormat/>
    <w:uiPriority w:val="99"/>
    <w:rPr>
      <w:rFonts w:ascii="Calibri" w:hAnsi="Calibri" w:eastAsia="Calibri" w:cs="Calibri"/>
      <w:color w:val="000000"/>
      <w:kern w:val="2"/>
      <w:sz w:val="22"/>
      <w:szCs w:val="22"/>
      <w:lang w:val="en-US" w:eastAsia="zh-CN" w:bidi="ar-SA"/>
    </w:rPr>
  </w:style>
  <w:style w:type="paragraph" w:customStyle="1" w:styleId="12">
    <w:name w:val="修订2"/>
    <w:hidden/>
    <w:semiHidden/>
    <w:qFormat/>
    <w:uiPriority w:val="99"/>
    <w:rPr>
      <w:rFonts w:ascii="Calibri" w:hAnsi="Calibri" w:eastAsia="Calibri" w:cs="Calibri"/>
      <w:color w:val="000000"/>
      <w:kern w:val="2"/>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334D74-656E-4EBC-8E6E-9CC16F0D04F0}">
  <ds:schemaRefs/>
</ds:datastoreItem>
</file>

<file path=docProps/app.xml><?xml version="1.0" encoding="utf-8"?>
<Properties xmlns="http://schemas.openxmlformats.org/officeDocument/2006/extended-properties" xmlns:vt="http://schemas.openxmlformats.org/officeDocument/2006/docPropsVTypes">
  <Template>Normal</Template>
  <Pages>13</Pages>
  <Words>8160</Words>
  <Characters>8509</Characters>
  <Lines>65</Lines>
  <Paragraphs>18</Paragraphs>
  <TotalTime>44</TotalTime>
  <ScaleCrop>false</ScaleCrop>
  <LinksUpToDate>false</LinksUpToDate>
  <CharactersWithSpaces>8588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2023-08-16T10:11:00Z</dcterms:created>
  <dc:creator>未定义</dc:creator>
  <cp:lastModifiedBy>WPS_1675336700</cp:lastModifiedBy>
  <cp:lastPrinted>2023-12-06T08:06:00Z</cp:lastPrinted>
  <dcterms:modified xsi:type="dcterms:W3CDTF">2026-07-23T03:31:04Z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7CF525F4500E4DB0ACA04973BD70A764</vt:lpwstr>
  </property>
  <property fmtid="{D5CDD505-2E9C-101B-9397-08002B2CF9AE}" pid="4" name="KSOTemplateDocerSaveRecord">
    <vt:lpwstr>eyJoZGlkIjoiMTBiMjc2MGQ3ZTI1MWRhZjFlZTIwZjZmYmYxODNmMmUiLCJ1c2VySWQiOiIxNDcwOTE4MTA4In0=</vt:lpwstr>
  </property>
</Properties>
</file>